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360" w:type="dxa"/>
        <w:tblCellMar>
          <w:top w:w="0" w:type="dxa"/>
          <w:left w:w="0" w:type="dxa"/>
          <w:bottom w:w="0" w:type="dxa"/>
          <w:right w:w="0" w:type="dxa"/>
        </w:tblCellMar>
      </w:tblPr>
      <w:tr>
        <w:trPr>
          <w:trHeight w:val="222"/>
        </w:trPr>
        <w:tc>
          <w:tcPr>
            <w:tcW w:w="2180" w:type="dxa"/>
            <w:vAlign w:val="bottom"/>
          </w:tcPr>
          <w:p>
            <w:pPr>
              <w:spacing w:after="0"/>
              <w:rPr>
                <w:sz w:val="19"/>
                <w:szCs w:val="19"/>
                <w:color w:val="auto"/>
              </w:rPr>
            </w:pPr>
          </w:p>
        </w:tc>
        <w:tc>
          <w:tcPr>
            <w:tcW w:w="6380" w:type="dxa"/>
            <w:vAlign w:val="bottom"/>
          </w:tcPr>
          <w:p>
            <w:pPr>
              <w:jc w:val="center"/>
              <w:ind w:right="2116"/>
              <w:spacing w:after="0"/>
              <w:rPr>
                <w:sz w:val="20"/>
                <w:szCs w:val="20"/>
                <w:color w:val="auto"/>
              </w:rPr>
            </w:pPr>
            <w:r>
              <w:rPr>
                <w:rFonts w:ascii="Times New Roman" w:cs="Times New Roman" w:eastAsia="Times New Roman" w:hAnsi="Times New Roman"/>
                <w:sz w:val="17"/>
                <w:szCs w:val="17"/>
                <w:b w:val="1"/>
                <w:bCs w:val="1"/>
                <w:color w:val="auto"/>
                <w:w w:val="97"/>
              </w:rPr>
              <w:t>UNITED STATES</w:t>
            </w:r>
          </w:p>
        </w:tc>
      </w:tr>
      <w:tr>
        <w:trPr>
          <w:trHeight w:val="234"/>
        </w:trPr>
        <w:tc>
          <w:tcPr>
            <w:tcW w:w="2180" w:type="dxa"/>
            <w:vAlign w:val="bottom"/>
          </w:tcPr>
          <w:p>
            <w:pPr>
              <w:spacing w:after="0"/>
              <w:rPr>
                <w:sz w:val="20"/>
                <w:szCs w:val="20"/>
                <w:color w:val="auto"/>
              </w:rPr>
            </w:pPr>
          </w:p>
        </w:tc>
        <w:tc>
          <w:tcPr>
            <w:tcW w:w="6380" w:type="dxa"/>
            <w:vAlign w:val="bottom"/>
          </w:tcPr>
          <w:p>
            <w:pPr>
              <w:jc w:val="center"/>
              <w:ind w:right="2096"/>
              <w:spacing w:after="0"/>
              <w:rPr>
                <w:sz w:val="20"/>
                <w:szCs w:val="20"/>
                <w:color w:val="auto"/>
              </w:rPr>
            </w:pPr>
            <w:r>
              <w:rPr>
                <w:rFonts w:ascii="Times New Roman" w:cs="Times New Roman" w:eastAsia="Times New Roman" w:hAnsi="Times New Roman"/>
                <w:sz w:val="17"/>
                <w:szCs w:val="17"/>
                <w:b w:val="1"/>
                <w:bCs w:val="1"/>
                <w:color w:val="auto"/>
                <w:w w:val="98"/>
              </w:rPr>
              <w:t>SECURITIES AND EXCHANGE COMMISSION</w:t>
            </w:r>
          </w:p>
        </w:tc>
      </w:tr>
      <w:tr>
        <w:trPr>
          <w:trHeight w:val="175"/>
        </w:trPr>
        <w:tc>
          <w:tcPr>
            <w:tcW w:w="2180" w:type="dxa"/>
            <w:vAlign w:val="bottom"/>
          </w:tcPr>
          <w:p>
            <w:pPr>
              <w:spacing w:after="0"/>
              <w:rPr>
                <w:sz w:val="15"/>
                <w:szCs w:val="15"/>
                <w:color w:val="auto"/>
              </w:rPr>
            </w:pPr>
          </w:p>
        </w:tc>
        <w:tc>
          <w:tcPr>
            <w:tcW w:w="6380" w:type="dxa"/>
            <w:vAlign w:val="bottom"/>
          </w:tcPr>
          <w:p>
            <w:pPr>
              <w:jc w:val="center"/>
              <w:ind w:right="2116"/>
              <w:spacing w:after="0"/>
              <w:rPr>
                <w:sz w:val="20"/>
                <w:szCs w:val="20"/>
                <w:color w:val="auto"/>
              </w:rPr>
            </w:pPr>
            <w:r>
              <w:rPr>
                <w:rFonts w:ascii="Times New Roman" w:cs="Times New Roman" w:eastAsia="Times New Roman" w:hAnsi="Times New Roman"/>
                <w:sz w:val="12"/>
                <w:szCs w:val="12"/>
                <w:b w:val="1"/>
                <w:bCs w:val="1"/>
                <w:color w:val="auto"/>
                <w:w w:val="99"/>
              </w:rPr>
              <w:t>Washington, D.C. 20549</w:t>
            </w:r>
          </w:p>
        </w:tc>
      </w:tr>
      <w:tr>
        <w:trPr>
          <w:trHeight w:val="171"/>
        </w:trPr>
        <w:tc>
          <w:tcPr>
            <w:tcW w:w="2180" w:type="dxa"/>
            <w:vAlign w:val="bottom"/>
          </w:tcPr>
          <w:p>
            <w:pPr>
              <w:spacing w:after="0"/>
              <w:rPr>
                <w:sz w:val="14"/>
                <w:szCs w:val="14"/>
                <w:color w:val="auto"/>
              </w:rPr>
            </w:pPr>
          </w:p>
        </w:tc>
        <w:tc>
          <w:tcPr>
            <w:tcW w:w="6380" w:type="dxa"/>
            <w:vAlign w:val="bottom"/>
          </w:tcPr>
          <w:p>
            <w:pPr>
              <w:jc w:val="center"/>
              <w:ind w:right="2096"/>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w:t>
            </w:r>
          </w:p>
        </w:tc>
      </w:tr>
      <w:tr>
        <w:trPr>
          <w:trHeight w:val="228"/>
        </w:trPr>
        <w:tc>
          <w:tcPr>
            <w:tcW w:w="2180" w:type="dxa"/>
            <w:vAlign w:val="bottom"/>
          </w:tcPr>
          <w:p>
            <w:pPr>
              <w:spacing w:after="0"/>
              <w:rPr>
                <w:sz w:val="19"/>
                <w:szCs w:val="19"/>
                <w:color w:val="auto"/>
              </w:rPr>
            </w:pPr>
          </w:p>
        </w:tc>
        <w:tc>
          <w:tcPr>
            <w:tcW w:w="6380" w:type="dxa"/>
            <w:vAlign w:val="bottom"/>
          </w:tcPr>
          <w:p>
            <w:pPr>
              <w:jc w:val="center"/>
              <w:ind w:right="2096"/>
              <w:spacing w:after="0"/>
              <w:rPr>
                <w:sz w:val="20"/>
                <w:szCs w:val="20"/>
                <w:color w:val="auto"/>
              </w:rPr>
            </w:pPr>
            <w:r>
              <w:rPr>
                <w:rFonts w:ascii="Times New Roman" w:cs="Times New Roman" w:eastAsia="Times New Roman" w:hAnsi="Times New Roman"/>
                <w:sz w:val="17"/>
                <w:szCs w:val="17"/>
                <w:b w:val="1"/>
                <w:bCs w:val="1"/>
                <w:color w:val="auto"/>
                <w:w w:val="98"/>
              </w:rPr>
              <w:t>FORM 8-K</w:t>
            </w:r>
          </w:p>
        </w:tc>
      </w:tr>
      <w:tr>
        <w:trPr>
          <w:trHeight w:val="159"/>
        </w:trPr>
        <w:tc>
          <w:tcPr>
            <w:tcW w:w="2180" w:type="dxa"/>
            <w:vAlign w:val="bottom"/>
          </w:tcPr>
          <w:p>
            <w:pPr>
              <w:spacing w:after="0"/>
              <w:rPr>
                <w:sz w:val="13"/>
                <w:szCs w:val="13"/>
                <w:color w:val="auto"/>
              </w:rPr>
            </w:pPr>
          </w:p>
        </w:tc>
        <w:tc>
          <w:tcPr>
            <w:tcW w:w="6380" w:type="dxa"/>
            <w:vAlign w:val="bottom"/>
          </w:tcPr>
          <w:p>
            <w:pPr>
              <w:jc w:val="center"/>
              <w:ind w:right="2096"/>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w:t>
            </w:r>
          </w:p>
        </w:tc>
      </w:tr>
      <w:tr>
        <w:trPr>
          <w:trHeight w:val="156"/>
        </w:trPr>
        <w:tc>
          <w:tcPr>
            <w:tcW w:w="2180" w:type="dxa"/>
            <w:vAlign w:val="bottom"/>
          </w:tcPr>
          <w:p>
            <w:pPr>
              <w:spacing w:after="0"/>
              <w:rPr>
                <w:sz w:val="13"/>
                <w:szCs w:val="13"/>
                <w:color w:val="auto"/>
              </w:rPr>
            </w:pPr>
          </w:p>
        </w:tc>
        <w:tc>
          <w:tcPr>
            <w:tcW w:w="6380" w:type="dxa"/>
            <w:vAlign w:val="bottom"/>
          </w:tcPr>
          <w:p>
            <w:pPr>
              <w:jc w:val="center"/>
              <w:ind w:right="2116"/>
              <w:spacing w:after="0"/>
              <w:rPr>
                <w:sz w:val="20"/>
                <w:szCs w:val="20"/>
                <w:color w:val="auto"/>
              </w:rPr>
            </w:pPr>
            <w:r>
              <w:rPr>
                <w:rFonts w:ascii="Times New Roman" w:cs="Times New Roman" w:eastAsia="Times New Roman" w:hAnsi="Times New Roman"/>
                <w:sz w:val="12"/>
                <w:szCs w:val="12"/>
                <w:b w:val="1"/>
                <w:bCs w:val="1"/>
                <w:color w:val="auto"/>
                <w:w w:val="99"/>
              </w:rPr>
              <w:t>CURRENT REPORT</w:t>
            </w:r>
          </w:p>
        </w:tc>
      </w:tr>
      <w:tr>
        <w:trPr>
          <w:trHeight w:val="144"/>
        </w:trPr>
        <w:tc>
          <w:tcPr>
            <w:tcW w:w="2180" w:type="dxa"/>
            <w:vAlign w:val="bottom"/>
          </w:tcPr>
          <w:p>
            <w:pPr>
              <w:spacing w:after="0"/>
              <w:rPr>
                <w:sz w:val="12"/>
                <w:szCs w:val="12"/>
                <w:color w:val="auto"/>
              </w:rPr>
            </w:pPr>
          </w:p>
        </w:tc>
        <w:tc>
          <w:tcPr>
            <w:tcW w:w="6380" w:type="dxa"/>
            <w:vAlign w:val="bottom"/>
          </w:tcPr>
          <w:p>
            <w:pPr>
              <w:jc w:val="center"/>
              <w:ind w:right="2116"/>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tc>
      </w:tr>
      <w:tr>
        <w:trPr>
          <w:trHeight w:val="159"/>
        </w:trPr>
        <w:tc>
          <w:tcPr>
            <w:tcW w:w="2180" w:type="dxa"/>
            <w:vAlign w:val="bottom"/>
          </w:tcPr>
          <w:p>
            <w:pPr>
              <w:spacing w:after="0"/>
              <w:rPr>
                <w:sz w:val="13"/>
                <w:szCs w:val="13"/>
                <w:color w:val="auto"/>
              </w:rPr>
            </w:pPr>
          </w:p>
        </w:tc>
        <w:tc>
          <w:tcPr>
            <w:tcW w:w="6380" w:type="dxa"/>
            <w:vAlign w:val="bottom"/>
          </w:tcPr>
          <w:p>
            <w:pPr>
              <w:jc w:val="center"/>
              <w:ind w:right="2116"/>
              <w:spacing w:after="0"/>
              <w:rPr>
                <w:sz w:val="20"/>
                <w:szCs w:val="20"/>
                <w:color w:val="auto"/>
              </w:rPr>
            </w:pPr>
            <w:r>
              <w:rPr>
                <w:rFonts w:ascii="Times New Roman" w:cs="Times New Roman" w:eastAsia="Times New Roman" w:hAnsi="Times New Roman"/>
                <w:sz w:val="12"/>
                <w:szCs w:val="12"/>
                <w:b w:val="1"/>
                <w:bCs w:val="1"/>
                <w:color w:val="auto"/>
                <w:w w:val="99"/>
              </w:rPr>
              <w:t>of the Securities Exchange Act of 1934</w:t>
            </w:r>
          </w:p>
        </w:tc>
      </w:tr>
      <w:tr>
        <w:trPr>
          <w:trHeight w:val="306"/>
        </w:trPr>
        <w:tc>
          <w:tcPr>
            <w:tcW w:w="2180" w:type="dxa"/>
            <w:vAlign w:val="bottom"/>
          </w:tcPr>
          <w:p>
            <w:pPr>
              <w:spacing w:after="0"/>
              <w:rPr>
                <w:sz w:val="24"/>
                <w:szCs w:val="24"/>
                <w:color w:val="auto"/>
              </w:rPr>
            </w:pPr>
          </w:p>
        </w:tc>
        <w:tc>
          <w:tcPr>
            <w:tcW w:w="6380" w:type="dxa"/>
            <w:vAlign w:val="bottom"/>
          </w:tcPr>
          <w:p>
            <w:pPr>
              <w:jc w:val="center"/>
              <w:ind w:right="2096"/>
              <w:spacing w:after="0"/>
              <w:rPr>
                <w:sz w:val="20"/>
                <w:szCs w:val="20"/>
                <w:color w:val="auto"/>
              </w:rPr>
            </w:pPr>
            <w:r>
              <w:rPr>
                <w:rFonts w:ascii="Times New Roman" w:cs="Times New Roman" w:eastAsia="Times New Roman" w:hAnsi="Times New Roman"/>
                <w:sz w:val="12"/>
                <w:szCs w:val="12"/>
                <w:b w:val="1"/>
                <w:bCs w:val="1"/>
                <w:color w:val="auto"/>
                <w:w w:val="99"/>
              </w:rPr>
              <w:t>Date of Report (date of earliest event reported): January 16, 2026</w:t>
            </w:r>
          </w:p>
        </w:tc>
      </w:tr>
      <w:tr>
        <w:trPr>
          <w:trHeight w:val="180"/>
        </w:trPr>
        <w:tc>
          <w:tcPr>
            <w:tcW w:w="2180" w:type="dxa"/>
            <w:vAlign w:val="bottom"/>
          </w:tcPr>
          <w:p>
            <w:pPr>
              <w:spacing w:after="0"/>
              <w:rPr>
                <w:sz w:val="15"/>
                <w:szCs w:val="15"/>
                <w:color w:val="auto"/>
              </w:rPr>
            </w:pPr>
          </w:p>
        </w:tc>
        <w:tc>
          <w:tcPr>
            <w:tcW w:w="6380" w:type="dxa"/>
            <w:vAlign w:val="bottom"/>
          </w:tcPr>
          <w:p>
            <w:pPr>
              <w:jc w:val="center"/>
              <w:ind w:right="2096"/>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w:t>
            </w:r>
          </w:p>
        </w:tc>
      </w:tr>
      <w:tr>
        <w:trPr>
          <w:trHeight w:val="256"/>
        </w:trPr>
        <w:tc>
          <w:tcPr>
            <w:tcW w:w="2180" w:type="dxa"/>
            <w:vAlign w:val="bottom"/>
          </w:tcPr>
          <w:p>
            <w:pPr>
              <w:spacing w:after="0"/>
              <w:rPr>
                <w:sz w:val="22"/>
                <w:szCs w:val="22"/>
                <w:color w:val="auto"/>
              </w:rPr>
            </w:pPr>
          </w:p>
        </w:tc>
        <w:tc>
          <w:tcPr>
            <w:tcW w:w="6380" w:type="dxa"/>
            <w:vAlign w:val="bottom"/>
          </w:tcPr>
          <w:p>
            <w:pPr>
              <w:jc w:val="center"/>
              <w:ind w:right="2116"/>
              <w:spacing w:after="0"/>
              <w:rPr>
                <w:sz w:val="20"/>
                <w:szCs w:val="20"/>
                <w:color w:val="auto"/>
              </w:rPr>
            </w:pPr>
            <w:r>
              <w:rPr>
                <w:rFonts w:ascii="Times New Roman" w:cs="Times New Roman" w:eastAsia="Times New Roman" w:hAnsi="Times New Roman"/>
                <w:sz w:val="19"/>
                <w:szCs w:val="19"/>
                <w:b w:val="1"/>
                <w:bCs w:val="1"/>
                <w:color w:val="auto"/>
              </w:rPr>
              <w:t>M&amp;T BANK CORPORATION</w:t>
            </w:r>
          </w:p>
        </w:tc>
      </w:tr>
      <w:tr>
        <w:trPr>
          <w:trHeight w:val="185"/>
        </w:trPr>
        <w:tc>
          <w:tcPr>
            <w:tcW w:w="2180" w:type="dxa"/>
            <w:vAlign w:val="bottom"/>
          </w:tcPr>
          <w:p>
            <w:pPr>
              <w:spacing w:after="0"/>
              <w:rPr>
                <w:sz w:val="16"/>
                <w:szCs w:val="16"/>
                <w:color w:val="auto"/>
              </w:rPr>
            </w:pPr>
          </w:p>
        </w:tc>
        <w:tc>
          <w:tcPr>
            <w:tcW w:w="6380" w:type="dxa"/>
            <w:vAlign w:val="bottom"/>
          </w:tcPr>
          <w:p>
            <w:pPr>
              <w:jc w:val="center"/>
              <w:ind w:right="2116"/>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its charter)</w:t>
            </w:r>
          </w:p>
        </w:tc>
      </w:tr>
      <w:tr>
        <w:trPr>
          <w:trHeight w:val="171"/>
        </w:trPr>
        <w:tc>
          <w:tcPr>
            <w:tcW w:w="2180" w:type="dxa"/>
            <w:vAlign w:val="bottom"/>
          </w:tcPr>
          <w:p>
            <w:pPr>
              <w:spacing w:after="0"/>
              <w:rPr>
                <w:sz w:val="14"/>
                <w:szCs w:val="14"/>
                <w:color w:val="auto"/>
              </w:rPr>
            </w:pPr>
          </w:p>
        </w:tc>
        <w:tc>
          <w:tcPr>
            <w:tcW w:w="6380" w:type="dxa"/>
            <w:vAlign w:val="bottom"/>
          </w:tcPr>
          <w:p>
            <w:pPr>
              <w:jc w:val="center"/>
              <w:ind w:right="2096"/>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w:t>
            </w:r>
          </w:p>
        </w:tc>
      </w:tr>
      <w:tr>
        <w:trPr>
          <w:trHeight w:val="342"/>
        </w:trPr>
        <w:tc>
          <w:tcPr>
            <w:tcW w:w="2180" w:type="dxa"/>
            <w:vAlign w:val="bottom"/>
          </w:tcPr>
          <w:p>
            <w:pPr>
              <w:spacing w:after="0"/>
              <w:rPr>
                <w:sz w:val="24"/>
                <w:szCs w:val="24"/>
                <w:color w:val="auto"/>
              </w:rPr>
            </w:pPr>
          </w:p>
        </w:tc>
        <w:tc>
          <w:tcPr>
            <w:tcW w:w="6380" w:type="dxa"/>
            <w:vAlign w:val="bottom"/>
          </w:tcPr>
          <w:p>
            <w:pPr>
              <w:jc w:val="center"/>
              <w:ind w:right="2116"/>
              <w:spacing w:after="0"/>
              <w:rPr>
                <w:sz w:val="20"/>
                <w:szCs w:val="20"/>
                <w:color w:val="auto"/>
              </w:rPr>
            </w:pPr>
            <w:r>
              <w:rPr>
                <w:rFonts w:ascii="Times New Roman" w:cs="Times New Roman" w:eastAsia="Times New Roman" w:hAnsi="Times New Roman"/>
                <w:sz w:val="12"/>
                <w:szCs w:val="12"/>
                <w:b w:val="1"/>
                <w:bCs w:val="1"/>
                <w:color w:val="auto"/>
                <w:w w:val="99"/>
              </w:rPr>
              <w:t>New York</w:t>
            </w:r>
          </w:p>
        </w:tc>
      </w:tr>
      <w:tr>
        <w:trPr>
          <w:trHeight w:val="176"/>
        </w:trPr>
        <w:tc>
          <w:tcPr>
            <w:tcW w:w="2180" w:type="dxa"/>
            <w:vAlign w:val="bottom"/>
          </w:tcPr>
          <w:p>
            <w:pPr>
              <w:spacing w:after="0"/>
              <w:rPr>
                <w:sz w:val="15"/>
                <w:szCs w:val="15"/>
                <w:color w:val="auto"/>
              </w:rPr>
            </w:pPr>
          </w:p>
        </w:tc>
        <w:tc>
          <w:tcPr>
            <w:tcW w:w="6380" w:type="dxa"/>
            <w:vAlign w:val="bottom"/>
          </w:tcPr>
          <w:p>
            <w:pPr>
              <w:jc w:val="center"/>
              <w:ind w:right="2116"/>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 incorporation)</w:t>
            </w:r>
          </w:p>
        </w:tc>
      </w:tr>
      <w:tr>
        <w:trPr>
          <w:trHeight w:val="173"/>
        </w:trPr>
        <w:tc>
          <w:tcPr>
            <w:tcW w:w="2180" w:type="dxa"/>
            <w:vAlign w:val="bottom"/>
          </w:tcPr>
          <w:p>
            <w:pPr>
              <w:jc w:val="center"/>
              <w:ind w:right="263"/>
              <w:spacing w:after="0"/>
              <w:rPr>
                <w:sz w:val="20"/>
                <w:szCs w:val="20"/>
                <w:color w:val="auto"/>
              </w:rPr>
            </w:pPr>
            <w:r>
              <w:rPr>
                <w:rFonts w:ascii="Times New Roman" w:cs="Times New Roman" w:eastAsia="Times New Roman" w:hAnsi="Times New Roman"/>
                <w:sz w:val="12"/>
                <w:szCs w:val="12"/>
                <w:b w:val="1"/>
                <w:bCs w:val="1"/>
                <w:color w:val="auto"/>
                <w:w w:val="99"/>
              </w:rPr>
              <w:t>1-9861</w:t>
            </w:r>
          </w:p>
        </w:tc>
        <w:tc>
          <w:tcPr>
            <w:tcW w:w="6380" w:type="dxa"/>
            <w:vAlign w:val="bottom"/>
          </w:tcPr>
          <w:p>
            <w:pPr>
              <w:jc w:val="right"/>
              <w:ind w:right="576"/>
              <w:spacing w:after="0"/>
              <w:rPr>
                <w:sz w:val="20"/>
                <w:szCs w:val="20"/>
                <w:color w:val="auto"/>
              </w:rPr>
            </w:pPr>
            <w:r>
              <w:rPr>
                <w:rFonts w:ascii="Times New Roman" w:cs="Times New Roman" w:eastAsia="Times New Roman" w:hAnsi="Times New Roman"/>
                <w:sz w:val="12"/>
                <w:szCs w:val="12"/>
                <w:b w:val="1"/>
                <w:bCs w:val="1"/>
                <w:color w:val="auto"/>
              </w:rPr>
              <w:t>16-0968385</w:t>
            </w:r>
          </w:p>
        </w:tc>
      </w:tr>
      <w:tr>
        <w:trPr>
          <w:trHeight w:val="142"/>
        </w:trPr>
        <w:tc>
          <w:tcPr>
            <w:tcW w:w="2180" w:type="dxa"/>
            <w:vAlign w:val="bottom"/>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w w:val="98"/>
              </w:rPr>
              <w:t>(Commission File Number)</w:t>
            </w:r>
          </w:p>
        </w:tc>
        <w:tc>
          <w:tcPr>
            <w:tcW w:w="6380" w:type="dxa"/>
            <w:vAlign w:val="bottom"/>
          </w:tcPr>
          <w:p>
            <w:pPr>
              <w:jc w:val="center"/>
              <w:ind w:left="4436"/>
              <w:spacing w:after="0"/>
              <w:rPr>
                <w:sz w:val="20"/>
                <w:szCs w:val="20"/>
                <w:color w:val="auto"/>
              </w:rPr>
            </w:pPr>
            <w:r>
              <w:rPr>
                <w:rFonts w:ascii="Times New Roman" w:cs="Times New Roman" w:eastAsia="Times New Roman" w:hAnsi="Times New Roman"/>
                <w:sz w:val="11"/>
                <w:szCs w:val="11"/>
                <w:b w:val="1"/>
                <w:bCs w:val="1"/>
                <w:color w:val="auto"/>
                <w:w w:val="98"/>
              </w:rPr>
              <w:t>(I.R.S. Employer Identification Number)</w:t>
            </w:r>
          </w:p>
        </w:tc>
      </w:tr>
      <w:tr>
        <w:trPr>
          <w:trHeight w:val="363"/>
        </w:trPr>
        <w:tc>
          <w:tcPr>
            <w:tcW w:w="2180" w:type="dxa"/>
            <w:vAlign w:val="bottom"/>
          </w:tcPr>
          <w:p>
            <w:pPr>
              <w:jc w:val="center"/>
              <w:ind w:right="263"/>
              <w:spacing w:after="0"/>
              <w:rPr>
                <w:sz w:val="20"/>
                <w:szCs w:val="20"/>
                <w:color w:val="auto"/>
              </w:rPr>
            </w:pPr>
            <w:r>
              <w:rPr>
                <w:rFonts w:ascii="Times New Roman" w:cs="Times New Roman" w:eastAsia="Times New Roman" w:hAnsi="Times New Roman"/>
                <w:sz w:val="12"/>
                <w:szCs w:val="12"/>
                <w:b w:val="1"/>
                <w:bCs w:val="1"/>
                <w:color w:val="auto"/>
                <w:w w:val="99"/>
              </w:rPr>
              <w:t>One M&amp;T Plaza</w:t>
            </w:r>
            <w:r>
              <w:rPr>
                <w:rFonts w:ascii="Arial" w:cs="Arial" w:eastAsia="Arial" w:hAnsi="Arial"/>
                <w:sz w:val="12"/>
                <w:szCs w:val="12"/>
                <w:b w:val="1"/>
                <w:bCs w:val="1"/>
                <w:color w:val="auto"/>
                <w:w w:val="99"/>
              </w:rPr>
              <w:t>,</w:t>
            </w:r>
            <w:r>
              <w:rPr>
                <w:rFonts w:ascii="Times New Roman" w:cs="Times New Roman" w:eastAsia="Times New Roman" w:hAnsi="Times New Roman"/>
                <w:sz w:val="12"/>
                <w:szCs w:val="12"/>
                <w:b w:val="1"/>
                <w:bCs w:val="1"/>
                <w:color w:val="auto"/>
                <w:w w:val="99"/>
              </w:rPr>
              <w:t xml:space="preserve"> Buffalo, New York</w:t>
            </w:r>
          </w:p>
        </w:tc>
        <w:tc>
          <w:tcPr>
            <w:tcW w:w="6380" w:type="dxa"/>
            <w:vAlign w:val="bottom"/>
          </w:tcPr>
          <w:p>
            <w:pPr>
              <w:jc w:val="right"/>
              <w:ind w:right="716"/>
              <w:spacing w:after="0"/>
              <w:rPr>
                <w:sz w:val="20"/>
                <w:szCs w:val="20"/>
                <w:color w:val="auto"/>
              </w:rPr>
            </w:pPr>
            <w:r>
              <w:rPr>
                <w:rFonts w:ascii="Times New Roman" w:cs="Times New Roman" w:eastAsia="Times New Roman" w:hAnsi="Times New Roman"/>
                <w:sz w:val="12"/>
                <w:szCs w:val="12"/>
                <w:b w:val="1"/>
                <w:bCs w:val="1"/>
                <w:color w:val="auto"/>
              </w:rPr>
              <w:t>14203</w:t>
            </w:r>
          </w:p>
        </w:tc>
      </w:tr>
      <w:tr>
        <w:trPr>
          <w:trHeight w:val="159"/>
        </w:trPr>
        <w:tc>
          <w:tcPr>
            <w:tcW w:w="2180" w:type="dxa"/>
            <w:vAlign w:val="bottom"/>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6380" w:type="dxa"/>
            <w:vAlign w:val="bottom"/>
          </w:tcPr>
          <w:p>
            <w:pPr>
              <w:jc w:val="center"/>
              <w:ind w:left="4456"/>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355"/>
        </w:trPr>
        <w:tc>
          <w:tcPr>
            <w:tcW w:w="2180" w:type="dxa"/>
            <w:vAlign w:val="bottom"/>
          </w:tcPr>
          <w:p>
            <w:pPr>
              <w:spacing w:after="0"/>
              <w:rPr>
                <w:sz w:val="24"/>
                <w:szCs w:val="24"/>
                <w:color w:val="auto"/>
              </w:rPr>
            </w:pPr>
          </w:p>
        </w:tc>
        <w:tc>
          <w:tcPr>
            <w:tcW w:w="6380" w:type="dxa"/>
            <w:vAlign w:val="bottom"/>
          </w:tcPr>
          <w:p>
            <w:pPr>
              <w:jc w:val="center"/>
              <w:ind w:right="2116"/>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(716) 635-4000</w:t>
            </w:r>
          </w:p>
        </w:tc>
      </w:tr>
      <w:tr>
        <w:trPr>
          <w:trHeight w:val="225"/>
        </w:trPr>
        <w:tc>
          <w:tcPr>
            <w:tcW w:w="2180" w:type="dxa"/>
            <w:vAlign w:val="bottom"/>
          </w:tcPr>
          <w:p>
            <w:pPr>
              <w:spacing w:after="0"/>
              <w:rPr>
                <w:sz w:val="19"/>
                <w:szCs w:val="19"/>
                <w:color w:val="auto"/>
              </w:rPr>
            </w:pPr>
          </w:p>
        </w:tc>
        <w:tc>
          <w:tcPr>
            <w:tcW w:w="6380" w:type="dxa"/>
            <w:vAlign w:val="bottom"/>
          </w:tcPr>
          <w:p>
            <w:pPr>
              <w:jc w:val="center"/>
              <w:ind w:right="2096"/>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w:t>
            </w:r>
          </w:p>
        </w:tc>
      </w:tr>
    </w:tbl>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Instructions A.2. below):</w:t>
      </w:r>
    </w:p>
    <w:p>
      <w:pPr>
        <w:spacing w:after="0" w:line="114" w:lineRule="exact"/>
        <w:rPr>
          <w:sz w:val="24"/>
          <w:szCs w:val="24"/>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1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0" w:type="dxa"/>
            <w:vAlign w:val="bottom"/>
            <w:gridSpan w:val="3"/>
          </w:tcPr>
          <w:p>
            <w:pPr>
              <w:ind w:left="1000"/>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tc>
        <w:tc>
          <w:tcPr>
            <w:tcW w:w="1880" w:type="dxa"/>
            <w:vAlign w:val="bottom"/>
          </w:tcPr>
          <w:p>
            <w:pPr>
              <w:spacing w:after="0"/>
              <w:rPr>
                <w:sz w:val="10"/>
                <w:szCs w:val="10"/>
                <w:color w:val="auto"/>
              </w:rPr>
            </w:pPr>
          </w:p>
        </w:tc>
      </w:tr>
      <w:tr>
        <w:trPr>
          <w:trHeight w:val="134"/>
        </w:trPr>
        <w:tc>
          <w:tcPr>
            <w:tcW w:w="3480" w:type="dxa"/>
            <w:vAlign w:val="bottom"/>
            <w:gridSpan w:val="3"/>
          </w:tcPr>
          <w:p>
            <w:pPr>
              <w:ind w:left="174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4600" w:type="dxa"/>
            <w:vAlign w:val="bottom"/>
            <w:gridSpan w:val="3"/>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5"/>
              </w:rPr>
              <w:t>Trading Symbols</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161"/>
        </w:trPr>
        <w:tc>
          <w:tcPr>
            <w:tcW w:w="1740" w:type="dxa"/>
            <w:vAlign w:val="bottom"/>
          </w:tcPr>
          <w:p>
            <w:pPr>
              <w:spacing w:after="0"/>
              <w:rPr>
                <w:sz w:val="20"/>
                <w:szCs w:val="20"/>
                <w:color w:val="auto"/>
              </w:rPr>
            </w:pPr>
            <w:r>
              <w:rPr>
                <w:rFonts w:ascii="Times New Roman" w:cs="Times New Roman" w:eastAsia="Times New Roman" w:hAnsi="Times New Roman"/>
                <w:sz w:val="10"/>
                <w:szCs w:val="10"/>
                <w:color w:val="auto"/>
              </w:rPr>
              <w:t>Common Stock, $.50 par value</w:t>
            </w:r>
          </w:p>
        </w:tc>
        <w:tc>
          <w:tcPr>
            <w:tcW w:w="760" w:type="dxa"/>
            <w:vAlign w:val="bottom"/>
            <w:tcBorders>
              <w:top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MTB</w:t>
            </w:r>
          </w:p>
        </w:tc>
        <w:tc>
          <w:tcPr>
            <w:tcW w:w="2240" w:type="dxa"/>
            <w:vAlign w:val="bottom"/>
          </w:tcPr>
          <w:p>
            <w:pPr>
              <w:spacing w:after="0"/>
              <w:rPr>
                <w:sz w:val="14"/>
                <w:szCs w:val="14"/>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New York Stock Exchange</w:t>
            </w:r>
          </w:p>
        </w:tc>
      </w:tr>
      <w:tr>
        <w:trPr>
          <w:trHeight w:val="153"/>
        </w:trPr>
        <w:tc>
          <w:tcPr>
            <w:tcW w:w="34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Perpetual Fixed-to-Floating Rate</w:t>
            </w:r>
          </w:p>
        </w:tc>
        <w:tc>
          <w:tcPr>
            <w:tcW w:w="1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26"/>
        </w:trPr>
        <w:tc>
          <w:tcPr>
            <w:tcW w:w="34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Non-Cumulative Preferred Stock, Series H</w:t>
            </w:r>
          </w:p>
        </w:tc>
        <w:tc>
          <w:tcPr>
            <w:tcW w:w="1660" w:type="dxa"/>
            <w:vAlign w:val="bottom"/>
          </w:tcPr>
          <w:p>
            <w:pPr>
              <w:spacing w:after="0"/>
              <w:rPr>
                <w:sz w:val="10"/>
                <w:szCs w:val="10"/>
                <w:color w:val="auto"/>
              </w:rPr>
            </w:pPr>
          </w:p>
        </w:tc>
        <w:tc>
          <w:tcPr>
            <w:tcW w:w="2940" w:type="dxa"/>
            <w:vAlign w:val="bottom"/>
            <w:gridSpan w:val="2"/>
          </w:tcPr>
          <w:p>
            <w:pPr>
              <w:jc w:val="center"/>
              <w:ind w:right="2240"/>
              <w:spacing w:after="0"/>
              <w:rPr>
                <w:sz w:val="20"/>
                <w:szCs w:val="20"/>
                <w:color w:val="auto"/>
              </w:rPr>
            </w:pPr>
            <w:r>
              <w:rPr>
                <w:rFonts w:ascii="Times New Roman" w:cs="Times New Roman" w:eastAsia="Times New Roman" w:hAnsi="Times New Roman"/>
                <w:sz w:val="10"/>
                <w:szCs w:val="10"/>
                <w:color w:val="auto"/>
              </w:rPr>
              <w:t>MTBPrH</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New York Stock Exchange</w:t>
            </w:r>
          </w:p>
        </w:tc>
      </w:tr>
      <w:tr>
        <w:trPr>
          <w:trHeight w:val="153"/>
        </w:trPr>
        <w:tc>
          <w:tcPr>
            <w:tcW w:w="34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Perpetual Fixed Rate Non-Cumulative</w:t>
            </w:r>
          </w:p>
        </w:tc>
        <w:tc>
          <w:tcPr>
            <w:tcW w:w="1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26"/>
        </w:trPr>
        <w:tc>
          <w:tcPr>
            <w:tcW w:w="34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Preferred Stock, Series J</w:t>
            </w:r>
          </w:p>
        </w:tc>
        <w:tc>
          <w:tcPr>
            <w:tcW w:w="1660" w:type="dxa"/>
            <w:vAlign w:val="bottom"/>
          </w:tcPr>
          <w:p>
            <w:pPr>
              <w:spacing w:after="0"/>
              <w:rPr>
                <w:sz w:val="10"/>
                <w:szCs w:val="10"/>
                <w:color w:val="auto"/>
              </w:rPr>
            </w:pPr>
          </w:p>
        </w:tc>
        <w:tc>
          <w:tcPr>
            <w:tcW w:w="2940" w:type="dxa"/>
            <w:vAlign w:val="bottom"/>
            <w:gridSpan w:val="2"/>
          </w:tcPr>
          <w:p>
            <w:pPr>
              <w:jc w:val="center"/>
              <w:ind w:right="2240"/>
              <w:spacing w:after="0"/>
              <w:rPr>
                <w:sz w:val="20"/>
                <w:szCs w:val="20"/>
                <w:color w:val="auto"/>
              </w:rPr>
            </w:pPr>
            <w:r>
              <w:rPr>
                <w:rFonts w:ascii="Times New Roman" w:cs="Times New Roman" w:eastAsia="Times New Roman" w:hAnsi="Times New Roman"/>
                <w:sz w:val="10"/>
                <w:szCs w:val="10"/>
                <w:color w:val="auto"/>
                <w:w w:val="98"/>
              </w:rPr>
              <w:t>MTBPrJ</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New York Stock Exchange</w:t>
            </w:r>
          </w:p>
        </w:tc>
      </w:tr>
      <w:tr>
        <w:trPr>
          <w:trHeight w:val="153"/>
        </w:trPr>
        <w:tc>
          <w:tcPr>
            <w:tcW w:w="34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Perpetual Fixed Rate Non-Cumulative</w:t>
            </w:r>
          </w:p>
        </w:tc>
        <w:tc>
          <w:tcPr>
            <w:tcW w:w="1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26"/>
        </w:trPr>
        <w:tc>
          <w:tcPr>
            <w:tcW w:w="34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Preferred Stock, Series K</w:t>
            </w:r>
          </w:p>
        </w:tc>
        <w:tc>
          <w:tcPr>
            <w:tcW w:w="1660" w:type="dxa"/>
            <w:vAlign w:val="bottom"/>
          </w:tcPr>
          <w:p>
            <w:pPr>
              <w:spacing w:after="0"/>
              <w:rPr>
                <w:sz w:val="10"/>
                <w:szCs w:val="10"/>
                <w:color w:val="auto"/>
              </w:rPr>
            </w:pPr>
          </w:p>
        </w:tc>
        <w:tc>
          <w:tcPr>
            <w:tcW w:w="2940" w:type="dxa"/>
            <w:vAlign w:val="bottom"/>
            <w:gridSpan w:val="2"/>
          </w:tcPr>
          <w:p>
            <w:pPr>
              <w:jc w:val="center"/>
              <w:ind w:right="2240"/>
              <w:spacing w:after="0"/>
              <w:rPr>
                <w:sz w:val="20"/>
                <w:szCs w:val="20"/>
                <w:color w:val="auto"/>
              </w:rPr>
            </w:pPr>
            <w:r>
              <w:rPr>
                <w:rFonts w:ascii="Times New Roman" w:cs="Times New Roman" w:eastAsia="Times New Roman" w:hAnsi="Times New Roman"/>
                <w:sz w:val="10"/>
                <w:szCs w:val="10"/>
                <w:color w:val="auto"/>
              </w:rPr>
              <w:t>MTBPrK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New York Stock Exchange</w:t>
            </w:r>
          </w:p>
        </w:tc>
      </w:tr>
    </w:tbl>
    <w:p>
      <w:pPr>
        <w:spacing w:after="0" w:line="141" w:lineRule="exact"/>
        <w:rPr>
          <w:sz w:val="24"/>
          <w:szCs w:val="24"/>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 w:lineRule="exact"/>
        <w:rPr>
          <w:sz w:val="24"/>
          <w:szCs w:val="24"/>
          <w:color w:val="auto"/>
        </w:rPr>
      </w:pPr>
    </w:p>
    <w:p>
      <w:pPr>
        <w:spacing w:after="0" w:line="138" w:lineRule="exact"/>
        <w:tabs>
          <w:tab w:leader="none" w:pos="140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06"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433705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7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2.02. Results of Operations and Financial Condition</w:t>
      </w:r>
    </w:p>
    <w:p>
      <w:pPr>
        <w:spacing w:after="0" w:line="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2"/>
          <w:szCs w:val="12"/>
          <w:color w:val="auto"/>
        </w:rPr>
        <w:t>On January 16, 2026, M&amp;T Bank Corporation (“M&amp;T”) announced its results of operations for the quarter ended and year ended December 31, 2025. The public announcement was made by means of a news release, the text of which is set forth in Exhibit 99.1 hereto.</w:t>
      </w:r>
    </w:p>
    <w:p>
      <w:pPr>
        <w:spacing w:after="0" w:line="14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2"/>
          <w:szCs w:val="12"/>
          <w:color w:val="auto"/>
        </w:rPr>
        <w:t>The information in Item 2.02 of this Form 8-K, including Exhibit 99.1 attached hereto, is being furnished and shall not be deemed to be “filed” for purposes of Section 18 of the Securities Exchange Act of 1934 (the “Exchange Act”), or otherwise subject to the liability of such section, nor shall it be deemed incorporated by reference in any filing of M&amp;T under the Securities Act of 1933 or the Exchange Act, regardless of any general incorporation language in such filing, unless expressly incorporated by specific reference in such filing.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16, 2026, M&amp;T posted an investor presentation to its website. A copy of the presentation is attached as Exhibit 99.2 hereto. From time to time, M&amp;T may use this presentation in conversations with investors and analysts.</w:t>
      </w:r>
    </w:p>
    <w:p>
      <w:pPr>
        <w:spacing w:after="0"/>
        <w:rPr>
          <w:sz w:val="20"/>
          <w:szCs w:val="20"/>
          <w:color w:val="auto"/>
        </w:rPr>
      </w:pPr>
      <w:r>
        <w:rPr>
          <w:rFonts w:ascii="Times New Roman" w:cs="Times New Roman" w:eastAsia="Times New Roman" w:hAnsi="Times New Roman"/>
          <w:sz w:val="12"/>
          <w:szCs w:val="12"/>
          <w:color w:val="auto"/>
        </w:rPr>
        <w:t xml:space="preserve">The presentation can be found on the Investor Relations page of M&amp;T’s website at </w:t>
      </w:r>
      <w:r>
        <w:rPr>
          <w:rFonts w:ascii="Times New Roman" w:cs="Times New Roman" w:eastAsia="Times New Roman" w:hAnsi="Times New Roman"/>
          <w:sz w:val="12"/>
          <w:szCs w:val="12"/>
          <w:u w:val="single" w:color="auto"/>
          <w:color w:val="auto"/>
        </w:rPr>
        <w:t>ir.mtb.com/events-presentations</w:t>
      </w:r>
      <w:r>
        <w:rPr>
          <w:rFonts w:ascii="Times New Roman" w:cs="Times New Roman" w:eastAsia="Times New Roman" w:hAnsi="Times New Roman"/>
          <w:sz w:val="12"/>
          <w:szCs w:val="12"/>
          <w:color w:val="auto"/>
        </w:rPr>
        <w:t>.</w:t>
      </w:r>
    </w:p>
    <w:p>
      <w:pPr>
        <w:spacing w:after="0" w:line="15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2"/>
          <w:szCs w:val="12"/>
          <w:color w:val="auto"/>
        </w:rPr>
        <w:t>The information in Item 7.01 of this Form 8-K, including Exhibit 99.2 attached hereto, is being furnished and shall not be deemed to be “filed” for purposes of Section 18 of the Exchange Act, or otherwise subject to the liability of such section, nor shall it be deemed incorporated by reference in any filing of M&amp;T under the Securities Act of 1933 or the Exchange Act, regardless of any general incorporation language in such filing, unless expressly incorporated by specific reference in such filing.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 Financial Statements and Exhibits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The following exhibits are being filed herewith:</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3"/>
              </w:rPr>
              <w:t>Exhibit No.</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Exhibit Description</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940" w:type="dxa"/>
            <w:vAlign w:val="bottom"/>
          </w:tcPr>
          <w:p>
            <w:pPr>
              <w:spacing w:after="0"/>
              <w:rPr>
                <w:sz w:val="13"/>
                <w:szCs w:val="13"/>
                <w:color w:val="auto"/>
              </w:rPr>
            </w:pPr>
          </w:p>
        </w:tc>
        <w:tc>
          <w:tcPr>
            <w:tcW w:w="1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8"/>
              </w:rPr>
              <w:t>News Release dated January 16, 2026</w:t>
            </w:r>
          </w:p>
        </w:tc>
        <w:tc>
          <w:tcPr>
            <w:tcW w:w="8040" w:type="dxa"/>
            <w:vAlign w:val="bottom"/>
            <w:gridSpan w:val="2"/>
          </w:tcPr>
          <w:p>
            <w:pPr>
              <w:spacing w:after="0"/>
              <w:rPr>
                <w:sz w:val="13"/>
                <w:szCs w:val="13"/>
                <w:color w:val="auto"/>
              </w:rPr>
            </w:pPr>
          </w:p>
        </w:tc>
      </w:tr>
      <w:tr>
        <w:trPr>
          <w:trHeight w:val="169"/>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99.2</w:t>
            </w:r>
          </w:p>
        </w:tc>
        <w:tc>
          <w:tcPr>
            <w:tcW w:w="940" w:type="dxa"/>
            <w:vAlign w:val="bottom"/>
          </w:tcPr>
          <w:p>
            <w:pPr>
              <w:spacing w:after="0"/>
              <w:rPr>
                <w:sz w:val="14"/>
                <w:szCs w:val="14"/>
                <w:color w:val="auto"/>
              </w:rPr>
            </w:pPr>
          </w:p>
        </w:tc>
        <w:tc>
          <w:tcPr>
            <w:tcW w:w="29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9"/>
              </w:rPr>
              <w:t>M&amp;T Bank Corporation presentation dated January 16, 2026</w:t>
            </w:r>
          </w:p>
        </w:tc>
        <w:tc>
          <w:tcPr>
            <w:tcW w:w="6920" w:type="dxa"/>
            <w:vAlign w:val="bottom"/>
          </w:tcPr>
          <w:p>
            <w:pPr>
              <w:spacing w:after="0"/>
              <w:rPr>
                <w:sz w:val="14"/>
                <w:szCs w:val="14"/>
                <w:color w:val="auto"/>
              </w:rPr>
            </w:pPr>
          </w:p>
        </w:tc>
      </w:tr>
      <w:tr>
        <w:trPr>
          <w:trHeight w:val="196"/>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104</w:t>
            </w:r>
          </w:p>
        </w:tc>
        <w:tc>
          <w:tcPr>
            <w:tcW w:w="940" w:type="dxa"/>
            <w:vAlign w:val="bottom"/>
          </w:tcPr>
          <w:p>
            <w:pPr>
              <w:spacing w:after="0"/>
              <w:rPr>
                <w:sz w:val="17"/>
                <w:szCs w:val="17"/>
                <w:color w:val="auto"/>
              </w:rPr>
            </w:pPr>
          </w:p>
        </w:tc>
        <w:tc>
          <w:tcPr>
            <w:tcW w:w="986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873"/>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77"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3"/>
          <w:szCs w:val="13"/>
          <w:b w:val="1"/>
          <w:bCs w:val="1"/>
          <w:color w:val="auto"/>
        </w:rPr>
        <w:t>M&amp;T BANK CORPORATION</w:t>
      </w:r>
    </w:p>
    <w:p>
      <w:pPr>
        <w:spacing w:after="0" w:line="216" w:lineRule="exact"/>
        <w:rPr>
          <w:sz w:val="20"/>
          <w:szCs w:val="20"/>
          <w:color w:val="auto"/>
        </w:rPr>
      </w:pPr>
    </w:p>
    <w:p>
      <w:pPr>
        <w:ind w:left="240"/>
        <w:spacing w:after="0"/>
        <w:tabs>
          <w:tab w:leader="none" w:pos="1020" w:val="left"/>
          <w:tab w:leader="none" w:pos="7320" w:val="left"/>
          <w:tab w:leader="none" w:pos="812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January 16,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5149850</wp:posOffset>
            </wp:positionH>
            <wp:positionV relativeFrom="paragraph">
              <wp:posOffset>27940</wp:posOffset>
            </wp:positionV>
            <wp:extent cx="20231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5715"/>
                    </a:xfrm>
                    <a:prstGeom prst="rect">
                      <a:avLst/>
                    </a:prstGeom>
                    <a:noFill/>
                  </pic:spPr>
                </pic:pic>
              </a:graphicData>
            </a:graphic>
          </wp:anchor>
        </w:drawing>
      </w:r>
    </w:p>
    <w:p>
      <w:pPr>
        <w:spacing w:after="0" w:line="4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2"/>
          <w:szCs w:val="12"/>
          <w:color w:val="auto"/>
        </w:rPr>
        <w:t>Daryl N. Bible</w:t>
      </w:r>
    </w:p>
    <w:p>
      <w:pPr>
        <w:spacing w:after="0" w:line="51"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2"/>
          <w:szCs w:val="12"/>
          <w:color w:val="auto"/>
        </w:rPr>
        <w:t>Senior Executive Vice President</w:t>
      </w:r>
    </w:p>
    <w:p>
      <w:pPr>
        <w:spacing w:after="0" w:line="1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2"/>
          <w:szCs w:val="12"/>
          <w:color w:val="auto"/>
        </w:rPr>
        <w:t>and Chief Financial Officer</w:t>
      </w:r>
    </w:p>
    <w:p>
      <w:pPr>
        <w:sectPr>
          <w:pgSz w:w="11900" w:h="16838" w:orient="portrait"/>
          <w:cols w:equalWidth="0" w:num="1">
            <w:col w:w="10159"/>
          </w:cols>
          <w:pgMar w:left="300" w:top="773"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202565</wp:posOffset>
            </wp:positionV>
            <wp:extent cx="7178040" cy="542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4292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128"/>
        <w:spacing w:after="0"/>
        <w:rPr>
          <w:sz w:val="20"/>
          <w:szCs w:val="20"/>
          <w:color w:val="auto"/>
        </w:rPr>
      </w:pPr>
      <w:r>
        <w:rPr>
          <w:rFonts w:ascii="Times New Roman" w:cs="Times New Roman" w:eastAsia="Times New Roman" w:hAnsi="Times New Roman"/>
          <w:sz w:val="19"/>
          <w:szCs w:val="19"/>
          <w:color w:val="FFFFFF"/>
        </w:rPr>
        <w:t>News Release</w:t>
      </w:r>
    </w:p>
    <w:p>
      <w:pPr>
        <w:spacing w:after="0" w:line="172" w:lineRule="exact"/>
        <w:rPr>
          <w:sz w:val="20"/>
          <w:szCs w:val="20"/>
          <w:color w:val="auto"/>
        </w:rPr>
      </w:pPr>
    </w:p>
    <w:tbl>
      <w:tblPr>
        <w:tblLayout w:type="fixed"/>
        <w:tblInd w:w="48" w:type="dxa"/>
        <w:tblCellMar>
          <w:top w:w="0" w:type="dxa"/>
          <w:left w:w="0" w:type="dxa"/>
          <w:bottom w:w="0" w:type="dxa"/>
          <w:right w:w="0" w:type="dxa"/>
        </w:tblCellMar>
      </w:tblPr>
      <w:tr>
        <w:trPr>
          <w:trHeight w:val="188"/>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FFFFFF"/>
              </w:rPr>
              <w:t>One M&amp;T Plaza, Buffalo, NY 14203</w:t>
            </w:r>
          </w:p>
        </w:tc>
        <w:tc>
          <w:tcPr>
            <w:tcW w:w="5020" w:type="dxa"/>
            <w:vAlign w:val="bottom"/>
          </w:tcPr>
          <w:p>
            <w:pPr>
              <w:ind w:left="4020"/>
              <w:spacing w:after="0"/>
              <w:rPr>
                <w:sz w:val="20"/>
                <w:szCs w:val="20"/>
                <w:color w:val="auto"/>
              </w:rPr>
            </w:pPr>
            <w:r>
              <w:rPr>
                <w:rFonts w:ascii="Times New Roman" w:cs="Times New Roman" w:eastAsia="Times New Roman" w:hAnsi="Times New Roman"/>
                <w:sz w:val="14"/>
                <w:szCs w:val="14"/>
                <w:color w:val="FFFFFF"/>
              </w:rPr>
              <w:t>January 16, 2026</w:t>
            </w:r>
          </w:p>
        </w:tc>
      </w:tr>
    </w:tbl>
    <w:p>
      <w:pPr>
        <w:spacing w:after="0" w:line="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M&amp;T Bank Corporation (NYSE:MTB) announces fourth quarter and full-year 2025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8375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3755" cy="137160"/>
                    </a:xfrm>
                    <a:prstGeom prst="rect">
                      <a:avLst/>
                    </a:prstGeom>
                    <a:noFill/>
                  </pic:spPr>
                </pic:pic>
              </a:graphicData>
            </a:graphic>
          </wp:anchor>
        </w:drawing>
      </w:r>
    </w:p>
    <w:p>
      <w:pPr>
        <w:spacing w:after="0" w:line="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M&amp;T Bank Corporation ("M&amp;T" or "the Company") reports quarterly net income of $759 million or $4.67 of diluted earnings per common share and full-year net income of $2.85 billion or $17.00 of diluted earnings per common share.</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(Dollars in millions, except per share data)</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4Q25</w:t>
            </w: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3Q25</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4Q24</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2025</w:t>
            </w: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78"/>
        </w:trPr>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004B36"/>
              </w:rPr>
              <w:t>Earnings Highlights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E5F1EE"/>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E5F1EE"/>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24"/>
        </w:trPr>
        <w:tc>
          <w:tcPr>
            <w:tcW w:w="514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Net interest income</w:t>
            </w:r>
          </w:p>
        </w:tc>
        <w:tc>
          <w:tcPr>
            <w:tcW w:w="240" w:type="dxa"/>
            <w:vAlign w:val="bottom"/>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1,779</w:t>
            </w:r>
          </w:p>
        </w:tc>
        <w:tc>
          <w:tcPr>
            <w:tcW w:w="440" w:type="dxa"/>
            <w:vAlign w:val="bottom"/>
            <w:gridSpan w:val="2"/>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1,761</w:t>
            </w:r>
          </w:p>
        </w:tc>
        <w:tc>
          <w:tcPr>
            <w:tcW w:w="880" w:type="dxa"/>
            <w:vAlign w:val="bottom"/>
            <w:gridSpan w:val="2"/>
            <w:shd w:val="clear" w:color="auto" w:fill="E5F1EE"/>
          </w:tcPr>
          <w:p>
            <w:pPr>
              <w:jc w:val="right"/>
              <w:ind w:right="572"/>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1,728</w:t>
            </w:r>
          </w:p>
        </w:tc>
        <w:tc>
          <w:tcPr>
            <w:tcW w:w="22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6,948</w:t>
            </w:r>
          </w:p>
        </w:tc>
        <w:tc>
          <w:tcPr>
            <w:tcW w:w="22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6,852</w:t>
            </w:r>
          </w:p>
        </w:tc>
      </w:tr>
      <w:tr>
        <w:trPr>
          <w:trHeight w:val="129"/>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Taxable-equivalent adjustment</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r>
      <w:tr>
        <w:trPr>
          <w:trHeight w:val="141"/>
        </w:trPr>
        <w:tc>
          <w:tcPr>
            <w:tcW w:w="514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Net interest income - taxable-equivalent</w:t>
            </w: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1,790</w:t>
            </w:r>
          </w:p>
        </w:tc>
        <w:tc>
          <w:tcPr>
            <w:tcW w:w="20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40" w:type="dxa"/>
            <w:vAlign w:val="bottom"/>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1,773</w:t>
            </w:r>
          </w:p>
        </w:tc>
        <w:tc>
          <w:tcPr>
            <w:tcW w:w="20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3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1,740</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6,992</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6,902</w:t>
            </w:r>
          </w:p>
        </w:tc>
      </w:tr>
      <w:tr>
        <w:trPr>
          <w:trHeight w:val="129"/>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Provision for credit losses</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125</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610</w:t>
            </w:r>
          </w:p>
        </w:tc>
      </w:tr>
      <w:tr>
        <w:trPr>
          <w:trHeight w:val="141"/>
        </w:trPr>
        <w:tc>
          <w:tcPr>
            <w:tcW w:w="514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Noninterest income</w:t>
            </w: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696</w:t>
            </w:r>
          </w:p>
        </w:tc>
        <w:tc>
          <w:tcPr>
            <w:tcW w:w="20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40" w:type="dxa"/>
            <w:vAlign w:val="bottom"/>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752</w:t>
            </w:r>
          </w:p>
        </w:tc>
        <w:tc>
          <w:tcPr>
            <w:tcW w:w="20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3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657</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2,742</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2,427</w:t>
            </w:r>
          </w:p>
        </w:tc>
      </w:tr>
      <w:tr>
        <w:trPr>
          <w:trHeight w:val="129"/>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Noninterest expense</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1,363</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5,493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5,359</w:t>
            </w:r>
          </w:p>
        </w:tc>
      </w:tr>
      <w:tr>
        <w:trPr>
          <w:trHeight w:val="141"/>
        </w:trPr>
        <w:tc>
          <w:tcPr>
            <w:tcW w:w="514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Net income</w:t>
            </w: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759</w:t>
            </w:r>
          </w:p>
        </w:tc>
        <w:tc>
          <w:tcPr>
            <w:tcW w:w="20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40" w:type="dxa"/>
            <w:vAlign w:val="bottom"/>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792</w:t>
            </w:r>
          </w:p>
        </w:tc>
        <w:tc>
          <w:tcPr>
            <w:tcW w:w="20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3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681</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2,851</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2,588</w:t>
            </w:r>
          </w:p>
        </w:tc>
      </w:tr>
      <w:tr>
        <w:trPr>
          <w:trHeight w:val="129"/>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 available to common shareholders - diluted</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754</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2,449</w:t>
            </w:r>
          </w:p>
        </w:tc>
      </w:tr>
      <w:tr>
        <w:trPr>
          <w:trHeight w:val="141"/>
        </w:trPr>
        <w:tc>
          <w:tcPr>
            <w:tcW w:w="514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Diluted earnings per common share</w:t>
            </w: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4.67</w:t>
            </w:r>
          </w:p>
        </w:tc>
        <w:tc>
          <w:tcPr>
            <w:tcW w:w="20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40" w:type="dxa"/>
            <w:vAlign w:val="bottom"/>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4.82</w:t>
            </w:r>
          </w:p>
        </w:tc>
        <w:tc>
          <w:tcPr>
            <w:tcW w:w="20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3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3.86</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14.64</w:t>
            </w:r>
          </w:p>
        </w:tc>
      </w:tr>
      <w:tr>
        <w:trPr>
          <w:trHeight w:val="123"/>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Return on average assets - annualized</w:t>
            </w: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1.41 %</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1.49 %</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1.28 %</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1.35 %</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1.23 %</w:t>
            </w:r>
          </w:p>
        </w:tc>
      </w:tr>
      <w:tr>
        <w:trPr>
          <w:trHeight w:val="144"/>
        </w:trPr>
        <w:tc>
          <w:tcPr>
            <w:tcW w:w="5140" w:type="dxa"/>
            <w:vAlign w:val="bottom"/>
            <w:tcBorders>
              <w:bottom w:val="single" w:sz="8" w:color="auto"/>
            </w:tcBorders>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Return on average common shareholders' equity - annualized</w:t>
            </w:r>
          </w:p>
        </w:tc>
        <w:tc>
          <w:tcPr>
            <w:tcW w:w="240" w:type="dxa"/>
            <w:vAlign w:val="bottom"/>
            <w:tcBorders>
              <w:bottom w:val="single" w:sz="8" w:color="auto"/>
            </w:tcBorders>
            <w:shd w:val="clear" w:color="auto" w:fill="E5F1EE"/>
          </w:tcPr>
          <w:p>
            <w:pPr>
              <w:spacing w:after="0"/>
              <w:rPr>
                <w:sz w:val="12"/>
                <w:szCs w:val="12"/>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10.87</w:t>
            </w:r>
          </w:p>
        </w:tc>
        <w:tc>
          <w:tcPr>
            <w:tcW w:w="200" w:type="dxa"/>
            <w:vAlign w:val="bottom"/>
            <w:tcBorders>
              <w:bottom w:val="single" w:sz="8" w:color="auto"/>
            </w:tcBorders>
            <w:shd w:val="clear" w:color="auto" w:fill="E5F1EE"/>
          </w:tcPr>
          <w:p>
            <w:pPr>
              <w:spacing w:after="0"/>
              <w:rPr>
                <w:sz w:val="12"/>
                <w:szCs w:val="12"/>
                <w:color w:val="auto"/>
              </w:rPr>
            </w:pPr>
          </w:p>
        </w:tc>
        <w:tc>
          <w:tcPr>
            <w:tcW w:w="240" w:type="dxa"/>
            <w:vAlign w:val="bottom"/>
            <w:tcBorders>
              <w:bottom w:val="single" w:sz="8" w:color="auto"/>
            </w:tcBorders>
            <w:shd w:val="clear" w:color="auto" w:fill="E5F1EE"/>
          </w:tcPr>
          <w:p>
            <w:pPr>
              <w:spacing w:after="0"/>
              <w:rPr>
                <w:sz w:val="12"/>
                <w:szCs w:val="12"/>
                <w:color w:val="auto"/>
              </w:rPr>
            </w:pPr>
          </w:p>
        </w:tc>
        <w:tc>
          <w:tcPr>
            <w:tcW w:w="840" w:type="dxa"/>
            <w:vAlign w:val="bottom"/>
            <w:tcBorders>
              <w:bottom w:val="single" w:sz="8" w:color="auto"/>
            </w:tcBorders>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11.45</w:t>
            </w:r>
          </w:p>
        </w:tc>
        <w:tc>
          <w:tcPr>
            <w:tcW w:w="200" w:type="dxa"/>
            <w:vAlign w:val="bottom"/>
            <w:tcBorders>
              <w:bottom w:val="single" w:sz="8" w:color="auto"/>
            </w:tcBorders>
            <w:shd w:val="clear" w:color="auto" w:fill="E5F1EE"/>
          </w:tcPr>
          <w:p>
            <w:pPr>
              <w:spacing w:after="0"/>
              <w:rPr>
                <w:sz w:val="12"/>
                <w:szCs w:val="12"/>
                <w:color w:val="auto"/>
              </w:rPr>
            </w:pPr>
          </w:p>
        </w:tc>
        <w:tc>
          <w:tcPr>
            <w:tcW w:w="680" w:type="dxa"/>
            <w:vAlign w:val="bottom"/>
            <w:tcBorders>
              <w:bottom w:val="single" w:sz="8" w:color="auto"/>
            </w:tcBorders>
            <w:shd w:val="clear" w:color="auto" w:fill="E5F1EE"/>
          </w:tcPr>
          <w:p>
            <w:pPr>
              <w:spacing w:after="0"/>
              <w:rPr>
                <w:sz w:val="12"/>
                <w:szCs w:val="12"/>
                <w:color w:val="auto"/>
              </w:rPr>
            </w:pPr>
          </w:p>
        </w:tc>
        <w:tc>
          <w:tcPr>
            <w:tcW w:w="3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220" w:type="dxa"/>
            <w:vAlign w:val="bottom"/>
            <w:shd w:val="clear" w:color="auto" w:fill="E5F1EE"/>
          </w:tcPr>
          <w:p>
            <w:pPr>
              <w:spacing w:after="0"/>
              <w:rPr>
                <w:sz w:val="12"/>
                <w:szCs w:val="12"/>
                <w:color w:val="auto"/>
              </w:rPr>
            </w:pPr>
          </w:p>
        </w:tc>
        <w:tc>
          <w:tcPr>
            <w:tcW w:w="240" w:type="dxa"/>
            <w:vAlign w:val="bottom"/>
            <w:tcBorders>
              <w:bottom w:val="single" w:sz="8" w:color="auto"/>
            </w:tcBorders>
            <w:shd w:val="clear" w:color="auto" w:fill="E5F1EE"/>
          </w:tcPr>
          <w:p>
            <w:pPr>
              <w:spacing w:after="0"/>
              <w:rPr>
                <w:sz w:val="12"/>
                <w:szCs w:val="12"/>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10.27</w:t>
            </w:r>
          </w:p>
        </w:tc>
        <w:tc>
          <w:tcPr>
            <w:tcW w:w="220" w:type="dxa"/>
            <w:vAlign w:val="bottom"/>
            <w:shd w:val="clear" w:color="auto" w:fill="E5F1EE"/>
          </w:tcPr>
          <w:p>
            <w:pPr>
              <w:spacing w:after="0"/>
              <w:rPr>
                <w:sz w:val="12"/>
                <w:szCs w:val="12"/>
                <w:color w:val="auto"/>
              </w:rPr>
            </w:pPr>
          </w:p>
        </w:tc>
        <w:tc>
          <w:tcPr>
            <w:tcW w:w="240" w:type="dxa"/>
            <w:vAlign w:val="bottom"/>
            <w:tcBorders>
              <w:bottom w:val="single" w:sz="8" w:color="auto"/>
            </w:tcBorders>
            <w:shd w:val="clear" w:color="auto" w:fill="E5F1EE"/>
          </w:tcPr>
          <w:p>
            <w:pPr>
              <w:spacing w:after="0"/>
              <w:rPr>
                <w:sz w:val="12"/>
                <w:szCs w:val="12"/>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9.54</w:t>
            </w:r>
          </w:p>
        </w:tc>
      </w:tr>
      <w:tr>
        <w:trPr>
          <w:trHeight w:val="172"/>
        </w:trPr>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004B36"/>
              </w:rPr>
              <w:t>Average Balance Sheet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E5F1EE"/>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E5F1EE"/>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24"/>
        </w:trPr>
        <w:tc>
          <w:tcPr>
            <w:tcW w:w="514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Total assets</w:t>
            </w:r>
          </w:p>
        </w:tc>
        <w:tc>
          <w:tcPr>
            <w:tcW w:w="240" w:type="dxa"/>
            <w:vAlign w:val="bottom"/>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212,891</w:t>
            </w:r>
          </w:p>
        </w:tc>
        <w:tc>
          <w:tcPr>
            <w:tcW w:w="440" w:type="dxa"/>
            <w:vAlign w:val="bottom"/>
            <w:gridSpan w:val="2"/>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211,053</w:t>
            </w:r>
          </w:p>
        </w:tc>
        <w:tc>
          <w:tcPr>
            <w:tcW w:w="880" w:type="dxa"/>
            <w:vAlign w:val="bottom"/>
            <w:gridSpan w:val="2"/>
            <w:shd w:val="clear" w:color="auto" w:fill="E5F1EE"/>
          </w:tcPr>
          <w:p>
            <w:pPr>
              <w:jc w:val="right"/>
              <w:ind w:right="572"/>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w w:val="98"/>
              </w:rPr>
              <w:t>211,853</w:t>
            </w:r>
          </w:p>
        </w:tc>
        <w:tc>
          <w:tcPr>
            <w:tcW w:w="22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210,645</w:t>
            </w:r>
          </w:p>
        </w:tc>
        <w:tc>
          <w:tcPr>
            <w:tcW w:w="22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211,220</w:t>
            </w:r>
          </w:p>
        </w:tc>
      </w:tr>
      <w:tr>
        <w:trPr>
          <w:trHeight w:val="129"/>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Interest-bearing deposits at banks</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17,964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17,739</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23,602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18,767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27,244</w:t>
            </w:r>
          </w:p>
        </w:tc>
      </w:tr>
      <w:tr>
        <w:trPr>
          <w:trHeight w:val="141"/>
        </w:trPr>
        <w:tc>
          <w:tcPr>
            <w:tcW w:w="514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Investment securities</w:t>
            </w: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36,705</w:t>
            </w:r>
          </w:p>
        </w:tc>
        <w:tc>
          <w:tcPr>
            <w:tcW w:w="20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40" w:type="dxa"/>
            <w:vAlign w:val="bottom"/>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36,559</w:t>
            </w:r>
          </w:p>
        </w:tc>
        <w:tc>
          <w:tcPr>
            <w:tcW w:w="20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3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33,679</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35,778</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30,755</w:t>
            </w:r>
          </w:p>
        </w:tc>
      </w:tr>
      <w:tr>
        <w:trPr>
          <w:trHeight w:val="129"/>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Loans</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137,600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136,527</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135,723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136,103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134,717</w:t>
            </w:r>
          </w:p>
        </w:tc>
      </w:tr>
      <w:tr>
        <w:trPr>
          <w:trHeight w:val="141"/>
        </w:trPr>
        <w:tc>
          <w:tcPr>
            <w:tcW w:w="514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Deposits</w:t>
            </w: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165,057</w:t>
            </w:r>
          </w:p>
        </w:tc>
        <w:tc>
          <w:tcPr>
            <w:tcW w:w="20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40" w:type="dxa"/>
            <w:vAlign w:val="bottom"/>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162,706</w:t>
            </w:r>
          </w:p>
        </w:tc>
        <w:tc>
          <w:tcPr>
            <w:tcW w:w="20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3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w w:val="98"/>
              </w:rPr>
              <w:t>164,639</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163,107</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163,423</w:t>
            </w:r>
          </w:p>
        </w:tc>
      </w:tr>
      <w:tr>
        <w:trPr>
          <w:trHeight w:val="129"/>
        </w:trPr>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Borrowings</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14,619</w:t>
            </w: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15,633</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14,228</w:t>
            </w: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14,671</w:t>
            </w: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15,523</w:t>
            </w:r>
          </w:p>
        </w:tc>
      </w:tr>
      <w:tr>
        <w:trPr>
          <w:trHeight w:val="167"/>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4B36"/>
              </w:rPr>
              <w:t>Selected Ratios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34"/>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(Amounts expressed as a percent, except per share data)</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3"/>
        </w:trPr>
        <w:tc>
          <w:tcPr>
            <w:tcW w:w="4920" w:type="dxa"/>
            <w:vAlign w:val="bottom"/>
            <w:tcBorders>
              <w:top w:val="single" w:sz="8" w:color="auto"/>
            </w:tcBorders>
            <w:shd w:val="clear" w:color="auto" w:fill="E5F1EE"/>
          </w:tcPr>
          <w:p>
            <w:pPr>
              <w:spacing w:after="0"/>
              <w:rPr>
                <w:sz w:val="20"/>
                <w:szCs w:val="20"/>
                <w:color w:val="auto"/>
              </w:rPr>
            </w:pPr>
            <w:r>
              <w:rPr>
                <w:rFonts w:ascii="Times New Roman" w:cs="Times New Roman" w:eastAsia="Times New Roman" w:hAnsi="Times New Roman"/>
                <w:sz w:val="10"/>
                <w:szCs w:val="10"/>
                <w:color w:val="auto"/>
              </w:rPr>
              <w:t>Net interest margin</w:t>
            </w:r>
          </w:p>
        </w:tc>
        <w:tc>
          <w:tcPr>
            <w:tcW w:w="220" w:type="dxa"/>
            <w:vAlign w:val="bottom"/>
            <w:tcBorders>
              <w:top w:val="single" w:sz="8" w:color="E5F1EE"/>
            </w:tcBorders>
            <w:shd w:val="clear" w:color="auto" w:fill="E5F1EE"/>
          </w:tcPr>
          <w:p>
            <w:pPr>
              <w:spacing w:after="0"/>
              <w:rPr>
                <w:sz w:val="11"/>
                <w:szCs w:val="11"/>
                <w:color w:val="auto"/>
              </w:rPr>
            </w:pPr>
          </w:p>
        </w:tc>
        <w:tc>
          <w:tcPr>
            <w:tcW w:w="240" w:type="dxa"/>
            <w:vAlign w:val="bottom"/>
            <w:tcBorders>
              <w:top w:val="single" w:sz="8" w:color="auto"/>
            </w:tcBorders>
            <w:shd w:val="clear" w:color="auto" w:fill="E5F1EE"/>
          </w:tcPr>
          <w:p>
            <w:pPr>
              <w:spacing w:after="0"/>
              <w:rPr>
                <w:sz w:val="11"/>
                <w:szCs w:val="11"/>
                <w:color w:val="auto"/>
              </w:rPr>
            </w:pPr>
          </w:p>
        </w:tc>
        <w:tc>
          <w:tcPr>
            <w:tcW w:w="82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3.69 %</w:t>
            </w:r>
          </w:p>
        </w:tc>
        <w:tc>
          <w:tcPr>
            <w:tcW w:w="200" w:type="dxa"/>
            <w:vAlign w:val="bottom"/>
            <w:tcBorders>
              <w:top w:val="single" w:sz="8" w:color="E5F1EE"/>
            </w:tcBorders>
            <w:shd w:val="clear" w:color="auto" w:fill="E5F1EE"/>
          </w:tcPr>
          <w:p>
            <w:pPr>
              <w:spacing w:after="0"/>
              <w:rPr>
                <w:sz w:val="11"/>
                <w:szCs w:val="11"/>
                <w:color w:val="auto"/>
              </w:rPr>
            </w:pPr>
          </w:p>
        </w:tc>
        <w:tc>
          <w:tcPr>
            <w:tcW w:w="240" w:type="dxa"/>
            <w:vAlign w:val="bottom"/>
            <w:tcBorders>
              <w:top w:val="single" w:sz="8" w:color="auto"/>
            </w:tcBorders>
            <w:shd w:val="clear" w:color="auto" w:fill="E5F1EE"/>
          </w:tcPr>
          <w:p>
            <w:pPr>
              <w:spacing w:after="0"/>
              <w:rPr>
                <w:sz w:val="11"/>
                <w:szCs w:val="11"/>
                <w:color w:val="auto"/>
              </w:rPr>
            </w:pPr>
          </w:p>
        </w:tc>
        <w:tc>
          <w:tcPr>
            <w:tcW w:w="84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3.68 %</w:t>
            </w:r>
          </w:p>
        </w:tc>
        <w:tc>
          <w:tcPr>
            <w:tcW w:w="200" w:type="dxa"/>
            <w:vAlign w:val="bottom"/>
            <w:tcBorders>
              <w:top w:val="single" w:sz="8" w:color="E5F1EE"/>
            </w:tcBorders>
            <w:shd w:val="clear" w:color="auto" w:fill="E5F1EE"/>
          </w:tcPr>
          <w:p>
            <w:pPr>
              <w:spacing w:after="0"/>
              <w:rPr>
                <w:sz w:val="11"/>
                <w:szCs w:val="11"/>
                <w:color w:val="auto"/>
              </w:rPr>
            </w:pPr>
          </w:p>
        </w:tc>
        <w:tc>
          <w:tcPr>
            <w:tcW w:w="680" w:type="dxa"/>
            <w:vAlign w:val="bottom"/>
            <w:tcBorders>
              <w:top w:val="single" w:sz="8" w:color="auto"/>
            </w:tcBorders>
            <w:shd w:val="clear" w:color="auto" w:fill="E5F1EE"/>
          </w:tcPr>
          <w:p>
            <w:pPr>
              <w:spacing w:after="0"/>
              <w:rPr>
                <w:sz w:val="11"/>
                <w:szCs w:val="11"/>
                <w:color w:val="auto"/>
              </w:rPr>
            </w:pPr>
          </w:p>
        </w:tc>
        <w:tc>
          <w:tcPr>
            <w:tcW w:w="38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3.58 %</w:t>
            </w:r>
          </w:p>
        </w:tc>
        <w:tc>
          <w:tcPr>
            <w:tcW w:w="220" w:type="dxa"/>
            <w:vAlign w:val="bottom"/>
            <w:tcBorders>
              <w:top w:val="single" w:sz="8" w:color="E5F1EE"/>
            </w:tcBorders>
            <w:shd w:val="clear" w:color="auto" w:fill="E5F1EE"/>
          </w:tcPr>
          <w:p>
            <w:pPr>
              <w:spacing w:after="0"/>
              <w:rPr>
                <w:sz w:val="11"/>
                <w:szCs w:val="11"/>
                <w:color w:val="auto"/>
              </w:rPr>
            </w:pPr>
          </w:p>
        </w:tc>
        <w:tc>
          <w:tcPr>
            <w:tcW w:w="240" w:type="dxa"/>
            <w:vAlign w:val="bottom"/>
            <w:tcBorders>
              <w:top w:val="single" w:sz="8" w:color="auto"/>
            </w:tcBorders>
            <w:shd w:val="clear" w:color="auto" w:fill="E5F1EE"/>
          </w:tcPr>
          <w:p>
            <w:pPr>
              <w:spacing w:after="0"/>
              <w:rPr>
                <w:sz w:val="11"/>
                <w:szCs w:val="11"/>
                <w:color w:val="auto"/>
              </w:rPr>
            </w:pPr>
          </w:p>
        </w:tc>
        <w:tc>
          <w:tcPr>
            <w:tcW w:w="82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3.67 %</w:t>
            </w:r>
          </w:p>
        </w:tc>
        <w:tc>
          <w:tcPr>
            <w:tcW w:w="220" w:type="dxa"/>
            <w:vAlign w:val="bottom"/>
            <w:tcBorders>
              <w:top w:val="single" w:sz="8" w:color="E5F1EE"/>
            </w:tcBorders>
            <w:shd w:val="clear" w:color="auto" w:fill="E5F1EE"/>
          </w:tcPr>
          <w:p>
            <w:pPr>
              <w:spacing w:after="0"/>
              <w:rPr>
                <w:sz w:val="11"/>
                <w:szCs w:val="11"/>
                <w:color w:val="auto"/>
              </w:rPr>
            </w:pPr>
          </w:p>
        </w:tc>
        <w:tc>
          <w:tcPr>
            <w:tcW w:w="240" w:type="dxa"/>
            <w:vAlign w:val="bottom"/>
            <w:tcBorders>
              <w:top w:val="single" w:sz="8" w:color="auto"/>
            </w:tcBorders>
            <w:shd w:val="clear" w:color="auto" w:fill="E5F1EE"/>
          </w:tcPr>
          <w:p>
            <w:pPr>
              <w:spacing w:after="0"/>
              <w:rPr>
                <w:sz w:val="11"/>
                <w:szCs w:val="11"/>
                <w:color w:val="auto"/>
              </w:rPr>
            </w:pPr>
          </w:p>
        </w:tc>
        <w:tc>
          <w:tcPr>
            <w:tcW w:w="82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3.58 %</w:t>
            </w:r>
          </w:p>
        </w:tc>
      </w:tr>
      <w:tr>
        <w:trPr>
          <w:trHeight w:val="129"/>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Efficiency ratio (1)</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53.6</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56.9</w:t>
            </w:r>
          </w:p>
        </w:tc>
      </w:tr>
      <w:tr>
        <w:trPr>
          <w:trHeight w:val="141"/>
        </w:trPr>
        <w:tc>
          <w:tcPr>
            <w:tcW w:w="514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Net charge-offs to average total loans - annualized</w:t>
            </w: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20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40" w:type="dxa"/>
            <w:vAlign w:val="bottom"/>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.42</w:t>
            </w:r>
          </w:p>
        </w:tc>
        <w:tc>
          <w:tcPr>
            <w:tcW w:w="20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3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.41</w:t>
            </w:r>
          </w:p>
        </w:tc>
      </w:tr>
      <w:tr>
        <w:trPr>
          <w:trHeight w:val="129"/>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Allowance for loan losses to total loans</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1.58</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w:t>
            </w:r>
          </w:p>
        </w:tc>
      </w:tr>
      <w:tr>
        <w:trPr>
          <w:trHeight w:val="141"/>
        </w:trPr>
        <w:tc>
          <w:tcPr>
            <w:tcW w:w="514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Nonaccrual loans to total loans</w:t>
            </w: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.90</w:t>
            </w:r>
          </w:p>
        </w:tc>
        <w:tc>
          <w:tcPr>
            <w:tcW w:w="20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40" w:type="dxa"/>
            <w:vAlign w:val="bottom"/>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1.10</w:t>
            </w:r>
          </w:p>
        </w:tc>
        <w:tc>
          <w:tcPr>
            <w:tcW w:w="20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3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.90</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1.25</w:t>
            </w:r>
          </w:p>
        </w:tc>
      </w:tr>
      <w:tr>
        <w:trPr>
          <w:trHeight w:val="129"/>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Common equity Tier 1 ("CET1") capital ratio (2)</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10.99</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11.68</w:t>
            </w:r>
          </w:p>
        </w:tc>
      </w:tr>
      <w:tr>
        <w:trPr>
          <w:trHeight w:val="135"/>
        </w:trPr>
        <w:tc>
          <w:tcPr>
            <w:tcW w:w="4920" w:type="dxa"/>
            <w:vAlign w:val="bottom"/>
            <w:tcBorders>
              <w:bottom w:val="single" w:sz="8" w:color="auto"/>
            </w:tcBorders>
            <w:shd w:val="clear" w:color="auto" w:fill="E5F1EE"/>
          </w:tcPr>
          <w:p>
            <w:pPr>
              <w:spacing w:after="0"/>
              <w:rPr>
                <w:sz w:val="20"/>
                <w:szCs w:val="20"/>
                <w:color w:val="auto"/>
              </w:rPr>
            </w:pPr>
            <w:r>
              <w:rPr>
                <w:rFonts w:ascii="Times New Roman" w:cs="Times New Roman" w:eastAsia="Times New Roman" w:hAnsi="Times New Roman"/>
                <w:sz w:val="10"/>
                <w:szCs w:val="10"/>
                <w:color w:val="auto"/>
              </w:rPr>
              <w:t>Common shareholders' equity per share</w:t>
            </w:r>
          </w:p>
        </w:tc>
        <w:tc>
          <w:tcPr>
            <w:tcW w:w="220" w:type="dxa"/>
            <w:vAlign w:val="bottom"/>
            <w:shd w:val="clear" w:color="auto" w:fill="E5F1EE"/>
          </w:tcPr>
          <w:p>
            <w:pPr>
              <w:spacing w:after="0"/>
              <w:rPr>
                <w:sz w:val="11"/>
                <w:szCs w:val="11"/>
                <w:color w:val="auto"/>
              </w:rPr>
            </w:pPr>
          </w:p>
        </w:tc>
        <w:tc>
          <w:tcPr>
            <w:tcW w:w="240" w:type="dxa"/>
            <w:vAlign w:val="bottom"/>
            <w:tcBorders>
              <w:bottom w:val="single" w:sz="8" w:color="auto"/>
            </w:tcBorders>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173.49</w:t>
            </w:r>
          </w:p>
        </w:tc>
        <w:tc>
          <w:tcPr>
            <w:tcW w:w="200" w:type="dxa"/>
            <w:vAlign w:val="bottom"/>
            <w:shd w:val="clear" w:color="auto" w:fill="E5F1EE"/>
          </w:tcPr>
          <w:p>
            <w:pPr>
              <w:spacing w:after="0"/>
              <w:rPr>
                <w:sz w:val="11"/>
                <w:szCs w:val="11"/>
                <w:color w:val="auto"/>
              </w:rPr>
            </w:pPr>
          </w:p>
        </w:tc>
        <w:tc>
          <w:tcPr>
            <w:tcW w:w="240" w:type="dxa"/>
            <w:vAlign w:val="bottom"/>
            <w:tcBorders>
              <w:bottom w:val="single" w:sz="8" w:color="auto"/>
            </w:tcBorders>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E5F1EE"/>
          </w:tcPr>
          <w:p>
            <w:pPr>
              <w:jc w:val="right"/>
              <w:ind w:right="12"/>
              <w:spacing w:after="0"/>
              <w:rPr>
                <w:sz w:val="20"/>
                <w:szCs w:val="20"/>
                <w:color w:val="auto"/>
              </w:rPr>
            </w:pPr>
            <w:r>
              <w:rPr>
                <w:rFonts w:ascii="Times New Roman" w:cs="Times New Roman" w:eastAsia="Times New Roman" w:hAnsi="Times New Roman"/>
                <w:sz w:val="10"/>
                <w:szCs w:val="10"/>
                <w:color w:val="auto"/>
              </w:rPr>
              <w:t>170.43</w:t>
            </w:r>
          </w:p>
        </w:tc>
        <w:tc>
          <w:tcPr>
            <w:tcW w:w="200" w:type="dxa"/>
            <w:vAlign w:val="bottom"/>
            <w:shd w:val="clear" w:color="auto" w:fill="E5F1EE"/>
          </w:tcPr>
          <w:p>
            <w:pPr>
              <w:spacing w:after="0"/>
              <w:rPr>
                <w:sz w:val="11"/>
                <w:szCs w:val="11"/>
                <w:color w:val="auto"/>
              </w:rPr>
            </w:pPr>
          </w:p>
        </w:tc>
        <w:tc>
          <w:tcPr>
            <w:tcW w:w="680" w:type="dxa"/>
            <w:vAlign w:val="bottom"/>
            <w:tcBorders>
              <w:bottom w:val="single" w:sz="8" w:color="auto"/>
            </w:tcBorders>
            <w:shd w:val="clear" w:color="auto" w:fill="E5F1EE"/>
          </w:tcPr>
          <w:p>
            <w:pPr>
              <w:jc w:val="right"/>
              <w:ind w:right="57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160.90</w:t>
            </w:r>
          </w:p>
        </w:tc>
        <w:tc>
          <w:tcPr>
            <w:tcW w:w="220" w:type="dxa"/>
            <w:vAlign w:val="bottom"/>
            <w:shd w:val="clear" w:color="auto" w:fill="E5F1EE"/>
          </w:tcPr>
          <w:p>
            <w:pPr>
              <w:spacing w:after="0"/>
              <w:rPr>
                <w:sz w:val="11"/>
                <w:szCs w:val="11"/>
                <w:color w:val="auto"/>
              </w:rPr>
            </w:pPr>
          </w:p>
        </w:tc>
        <w:tc>
          <w:tcPr>
            <w:tcW w:w="240" w:type="dxa"/>
            <w:vAlign w:val="bottom"/>
            <w:tcBorders>
              <w:bottom w:val="single" w:sz="8" w:color="auto"/>
            </w:tcBorders>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173.49</w:t>
            </w:r>
          </w:p>
        </w:tc>
        <w:tc>
          <w:tcPr>
            <w:tcW w:w="220" w:type="dxa"/>
            <w:vAlign w:val="bottom"/>
            <w:shd w:val="clear" w:color="auto" w:fill="E5F1EE"/>
          </w:tcPr>
          <w:p>
            <w:pPr>
              <w:spacing w:after="0"/>
              <w:rPr>
                <w:sz w:val="11"/>
                <w:szCs w:val="11"/>
                <w:color w:val="auto"/>
              </w:rPr>
            </w:pPr>
          </w:p>
        </w:tc>
        <w:tc>
          <w:tcPr>
            <w:tcW w:w="240" w:type="dxa"/>
            <w:vAlign w:val="bottom"/>
            <w:tcBorders>
              <w:bottom w:val="single" w:sz="8" w:color="auto"/>
            </w:tcBorders>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160.90</w:t>
            </w:r>
          </w:p>
        </w:tc>
      </w:tr>
    </w:tbl>
    <w:p>
      <w:pPr>
        <w:spacing w:after="0" w:line="23" w:lineRule="exact"/>
        <w:rPr>
          <w:sz w:val="20"/>
          <w:szCs w:val="20"/>
          <w:color w:val="auto"/>
        </w:rPr>
      </w:pPr>
    </w:p>
    <w:p>
      <w:pPr>
        <w:ind w:left="128" w:hanging="128"/>
        <w:spacing w:after="0"/>
        <w:tabs>
          <w:tab w:leader="none" w:pos="128"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 reconciliation of non-GAAP measures is included in the tables that accompany this release.</w:t>
      </w:r>
    </w:p>
    <w:p>
      <w:pPr>
        <w:ind w:left="128" w:hanging="128"/>
        <w:spacing w:after="0"/>
        <w:tabs>
          <w:tab w:leader="none" w:pos="128"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CET1 capital ratio at December 31, 2025 is estimated.</w:t>
      </w:r>
    </w:p>
    <w:p>
      <w:pPr>
        <w:spacing w:after="0" w:line="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55" w:lineRule="exact"/>
        <w:rPr>
          <w:sz w:val="20"/>
          <w:szCs w:val="20"/>
          <w:color w:val="auto"/>
        </w:rPr>
      </w:pPr>
    </w:p>
    <w:p>
      <w:pPr>
        <w:ind w:left="588" w:hanging="295"/>
        <w:spacing w:after="0"/>
        <w:tabs>
          <w:tab w:leader="none" w:pos="588"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Taxable-equivalent net interest income increased $17 million in the recent quarter as compared with the third quarter of 2025 reflecting loan and deposit growth.</w:t>
      </w:r>
    </w:p>
    <w:p>
      <w:pPr>
        <w:spacing w:after="0" w:line="17" w:lineRule="exact"/>
        <w:rPr>
          <w:rFonts w:ascii="Times New Roman" w:cs="Times New Roman" w:eastAsia="Times New Roman" w:hAnsi="Times New Roman"/>
          <w:sz w:val="11"/>
          <w:szCs w:val="11"/>
          <w:color w:val="auto"/>
        </w:rPr>
      </w:pPr>
    </w:p>
    <w:p>
      <w:pPr>
        <w:ind w:left="588" w:hanging="295"/>
        <w:spacing w:after="0"/>
        <w:tabs>
          <w:tab w:leader="none" w:pos="588"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loans in the recent quarter reflect commercial and industrial, residential real estate and consumer loan growth, partially offset by a nominal reduction in the average balance of commercial real estate loans.</w:t>
      </w:r>
    </w:p>
    <w:p>
      <w:pPr>
        <w:spacing w:after="0" w:line="17" w:lineRule="exact"/>
        <w:rPr>
          <w:rFonts w:ascii="Times New Roman" w:cs="Times New Roman" w:eastAsia="Times New Roman" w:hAnsi="Times New Roman"/>
          <w:sz w:val="11"/>
          <w:szCs w:val="11"/>
          <w:color w:val="auto"/>
        </w:rPr>
      </w:pPr>
    </w:p>
    <w:p>
      <w:pPr>
        <w:ind w:left="588" w:right="340" w:hanging="295"/>
        <w:spacing w:after="0" w:line="235" w:lineRule="auto"/>
        <w:tabs>
          <w:tab w:leader="none" w:pos="584"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Noninterest income reflects higher mortgage banking revenues and trust income in the recent quarter, more than offset by a $28 million distribution of an earnout payment related to the Company's 2023 sale of its Collective Investment Trust ("CIT") business, a $20 million distribution from M&amp;T's investment in Bayview Lending Group LLC ("BLG") and a $12 million gain on the sale of equipment leases each in the third quarter of 2025.</w:t>
      </w:r>
    </w:p>
    <w:p>
      <w:pPr>
        <w:spacing w:after="0" w:line="4" w:lineRule="exact"/>
        <w:rPr>
          <w:rFonts w:ascii="Times New Roman" w:cs="Times New Roman" w:eastAsia="Times New Roman" w:hAnsi="Times New Roman"/>
          <w:sz w:val="11"/>
          <w:szCs w:val="11"/>
          <w:color w:val="auto"/>
        </w:rPr>
      </w:pPr>
    </w:p>
    <w:p>
      <w:pPr>
        <w:ind w:left="588" w:right="280" w:hanging="295"/>
        <w:spacing w:after="0" w:line="235" w:lineRule="auto"/>
        <w:tabs>
          <w:tab w:leader="none" w:pos="584"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increase in noninterest expense reflects higher professional and other services expense, partially offset by lower salaries and employee benefits expense. A decline in FDIC assessments resulting from a decrease in the FDIC's loss estimate associated with certain failed banks was offset by a $30 million contribution to The M&amp;T Charitable Foundation.</w:t>
      </w:r>
    </w:p>
    <w:p>
      <w:pPr>
        <w:spacing w:after="0" w:line="2" w:lineRule="exact"/>
        <w:rPr>
          <w:rFonts w:ascii="Times New Roman" w:cs="Times New Roman" w:eastAsia="Times New Roman" w:hAnsi="Times New Roman"/>
          <w:sz w:val="11"/>
          <w:szCs w:val="11"/>
          <w:color w:val="auto"/>
        </w:rPr>
      </w:pPr>
    </w:p>
    <w:p>
      <w:pPr>
        <w:ind w:left="588" w:hanging="295"/>
        <w:spacing w:after="0"/>
        <w:tabs>
          <w:tab w:leader="none" w:pos="588"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Reflecting better asset quality metrics and modestly improved macroeconomic forecasts, the allowance for loan losses as a percent of total loans declined 5 basis points to 1.53% at December 31, 2025.</w:t>
      </w:r>
    </w:p>
    <w:p>
      <w:pPr>
        <w:spacing w:after="0" w:line="28" w:lineRule="exact"/>
        <w:rPr>
          <w:rFonts w:ascii="Times New Roman" w:cs="Times New Roman" w:eastAsia="Times New Roman" w:hAnsi="Times New Roman"/>
          <w:sz w:val="11"/>
          <w:szCs w:val="11"/>
          <w:color w:val="auto"/>
        </w:rPr>
      </w:pPr>
    </w:p>
    <w:p>
      <w:pPr>
        <w:ind w:left="588" w:hanging="295"/>
        <w:spacing w:after="0"/>
        <w:tabs>
          <w:tab w:leader="none" w:pos="588"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2025 M&amp;T increased its quarterly dividend by 11%, repurchased 9% of its outstanding shares and grew tangible equity per common share by 7%. M&amp;T's CET1 capital ratio is estimated to be 10.84% at December 31, 2025.</w:t>
      </w:r>
    </w:p>
    <w:p>
      <w:pPr>
        <w:spacing w:after="0" w:line="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Chief Financial Officer Commentary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55" w:lineRule="exact"/>
        <w:rPr>
          <w:sz w:val="20"/>
          <w:szCs w:val="20"/>
          <w:color w:val="auto"/>
        </w:rPr>
      </w:pPr>
    </w:p>
    <w:p>
      <w:pPr>
        <w:ind w:left="8" w:right="40"/>
        <w:spacing w:after="0" w:line="252" w:lineRule="auto"/>
        <w:rPr>
          <w:sz w:val="20"/>
          <w:szCs w:val="20"/>
          <w:color w:val="auto"/>
        </w:rPr>
      </w:pPr>
      <w:r>
        <w:rPr>
          <w:rFonts w:ascii="Times New Roman" w:cs="Times New Roman" w:eastAsia="Times New Roman" w:hAnsi="Times New Roman"/>
          <w:sz w:val="11"/>
          <w:szCs w:val="11"/>
          <w:color w:val="auto"/>
        </w:rPr>
        <w:t>"M&amp;T finished 2025 with another quarter of strong financial performance. For the full-year 2025, M&amp;T achieved a 16% increase in diluted earnings per common share, meaningfully reduced its level of criticized loans and improved its efficiency ratio while continuing to expand and improve our capabilities. M&amp;T's fundamentals remain strong, positioning the Company for growth as we enter the new year. As we close out 2025, I'd like to thank my colleagues for their unwavering commitment to our customers and the communities we serve."</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 Daryl N. Bible, M&amp;T's Chief Financial Officer</w:t>
      </w:r>
    </w:p>
    <w:p>
      <w:pPr>
        <w:spacing w:after="0" w:line="13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Contact:</w:t>
            </w:r>
          </w:p>
        </w:tc>
        <w:tc>
          <w:tcPr>
            <w:tcW w:w="86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color w:val="auto"/>
              </w:rPr>
              <w:t>716.842.5138</w:t>
            </w:r>
          </w:p>
        </w:tc>
        <w:tc>
          <w:tcPr>
            <w:tcW w:w="0" w:type="dxa"/>
            <w:vAlign w:val="bottom"/>
          </w:tcPr>
          <w:p>
            <w:pPr>
              <w:spacing w:after="0"/>
              <w:rPr>
                <w:sz w:val="1"/>
                <w:szCs w:val="1"/>
                <w:color w:val="auto"/>
              </w:rPr>
            </w:pPr>
          </w:p>
        </w:tc>
      </w:tr>
      <w:tr>
        <w:trPr>
          <w:trHeight w:val="94"/>
        </w:trPr>
        <w:tc>
          <w:tcPr>
            <w:tcW w:w="128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w w:val="96"/>
              </w:rPr>
              <w:t>Investor Relations: Rajiv Ranjan</w:t>
            </w: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140" w:type="dxa"/>
            <w:vAlign w:val="bottom"/>
            <w:gridSpan w:val="2"/>
          </w:tcPr>
          <w:p>
            <w:pPr>
              <w:ind w:left="860"/>
              <w:spacing w:after="0" w:line="99" w:lineRule="exact"/>
              <w:rPr>
                <w:sz w:val="20"/>
                <w:szCs w:val="20"/>
                <w:color w:val="auto"/>
              </w:rPr>
            </w:pPr>
            <w:r>
              <w:rPr>
                <w:rFonts w:ascii="Times New Roman" w:cs="Times New Roman" w:eastAsia="Times New Roman" w:hAnsi="Times New Roman"/>
                <w:sz w:val="10"/>
                <w:szCs w:val="10"/>
                <w:color w:val="auto"/>
                <w:w w:val="96"/>
              </w:rPr>
              <w:t>Steve Wendelboe  716.842.5138</w:t>
            </w:r>
          </w:p>
        </w:tc>
        <w:tc>
          <w:tcPr>
            <w:tcW w:w="0" w:type="dxa"/>
            <w:vAlign w:val="bottom"/>
          </w:tcPr>
          <w:p>
            <w:pPr>
              <w:spacing w:after="0"/>
              <w:rPr>
                <w:sz w:val="1"/>
                <w:szCs w:val="1"/>
                <w:color w:val="auto"/>
              </w:rPr>
            </w:pPr>
          </w:p>
        </w:tc>
      </w:tr>
      <w:tr>
        <w:trPr>
          <w:trHeight w:val="123"/>
        </w:trPr>
        <w:tc>
          <w:tcPr>
            <w:tcW w:w="1280" w:type="dxa"/>
            <w:vAlign w:val="bottom"/>
          </w:tcPr>
          <w:p>
            <w:pPr>
              <w:spacing w:after="0"/>
              <w:rPr>
                <w:sz w:val="20"/>
                <w:szCs w:val="20"/>
                <w:color w:val="auto"/>
              </w:rPr>
            </w:pPr>
            <w:r>
              <w:rPr>
                <w:rFonts w:ascii="Times New Roman" w:cs="Times New Roman" w:eastAsia="Times New Roman" w:hAnsi="Times New Roman"/>
                <w:sz w:val="10"/>
                <w:szCs w:val="10"/>
                <w:color w:val="auto"/>
              </w:rPr>
              <w:t>Media Relations: Frank Lentini</w:t>
            </w: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98"/>
              </w:rPr>
              <w:t>929.651.0447</w:t>
            </w:r>
          </w:p>
        </w:tc>
        <w:tc>
          <w:tcPr>
            <w:tcW w:w="0" w:type="dxa"/>
            <w:vAlign w:val="bottom"/>
          </w:tcPr>
          <w:p>
            <w:pPr>
              <w:spacing w:after="0"/>
              <w:rPr>
                <w:sz w:val="1"/>
                <w:szCs w:val="1"/>
                <w:color w:val="auto"/>
              </w:rPr>
            </w:pPr>
          </w:p>
        </w:tc>
      </w:tr>
    </w:tbl>
    <w:p>
      <w:pPr>
        <w:sectPr>
          <w:pgSz w:w="11900" w:h="16838" w:orient="portrait"/>
          <w:cols w:equalWidth="0" w:num="1">
            <w:col w:w="11308"/>
          </w:cols>
          <w:pgMar w:left="292" w:top="110" w:right="299" w:bottom="1440" w:gutter="0" w:footer="0" w:header="0"/>
        </w:sectPr>
      </w:pPr>
    </w:p>
    <w:bookmarkStart w:id="4" w:name="page5"/>
    <w:bookmarkEnd w:id="4"/>
    <w:p>
      <w:pPr>
        <w:ind w:left="9728"/>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
        <w:spacing w:after="0"/>
        <w:rPr>
          <w:sz w:val="20"/>
          <w:szCs w:val="20"/>
          <w:color w:val="auto"/>
        </w:rPr>
      </w:pPr>
      <w:r>
        <w:rPr>
          <w:rFonts w:ascii="Times New Roman" w:cs="Times New Roman" w:eastAsia="Times New Roman" w:hAnsi="Times New Roman"/>
          <w:sz w:val="14"/>
          <w:szCs w:val="14"/>
          <w:b w:val="1"/>
          <w:bCs w:val="1"/>
          <w:color w:val="FFFFFF"/>
        </w:rPr>
        <w:t>Non-GAAP Measures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38035"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114300"/>
                    </a:xfrm>
                    <a:prstGeom prst="rect">
                      <a:avLst/>
                    </a:prstGeom>
                    <a:noFill/>
                  </pic:spPr>
                </pic:pic>
              </a:graphicData>
            </a:graphic>
          </wp:anchor>
        </w:drawing>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68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b w:val="1"/>
                <w:bCs w:val="1"/>
                <w:color w:val="auto"/>
              </w:rPr>
              <w:t>(Dollars in millions, except per share data)</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4Q25</w:t>
            </w:r>
          </w:p>
        </w:tc>
        <w:tc>
          <w:tcPr>
            <w:tcW w:w="8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3Q25</w:t>
            </w:r>
          </w:p>
        </w:tc>
        <w:tc>
          <w:tcPr>
            <w:tcW w:w="80" w:type="dxa"/>
            <w:vAlign w:val="bottom"/>
            <w:tcBorders>
              <w:bottom w:val="single" w:sz="8" w:color="E5F1EE"/>
            </w:tcBorders>
          </w:tcPr>
          <w:p>
            <w:pPr>
              <w:spacing w:after="0"/>
              <w:rPr>
                <w:sz w:val="13"/>
                <w:szCs w:val="13"/>
                <w:color w:val="auto"/>
              </w:rPr>
            </w:pP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Change 4Q25 vs. 3Q25</w:t>
            </w:r>
          </w:p>
        </w:tc>
        <w:tc>
          <w:tcPr>
            <w:tcW w:w="8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2"/>
                <w:szCs w:val="12"/>
                <w:color w:val="auto"/>
              </w:rPr>
              <w:t>4Q24</w:t>
            </w:r>
          </w:p>
        </w:tc>
        <w:tc>
          <w:tcPr>
            <w:tcW w:w="60" w:type="dxa"/>
            <w:vAlign w:val="bottom"/>
            <w:tcBorders>
              <w:bottom w:val="single" w:sz="8" w:color="E5F1EE"/>
            </w:tcBorders>
          </w:tcPr>
          <w:p>
            <w:pPr>
              <w:spacing w:after="0"/>
              <w:rPr>
                <w:sz w:val="13"/>
                <w:szCs w:val="13"/>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Change 4Q25 vs. 4Q24</w:t>
            </w:r>
          </w:p>
        </w:tc>
      </w:tr>
      <w:tr>
        <w:trPr>
          <w:trHeight w:val="142"/>
        </w:trPr>
        <w:tc>
          <w:tcPr>
            <w:tcW w:w="468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operating income</w:t>
            </w:r>
          </w:p>
        </w:tc>
        <w:tc>
          <w:tcPr>
            <w:tcW w:w="300" w:type="dxa"/>
            <w:vAlign w:val="bottom"/>
            <w:tcBorders>
              <w:bottom w:val="single" w:sz="8" w:color="E5F1EE"/>
            </w:tcBorders>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767</w:t>
            </w:r>
          </w:p>
        </w:tc>
        <w:tc>
          <w:tcPr>
            <w:tcW w:w="20" w:type="dxa"/>
            <w:vAlign w:val="bottom"/>
            <w:tcBorders>
              <w:bottom w:val="single" w:sz="8" w:color="E5F1EE"/>
            </w:tcBorders>
            <w:shd w:val="clear" w:color="auto" w:fill="E5F1EE"/>
          </w:tcPr>
          <w:p>
            <w:pPr>
              <w:spacing w:after="0"/>
              <w:rPr>
                <w:sz w:val="12"/>
                <w:szCs w:val="12"/>
                <w:color w:val="auto"/>
              </w:rPr>
            </w:pPr>
          </w:p>
        </w:tc>
        <w:tc>
          <w:tcPr>
            <w:tcW w:w="80" w:type="dxa"/>
            <w:vAlign w:val="bottom"/>
            <w:tcBorders>
              <w:bottom w:val="single" w:sz="8" w:color="E5F1EE"/>
            </w:tcBorders>
            <w:shd w:val="clear" w:color="auto" w:fill="E5F1EE"/>
          </w:tcPr>
          <w:p>
            <w:pPr>
              <w:spacing w:after="0"/>
              <w:rPr>
                <w:sz w:val="12"/>
                <w:szCs w:val="12"/>
                <w:color w:val="auto"/>
              </w:rPr>
            </w:pPr>
          </w:p>
        </w:tc>
        <w:tc>
          <w:tcPr>
            <w:tcW w:w="280" w:type="dxa"/>
            <w:vAlign w:val="bottom"/>
            <w:tcBorders>
              <w:bottom w:val="single" w:sz="8" w:color="E5F1EE"/>
            </w:tcBorders>
            <w:shd w:val="clear" w:color="auto" w:fill="E5F1EE"/>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798</w:t>
            </w:r>
          </w:p>
        </w:tc>
        <w:tc>
          <w:tcPr>
            <w:tcW w:w="20" w:type="dxa"/>
            <w:vAlign w:val="bottom"/>
            <w:tcBorders>
              <w:bottom w:val="single" w:sz="8" w:color="E5F1EE"/>
            </w:tcBorders>
            <w:shd w:val="clear" w:color="auto" w:fill="E5F1EE"/>
          </w:tcPr>
          <w:p>
            <w:pPr>
              <w:spacing w:after="0"/>
              <w:rPr>
                <w:sz w:val="12"/>
                <w:szCs w:val="12"/>
                <w:color w:val="auto"/>
              </w:rPr>
            </w:pPr>
          </w:p>
        </w:tc>
        <w:tc>
          <w:tcPr>
            <w:tcW w:w="80" w:type="dxa"/>
            <w:vAlign w:val="bottom"/>
            <w:tcBorders>
              <w:bottom w:val="single" w:sz="8" w:color="E5F1EE"/>
            </w:tcBorders>
            <w:shd w:val="clear" w:color="auto" w:fill="E5F1EE"/>
          </w:tcPr>
          <w:p>
            <w:pPr>
              <w:spacing w:after="0"/>
              <w:rPr>
                <w:sz w:val="12"/>
                <w:szCs w:val="12"/>
                <w:color w:val="auto"/>
              </w:rPr>
            </w:pPr>
          </w:p>
        </w:tc>
        <w:tc>
          <w:tcPr>
            <w:tcW w:w="12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-4 %</w:t>
            </w:r>
          </w:p>
        </w:tc>
        <w:tc>
          <w:tcPr>
            <w:tcW w:w="20" w:type="dxa"/>
            <w:vAlign w:val="bottom"/>
            <w:shd w:val="clear" w:color="auto" w:fill="E5F1EE"/>
          </w:tcPr>
          <w:p>
            <w:pPr>
              <w:spacing w:after="0"/>
              <w:rPr>
                <w:sz w:val="12"/>
                <w:szCs w:val="12"/>
                <w:color w:val="auto"/>
              </w:rPr>
            </w:pPr>
          </w:p>
        </w:tc>
        <w:tc>
          <w:tcPr>
            <w:tcW w:w="80" w:type="dxa"/>
            <w:vAlign w:val="bottom"/>
            <w:tcBorders>
              <w:bottom w:val="single" w:sz="8" w:color="E5F1EE"/>
            </w:tcBorders>
            <w:shd w:val="clear" w:color="auto" w:fill="E5F1EE"/>
          </w:tcPr>
          <w:p>
            <w:pPr>
              <w:spacing w:after="0"/>
              <w:rPr>
                <w:sz w:val="12"/>
                <w:szCs w:val="12"/>
                <w:color w:val="auto"/>
              </w:rPr>
            </w:pPr>
          </w:p>
        </w:tc>
        <w:tc>
          <w:tcPr>
            <w:tcW w:w="280" w:type="dxa"/>
            <w:vAlign w:val="bottom"/>
            <w:tcBorders>
              <w:bottom w:val="single" w:sz="8" w:color="E5F1EE"/>
            </w:tcBorders>
            <w:shd w:val="clear" w:color="auto" w:fill="E5F1EE"/>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20" w:type="dxa"/>
            <w:vAlign w:val="bottom"/>
            <w:tcBorders>
              <w:bottom w:val="single" w:sz="8" w:color="E5F1EE"/>
            </w:tcBorders>
            <w:shd w:val="clear" w:color="auto" w:fill="E5F1EE"/>
          </w:tcPr>
          <w:p>
            <w:pPr>
              <w:spacing w:after="0"/>
              <w:rPr>
                <w:sz w:val="12"/>
                <w:szCs w:val="12"/>
                <w:color w:val="auto"/>
              </w:rPr>
            </w:pPr>
          </w:p>
        </w:tc>
        <w:tc>
          <w:tcPr>
            <w:tcW w:w="60" w:type="dxa"/>
            <w:vAlign w:val="bottom"/>
            <w:tcBorders>
              <w:bottom w:val="single" w:sz="8" w:color="E5F1EE"/>
            </w:tcBorders>
            <w:shd w:val="clear" w:color="auto" w:fill="E5F1EE"/>
          </w:tcPr>
          <w:p>
            <w:pPr>
              <w:spacing w:after="0"/>
              <w:rPr>
                <w:sz w:val="12"/>
                <w:szCs w:val="12"/>
                <w:color w:val="auto"/>
              </w:rPr>
            </w:pPr>
          </w:p>
        </w:tc>
        <w:tc>
          <w:tcPr>
            <w:tcW w:w="12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20" w:type="dxa"/>
            <w:vAlign w:val="bottom"/>
            <w:shd w:val="clear" w:color="auto" w:fill="E5F1EE"/>
          </w:tcPr>
          <w:p>
            <w:pPr>
              <w:spacing w:after="0"/>
              <w:rPr>
                <w:sz w:val="12"/>
                <w:szCs w:val="12"/>
                <w:color w:val="auto"/>
              </w:rPr>
            </w:pPr>
          </w:p>
        </w:tc>
      </w:tr>
      <w:tr>
        <w:trPr>
          <w:trHeight w:val="133"/>
        </w:trPr>
        <w:tc>
          <w:tcPr>
            <w:tcW w:w="4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Diluted net operating earnings per common share</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4.72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4.87</w:t>
            </w:r>
          </w:p>
        </w:tc>
        <w:tc>
          <w:tcPr>
            <w:tcW w:w="20" w:type="dxa"/>
            <w:vAlign w:val="bottom"/>
          </w:tcPr>
          <w:p>
            <w:pPr>
              <w:spacing w:after="0"/>
              <w:rPr>
                <w:sz w:val="11"/>
                <w:szCs w:val="11"/>
                <w:color w:val="auto"/>
              </w:rPr>
            </w:pPr>
          </w:p>
        </w:tc>
        <w:tc>
          <w:tcPr>
            <w:tcW w:w="13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3.92</w:t>
            </w:r>
          </w:p>
        </w:tc>
        <w:tc>
          <w:tcPr>
            <w:tcW w:w="20" w:type="dxa"/>
            <w:vAlign w:val="bottom"/>
          </w:tcPr>
          <w:p>
            <w:pPr>
              <w:spacing w:after="0"/>
              <w:rPr>
                <w:sz w:val="11"/>
                <w:szCs w:val="11"/>
                <w:color w:val="auto"/>
              </w:rPr>
            </w:pPr>
          </w:p>
        </w:tc>
        <w:tc>
          <w:tcPr>
            <w:tcW w:w="13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20</w:t>
            </w:r>
          </w:p>
        </w:tc>
        <w:tc>
          <w:tcPr>
            <w:tcW w:w="20" w:type="dxa"/>
            <w:vAlign w:val="bottom"/>
          </w:tcPr>
          <w:p>
            <w:pPr>
              <w:spacing w:after="0"/>
              <w:rPr>
                <w:sz w:val="11"/>
                <w:szCs w:val="11"/>
                <w:color w:val="auto"/>
              </w:rPr>
            </w:pPr>
          </w:p>
        </w:tc>
      </w:tr>
      <w:tr>
        <w:trPr>
          <w:trHeight w:val="153"/>
        </w:trPr>
        <w:tc>
          <w:tcPr>
            <w:tcW w:w="468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Annualized return on average tangible assets</w:t>
            </w:r>
          </w:p>
        </w:tc>
        <w:tc>
          <w:tcPr>
            <w:tcW w:w="300" w:type="dxa"/>
            <w:vAlign w:val="bottom"/>
            <w:tcBorders>
              <w:bottom w:val="single" w:sz="8" w:color="E5F1EE"/>
            </w:tcBorders>
            <w:shd w:val="clear" w:color="auto" w:fill="E5F1EE"/>
          </w:tcPr>
          <w:p>
            <w:pPr>
              <w:spacing w:after="0"/>
              <w:rPr>
                <w:sz w:val="13"/>
                <w:szCs w:val="13"/>
                <w:color w:val="auto"/>
              </w:rPr>
            </w:pPr>
          </w:p>
        </w:tc>
        <w:tc>
          <w:tcPr>
            <w:tcW w:w="9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1.49 %</w:t>
            </w:r>
          </w:p>
        </w:tc>
        <w:tc>
          <w:tcPr>
            <w:tcW w:w="20" w:type="dxa"/>
            <w:vAlign w:val="bottom"/>
            <w:shd w:val="clear" w:color="auto" w:fill="E5F1EE"/>
          </w:tcPr>
          <w:p>
            <w:pPr>
              <w:spacing w:after="0"/>
              <w:rPr>
                <w:sz w:val="13"/>
                <w:szCs w:val="13"/>
                <w:color w:val="auto"/>
              </w:rPr>
            </w:pPr>
          </w:p>
        </w:tc>
        <w:tc>
          <w:tcPr>
            <w:tcW w:w="80" w:type="dxa"/>
            <w:vAlign w:val="bottom"/>
            <w:tcBorders>
              <w:bottom w:val="single" w:sz="8" w:color="E5F1EE"/>
            </w:tcBorders>
            <w:shd w:val="clear" w:color="auto" w:fill="E5F1EE"/>
          </w:tcPr>
          <w:p>
            <w:pPr>
              <w:spacing w:after="0"/>
              <w:rPr>
                <w:sz w:val="13"/>
                <w:szCs w:val="13"/>
                <w:color w:val="auto"/>
              </w:rPr>
            </w:pPr>
          </w:p>
        </w:tc>
        <w:tc>
          <w:tcPr>
            <w:tcW w:w="280" w:type="dxa"/>
            <w:vAlign w:val="bottom"/>
            <w:tcBorders>
              <w:bottom w:val="single" w:sz="8" w:color="E5F1EE"/>
            </w:tcBorders>
            <w:shd w:val="clear" w:color="auto" w:fill="E5F1EE"/>
          </w:tcPr>
          <w:p>
            <w:pPr>
              <w:spacing w:after="0"/>
              <w:rPr>
                <w:sz w:val="13"/>
                <w:szCs w:val="13"/>
                <w:color w:val="auto"/>
              </w:rPr>
            </w:pPr>
          </w:p>
        </w:tc>
        <w:tc>
          <w:tcPr>
            <w:tcW w:w="9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1.56 %</w:t>
            </w:r>
          </w:p>
        </w:tc>
        <w:tc>
          <w:tcPr>
            <w:tcW w:w="20" w:type="dxa"/>
            <w:vAlign w:val="bottom"/>
            <w:shd w:val="clear" w:color="auto" w:fill="E5F1EE"/>
          </w:tcPr>
          <w:p>
            <w:pPr>
              <w:spacing w:after="0"/>
              <w:rPr>
                <w:sz w:val="13"/>
                <w:szCs w:val="13"/>
                <w:color w:val="auto"/>
              </w:rPr>
            </w:pPr>
          </w:p>
        </w:tc>
        <w:tc>
          <w:tcPr>
            <w:tcW w:w="80" w:type="dxa"/>
            <w:vAlign w:val="bottom"/>
            <w:tcBorders>
              <w:bottom w:val="single" w:sz="8" w:color="E5F1EE"/>
            </w:tcBorders>
            <w:shd w:val="clear" w:color="auto" w:fill="E5F1EE"/>
          </w:tcPr>
          <w:p>
            <w:pPr>
              <w:spacing w:after="0"/>
              <w:rPr>
                <w:sz w:val="13"/>
                <w:szCs w:val="13"/>
                <w:color w:val="auto"/>
              </w:rPr>
            </w:pPr>
          </w:p>
        </w:tc>
        <w:tc>
          <w:tcPr>
            <w:tcW w:w="1220" w:type="dxa"/>
            <w:vAlign w:val="bottom"/>
            <w:tcBorders>
              <w:bottom w:val="single" w:sz="8" w:color="E5F1EE"/>
            </w:tcBorders>
            <w:shd w:val="clear" w:color="auto" w:fill="E5F1EE"/>
          </w:tcPr>
          <w:p>
            <w:pPr>
              <w:spacing w:after="0"/>
              <w:rPr>
                <w:sz w:val="13"/>
                <w:szCs w:val="13"/>
                <w:color w:val="auto"/>
              </w:rPr>
            </w:pPr>
          </w:p>
        </w:tc>
        <w:tc>
          <w:tcPr>
            <w:tcW w:w="20" w:type="dxa"/>
            <w:vAlign w:val="bottom"/>
            <w:tcBorders>
              <w:bottom w:val="single" w:sz="8" w:color="E5F1EE"/>
            </w:tcBorders>
            <w:shd w:val="clear" w:color="auto" w:fill="E5F1EE"/>
          </w:tcPr>
          <w:p>
            <w:pPr>
              <w:spacing w:after="0"/>
              <w:rPr>
                <w:sz w:val="13"/>
                <w:szCs w:val="13"/>
                <w:color w:val="auto"/>
              </w:rPr>
            </w:pPr>
          </w:p>
        </w:tc>
        <w:tc>
          <w:tcPr>
            <w:tcW w:w="80" w:type="dxa"/>
            <w:vAlign w:val="bottom"/>
            <w:tcBorders>
              <w:bottom w:val="single" w:sz="8" w:color="E5F1EE"/>
            </w:tcBorders>
            <w:shd w:val="clear" w:color="auto" w:fill="E5F1EE"/>
          </w:tcPr>
          <w:p>
            <w:pPr>
              <w:spacing w:after="0"/>
              <w:rPr>
                <w:sz w:val="13"/>
                <w:szCs w:val="13"/>
                <w:color w:val="auto"/>
              </w:rPr>
            </w:pPr>
          </w:p>
        </w:tc>
        <w:tc>
          <w:tcPr>
            <w:tcW w:w="280" w:type="dxa"/>
            <w:vAlign w:val="bottom"/>
            <w:tcBorders>
              <w:bottom w:val="single" w:sz="8" w:color="E5F1EE"/>
            </w:tcBorders>
            <w:shd w:val="clear" w:color="auto" w:fill="E5F1EE"/>
          </w:tcPr>
          <w:p>
            <w:pPr>
              <w:spacing w:after="0"/>
              <w:rPr>
                <w:sz w:val="13"/>
                <w:szCs w:val="13"/>
                <w:color w:val="auto"/>
              </w:rPr>
            </w:pPr>
          </w:p>
        </w:tc>
        <w:tc>
          <w:tcPr>
            <w:tcW w:w="96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1.35 %</w:t>
            </w:r>
          </w:p>
        </w:tc>
        <w:tc>
          <w:tcPr>
            <w:tcW w:w="20" w:type="dxa"/>
            <w:vAlign w:val="bottom"/>
            <w:shd w:val="clear" w:color="auto" w:fill="E5F1EE"/>
          </w:tcPr>
          <w:p>
            <w:pPr>
              <w:spacing w:after="0"/>
              <w:rPr>
                <w:sz w:val="13"/>
                <w:szCs w:val="13"/>
                <w:color w:val="auto"/>
              </w:rPr>
            </w:pPr>
          </w:p>
        </w:tc>
        <w:tc>
          <w:tcPr>
            <w:tcW w:w="60" w:type="dxa"/>
            <w:vAlign w:val="bottom"/>
            <w:tcBorders>
              <w:bottom w:val="single" w:sz="8" w:color="E5F1EE"/>
            </w:tcBorders>
            <w:shd w:val="clear" w:color="auto" w:fill="E5F1EE"/>
          </w:tcPr>
          <w:p>
            <w:pPr>
              <w:spacing w:after="0"/>
              <w:rPr>
                <w:sz w:val="13"/>
                <w:szCs w:val="13"/>
                <w:color w:val="auto"/>
              </w:rPr>
            </w:pPr>
          </w:p>
        </w:tc>
        <w:tc>
          <w:tcPr>
            <w:tcW w:w="1240" w:type="dxa"/>
            <w:vAlign w:val="bottom"/>
            <w:tcBorders>
              <w:bottom w:val="single" w:sz="8" w:color="E5F1EE"/>
            </w:tcBorders>
            <w:shd w:val="clear" w:color="auto" w:fill="E5F1EE"/>
          </w:tcPr>
          <w:p>
            <w:pPr>
              <w:spacing w:after="0"/>
              <w:rPr>
                <w:sz w:val="13"/>
                <w:szCs w:val="13"/>
                <w:color w:val="auto"/>
              </w:rPr>
            </w:pPr>
          </w:p>
        </w:tc>
        <w:tc>
          <w:tcPr>
            <w:tcW w:w="20" w:type="dxa"/>
            <w:vAlign w:val="bottom"/>
            <w:tcBorders>
              <w:bottom w:val="single" w:sz="8" w:color="E5F1EE"/>
            </w:tcBorders>
            <w:shd w:val="clear" w:color="auto" w:fill="E5F1EE"/>
          </w:tcPr>
          <w:p>
            <w:pPr>
              <w:spacing w:after="0"/>
              <w:rPr>
                <w:sz w:val="13"/>
                <w:szCs w:val="13"/>
                <w:color w:val="auto"/>
              </w:rPr>
            </w:pPr>
          </w:p>
        </w:tc>
      </w:tr>
      <w:tr>
        <w:trPr>
          <w:trHeight w:val="133"/>
        </w:trPr>
        <w:tc>
          <w:tcPr>
            <w:tcW w:w="4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Annualized return on average tangible common equity</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17.13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14.66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468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Efficiency ratio</w:t>
            </w:r>
          </w:p>
        </w:tc>
        <w:tc>
          <w:tcPr>
            <w:tcW w:w="300" w:type="dxa"/>
            <w:vAlign w:val="bottom"/>
            <w:shd w:val="clear" w:color="auto" w:fill="E5F1EE"/>
          </w:tcPr>
          <w:p>
            <w:pPr>
              <w:spacing w:after="0"/>
              <w:rPr>
                <w:sz w:val="13"/>
                <w:szCs w:val="13"/>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20" w:type="dxa"/>
            <w:vAlign w:val="bottom"/>
            <w:shd w:val="clear" w:color="auto" w:fill="E5F1EE"/>
          </w:tcPr>
          <w:p>
            <w:pPr>
              <w:spacing w:after="0"/>
              <w:rPr>
                <w:sz w:val="13"/>
                <w:szCs w:val="13"/>
                <w:color w:val="auto"/>
              </w:rPr>
            </w:pPr>
          </w:p>
        </w:tc>
        <w:tc>
          <w:tcPr>
            <w:tcW w:w="8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20" w:type="dxa"/>
            <w:vAlign w:val="bottom"/>
            <w:shd w:val="clear" w:color="auto" w:fill="E5F1EE"/>
          </w:tcPr>
          <w:p>
            <w:pPr>
              <w:spacing w:after="0"/>
              <w:rPr>
                <w:sz w:val="13"/>
                <w:szCs w:val="13"/>
                <w:color w:val="auto"/>
              </w:rPr>
            </w:pPr>
          </w:p>
        </w:tc>
        <w:tc>
          <w:tcPr>
            <w:tcW w:w="80" w:type="dxa"/>
            <w:vAlign w:val="bottom"/>
            <w:shd w:val="clear" w:color="auto" w:fill="E5F1EE"/>
          </w:tcPr>
          <w:p>
            <w:pPr>
              <w:spacing w:after="0"/>
              <w:rPr>
                <w:sz w:val="13"/>
                <w:szCs w:val="13"/>
                <w:color w:val="auto"/>
              </w:rPr>
            </w:pPr>
          </w:p>
        </w:tc>
        <w:tc>
          <w:tcPr>
            <w:tcW w:w="1220" w:type="dxa"/>
            <w:vAlign w:val="bottom"/>
            <w:shd w:val="clear" w:color="auto" w:fill="E5F1EE"/>
          </w:tcPr>
          <w:p>
            <w:pPr>
              <w:spacing w:after="0"/>
              <w:rPr>
                <w:sz w:val="13"/>
                <w:szCs w:val="13"/>
                <w:color w:val="auto"/>
              </w:rPr>
            </w:pPr>
          </w:p>
        </w:tc>
        <w:tc>
          <w:tcPr>
            <w:tcW w:w="20" w:type="dxa"/>
            <w:vAlign w:val="bottom"/>
            <w:shd w:val="clear" w:color="auto" w:fill="E5F1EE"/>
          </w:tcPr>
          <w:p>
            <w:pPr>
              <w:spacing w:after="0"/>
              <w:rPr>
                <w:sz w:val="13"/>
                <w:szCs w:val="13"/>
                <w:color w:val="auto"/>
              </w:rPr>
            </w:pPr>
          </w:p>
        </w:tc>
        <w:tc>
          <w:tcPr>
            <w:tcW w:w="8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20" w:type="dxa"/>
            <w:vAlign w:val="bottom"/>
            <w:shd w:val="clear" w:color="auto" w:fill="E5F1EE"/>
          </w:tcPr>
          <w:p>
            <w:pPr>
              <w:spacing w:after="0"/>
              <w:rPr>
                <w:sz w:val="13"/>
                <w:szCs w:val="13"/>
                <w:color w:val="auto"/>
              </w:rPr>
            </w:pPr>
          </w:p>
        </w:tc>
        <w:tc>
          <w:tcPr>
            <w:tcW w:w="60" w:type="dxa"/>
            <w:vAlign w:val="bottom"/>
            <w:shd w:val="clear" w:color="auto" w:fill="E5F1EE"/>
          </w:tcPr>
          <w:p>
            <w:pPr>
              <w:spacing w:after="0"/>
              <w:rPr>
                <w:sz w:val="13"/>
                <w:szCs w:val="13"/>
                <w:color w:val="auto"/>
              </w:rPr>
            </w:pPr>
          </w:p>
        </w:tc>
        <w:tc>
          <w:tcPr>
            <w:tcW w:w="1240" w:type="dxa"/>
            <w:vAlign w:val="bottom"/>
            <w:shd w:val="clear" w:color="auto" w:fill="E5F1EE"/>
          </w:tcPr>
          <w:p>
            <w:pPr>
              <w:spacing w:after="0"/>
              <w:rPr>
                <w:sz w:val="13"/>
                <w:szCs w:val="13"/>
                <w:color w:val="auto"/>
              </w:rPr>
            </w:pPr>
          </w:p>
        </w:tc>
        <w:tc>
          <w:tcPr>
            <w:tcW w:w="20" w:type="dxa"/>
            <w:vAlign w:val="bottom"/>
            <w:shd w:val="clear" w:color="auto" w:fill="E5F1EE"/>
          </w:tcPr>
          <w:p>
            <w:pPr>
              <w:spacing w:after="0"/>
              <w:rPr>
                <w:sz w:val="13"/>
                <w:szCs w:val="13"/>
                <w:color w:val="auto"/>
              </w:rPr>
            </w:pPr>
          </w:p>
        </w:tc>
      </w:tr>
      <w:tr>
        <w:trPr>
          <w:trHeight w:val="155"/>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Tangible equity per common share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117.45</w:t>
            </w:r>
          </w:p>
        </w:tc>
        <w:tc>
          <w:tcPr>
            <w:tcW w:w="20" w:type="dxa"/>
            <w:vAlign w:val="bottom"/>
          </w:tcPr>
          <w:p>
            <w:pPr>
              <w:spacing w:after="0"/>
              <w:rPr>
                <w:sz w:val="13"/>
                <w:szCs w:val="13"/>
                <w:color w:val="auto"/>
              </w:rPr>
            </w:pPr>
          </w:p>
        </w:tc>
        <w:tc>
          <w:tcPr>
            <w:tcW w:w="360" w:type="dxa"/>
            <w:vAlign w:val="bottom"/>
            <w:gridSpan w:val="2"/>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115.31</w:t>
            </w:r>
          </w:p>
        </w:tc>
        <w:tc>
          <w:tcPr>
            <w:tcW w:w="2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109.36</w:t>
            </w:r>
          </w:p>
        </w:tc>
        <w:tc>
          <w:tcPr>
            <w:tcW w:w="2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362902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9025" cy="5715"/>
                    </a:xfrm>
                    <a:prstGeom prst="rect">
                      <a:avLst/>
                    </a:prstGeom>
                    <a:noFill/>
                  </pic:spPr>
                </pic:pic>
              </a:graphicData>
            </a:graphic>
          </wp:anchor>
        </w:drawing>
      </w:r>
    </w:p>
    <w:p>
      <w:pPr>
        <w:spacing w:after="0" w:line="264" w:lineRule="exact"/>
        <w:rPr>
          <w:sz w:val="20"/>
          <w:szCs w:val="20"/>
          <w:color w:val="auto"/>
        </w:rPr>
      </w:pPr>
    </w:p>
    <w:p>
      <w:pPr>
        <w:ind w:left="288" w:hanging="288"/>
        <w:spacing w:after="0"/>
        <w:tabs>
          <w:tab w:leader="none" w:pos="28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reconciliation of non-GAAP measures is included in the tables that accompany this release.</w:t>
      </w:r>
    </w:p>
    <w:p>
      <w:pPr>
        <w:spacing w:after="0" w:line="44" w:lineRule="exact"/>
        <w:rPr>
          <w:sz w:val="20"/>
          <w:szCs w:val="20"/>
          <w:color w:val="auto"/>
        </w:rPr>
      </w:pPr>
    </w:p>
    <w:p>
      <w:pPr>
        <w:jc w:val="both"/>
        <w:ind w:left="8" w:right="140"/>
        <w:spacing w:after="0" w:line="236" w:lineRule="auto"/>
        <w:rPr>
          <w:sz w:val="20"/>
          <w:szCs w:val="20"/>
          <w:color w:val="auto"/>
        </w:rPr>
      </w:pPr>
      <w:r>
        <w:rPr>
          <w:rFonts w:ascii="Times New Roman" w:cs="Times New Roman" w:eastAsia="Times New Roman" w:hAnsi="Times New Roman"/>
          <w:sz w:val="14"/>
          <w:szCs w:val="14"/>
          <w:color w:val="auto"/>
        </w:rPr>
        <w:t>M&amp;T consistently provides supplemental reporting of its results on a “net operating” or “tangible” basis, from which M&amp;T excludes the after-tax effect of amortization of core deposit and other intangible assets (and the related goodwill and core deposit and other intangible asset balances, net of applicable deferred tax amounts) and expenses associated with merging acquired operations into M&amp;T (when incurred), since such items are considered by management to be “nonoperating” in nature.</w:t>
      </w:r>
    </w:p>
    <w:p>
      <w:pPr>
        <w:spacing w:after="0" w:line="119" w:lineRule="exact"/>
        <w:rPr>
          <w:sz w:val="20"/>
          <w:szCs w:val="20"/>
          <w:color w:val="auto"/>
        </w:rPr>
      </w:pPr>
    </w:p>
    <w:p>
      <w:pPr>
        <w:jc w:val="both"/>
        <w:ind w:left="8" w:right="80"/>
        <w:spacing w:after="0" w:line="236" w:lineRule="auto"/>
        <w:rPr>
          <w:sz w:val="20"/>
          <w:szCs w:val="20"/>
          <w:color w:val="auto"/>
        </w:rPr>
      </w:pPr>
      <w:r>
        <w:rPr>
          <w:rFonts w:ascii="Times New Roman" w:cs="Times New Roman" w:eastAsia="Times New Roman" w:hAnsi="Times New Roman"/>
          <w:sz w:val="14"/>
          <w:szCs w:val="14"/>
          <w:color w:val="auto"/>
        </w:rPr>
        <w:t>For the year ended December 31, 2025, diluted net operating earnings per common share were $17.20, compared with $14.88 in 2024. Net operating income was $2.88 billion and $2.63 billion in 2025 and 2024, respectively. Expressed as an annualized rate of return on average tangible assets and average tangible common shareholders' equity, net operating income in 2025 was 1.43% and 15.36%, respectively, compared with 1.30% and 14.54%, respectively, in 2024.</w:t>
      </w:r>
    </w:p>
    <w:p>
      <w:pPr>
        <w:spacing w:after="0" w:line="63" w:lineRule="exact"/>
        <w:rPr>
          <w:sz w:val="20"/>
          <w:szCs w:val="20"/>
          <w:color w:val="auto"/>
        </w:rPr>
      </w:pPr>
    </w:p>
    <w:p>
      <w:pPr>
        <w:ind w:left="48"/>
        <w:spacing w:after="0"/>
        <w:rPr>
          <w:sz w:val="20"/>
          <w:szCs w:val="20"/>
          <w:color w:val="auto"/>
        </w:rPr>
      </w:pPr>
      <w:r>
        <w:rPr>
          <w:rFonts w:ascii="Times New Roman" w:cs="Times New Roman" w:eastAsia="Times New Roman" w:hAnsi="Times New Roman"/>
          <w:sz w:val="14"/>
          <w:szCs w:val="14"/>
          <w:b w:val="1"/>
          <w:bCs w:val="1"/>
          <w:color w:val="FFFFFF"/>
        </w:rPr>
        <w:t>Taxable-equivalent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80" w:type="dxa"/>
            <w:vAlign w:val="bottom"/>
          </w:tcPr>
          <w:p>
            <w:pPr>
              <w:spacing w:after="0"/>
              <w:rPr>
                <w:sz w:val="13"/>
                <w:szCs w:val="13"/>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4Q25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3Q25</w:t>
            </w:r>
          </w:p>
        </w:tc>
        <w:tc>
          <w:tcPr>
            <w:tcW w:w="80" w:type="dxa"/>
            <w:vAlign w:val="bottom"/>
          </w:tcPr>
          <w:p>
            <w:pPr>
              <w:spacing w:after="0"/>
              <w:rPr>
                <w:sz w:val="13"/>
                <w:szCs w:val="13"/>
                <w:color w:val="auto"/>
              </w:rPr>
            </w:pPr>
          </w:p>
        </w:tc>
        <w:tc>
          <w:tcPr>
            <w:tcW w:w="160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Change 4Q25 vs. 3Q25</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4Q24</w:t>
            </w:r>
          </w:p>
        </w:tc>
        <w:tc>
          <w:tcPr>
            <w:tcW w:w="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Change 4Q25 vs. 4Q24</w:t>
            </w:r>
          </w:p>
        </w:tc>
      </w:tr>
      <w:tr>
        <w:trPr>
          <w:trHeight w:val="142"/>
        </w:trPr>
        <w:tc>
          <w:tcPr>
            <w:tcW w:w="4760" w:type="dxa"/>
            <w:vAlign w:val="bottom"/>
            <w:tcBorders>
              <w:top w:val="single" w:sz="8" w:color="E5F1EE"/>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Average earning assets</w:t>
            </w:r>
          </w:p>
        </w:tc>
        <w:tc>
          <w:tcPr>
            <w:tcW w:w="280" w:type="dxa"/>
            <w:vAlign w:val="bottom"/>
            <w:tcBorders>
              <w:top w:val="single" w:sz="8" w:color="auto"/>
              <w:bottom w:val="single" w:sz="8" w:color="E5F1EE"/>
            </w:tcBorders>
            <w:shd w:val="clear" w:color="auto" w:fill="E5F1EE"/>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192,366</w:t>
            </w:r>
          </w:p>
        </w:tc>
        <w:tc>
          <w:tcPr>
            <w:tcW w:w="20" w:type="dxa"/>
            <w:vAlign w:val="bottom"/>
            <w:tcBorders>
              <w:top w:val="single" w:sz="8" w:color="auto"/>
              <w:bottom w:val="single" w:sz="8" w:color="E5F1EE"/>
            </w:tcBorders>
            <w:shd w:val="clear" w:color="auto" w:fill="E5F1EE"/>
          </w:tcPr>
          <w:p>
            <w:pPr>
              <w:spacing w:after="0"/>
              <w:rPr>
                <w:sz w:val="12"/>
                <w:szCs w:val="12"/>
                <w:color w:val="auto"/>
              </w:rPr>
            </w:pPr>
          </w:p>
        </w:tc>
        <w:tc>
          <w:tcPr>
            <w:tcW w:w="80" w:type="dxa"/>
            <w:vAlign w:val="bottom"/>
            <w:tcBorders>
              <w:top w:val="single" w:sz="8" w:color="E5F1EE"/>
              <w:bottom w:val="single" w:sz="8" w:color="E5F1EE"/>
            </w:tcBorders>
            <w:shd w:val="clear" w:color="auto" w:fill="E5F1EE"/>
          </w:tcPr>
          <w:p>
            <w:pPr>
              <w:spacing w:after="0"/>
              <w:rPr>
                <w:sz w:val="12"/>
                <w:szCs w:val="12"/>
                <w:color w:val="auto"/>
              </w:rPr>
            </w:pPr>
          </w:p>
        </w:tc>
        <w:tc>
          <w:tcPr>
            <w:tcW w:w="280" w:type="dxa"/>
            <w:vAlign w:val="bottom"/>
            <w:tcBorders>
              <w:top w:val="single" w:sz="8" w:color="auto"/>
              <w:bottom w:val="single" w:sz="8" w:color="E5F1EE"/>
            </w:tcBorders>
            <w:shd w:val="clear" w:color="auto" w:fill="E5F1EE"/>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190,920</w:t>
            </w:r>
          </w:p>
        </w:tc>
        <w:tc>
          <w:tcPr>
            <w:tcW w:w="20" w:type="dxa"/>
            <w:vAlign w:val="bottom"/>
            <w:tcBorders>
              <w:top w:val="single" w:sz="8" w:color="auto"/>
              <w:bottom w:val="single" w:sz="8" w:color="E5F1EE"/>
            </w:tcBorders>
            <w:shd w:val="clear" w:color="auto" w:fill="E5F1EE"/>
          </w:tcPr>
          <w:p>
            <w:pPr>
              <w:spacing w:after="0"/>
              <w:rPr>
                <w:sz w:val="12"/>
                <w:szCs w:val="12"/>
                <w:color w:val="auto"/>
              </w:rPr>
            </w:pPr>
          </w:p>
        </w:tc>
        <w:tc>
          <w:tcPr>
            <w:tcW w:w="80" w:type="dxa"/>
            <w:vAlign w:val="bottom"/>
            <w:tcBorders>
              <w:top w:val="single" w:sz="8" w:color="E5F1EE"/>
              <w:bottom w:val="single" w:sz="8" w:color="E5F1EE"/>
            </w:tcBorders>
            <w:shd w:val="clear" w:color="auto" w:fill="E5F1EE"/>
          </w:tcPr>
          <w:p>
            <w:pPr>
              <w:spacing w:after="0"/>
              <w:rPr>
                <w:sz w:val="12"/>
                <w:szCs w:val="12"/>
                <w:color w:val="auto"/>
              </w:rPr>
            </w:pPr>
          </w:p>
        </w:tc>
        <w:tc>
          <w:tcPr>
            <w:tcW w:w="124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80" w:type="dxa"/>
            <w:vAlign w:val="bottom"/>
            <w:tcBorders>
              <w:top w:val="single" w:sz="8" w:color="E5F1EE"/>
              <w:bottom w:val="single" w:sz="8" w:color="E5F1EE"/>
            </w:tcBorders>
            <w:shd w:val="clear" w:color="auto" w:fill="E5F1EE"/>
          </w:tcPr>
          <w:p>
            <w:pPr>
              <w:spacing w:after="0"/>
              <w:rPr>
                <w:sz w:val="12"/>
                <w:szCs w:val="12"/>
                <w:color w:val="auto"/>
              </w:rPr>
            </w:pPr>
          </w:p>
        </w:tc>
        <w:tc>
          <w:tcPr>
            <w:tcW w:w="280" w:type="dxa"/>
            <w:vAlign w:val="bottom"/>
            <w:tcBorders>
              <w:top w:val="single" w:sz="8" w:color="auto"/>
              <w:bottom w:val="single" w:sz="8" w:color="E5F1EE"/>
            </w:tcBorders>
            <w:shd w:val="clear" w:color="auto" w:fill="E5F1EE"/>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193,106</w:t>
            </w:r>
          </w:p>
        </w:tc>
        <w:tc>
          <w:tcPr>
            <w:tcW w:w="20" w:type="dxa"/>
            <w:vAlign w:val="bottom"/>
            <w:tcBorders>
              <w:top w:val="single" w:sz="8" w:color="auto"/>
              <w:bottom w:val="single" w:sz="8" w:color="E5F1EE"/>
            </w:tcBorders>
            <w:shd w:val="clear" w:color="auto" w:fill="E5F1EE"/>
          </w:tcPr>
          <w:p>
            <w:pPr>
              <w:spacing w:after="0"/>
              <w:rPr>
                <w:sz w:val="12"/>
                <w:szCs w:val="12"/>
                <w:color w:val="auto"/>
              </w:rPr>
            </w:pPr>
          </w:p>
        </w:tc>
        <w:tc>
          <w:tcPr>
            <w:tcW w:w="60" w:type="dxa"/>
            <w:vAlign w:val="bottom"/>
            <w:tcBorders>
              <w:top w:val="single" w:sz="8" w:color="E5F1EE"/>
              <w:bottom w:val="single" w:sz="8" w:color="E5F1EE"/>
            </w:tcBorders>
            <w:shd w:val="clear" w:color="auto" w:fill="E5F1EE"/>
          </w:tcPr>
          <w:p>
            <w:pPr>
              <w:spacing w:after="0"/>
              <w:rPr>
                <w:sz w:val="12"/>
                <w:szCs w:val="12"/>
                <w:color w:val="auto"/>
              </w:rPr>
            </w:pPr>
          </w:p>
        </w:tc>
        <w:tc>
          <w:tcPr>
            <w:tcW w:w="124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Borders>
              <w:top w:val="single" w:sz="8" w:color="auto"/>
            </w:tcBorders>
            <w:shd w:val="clear" w:color="auto" w:fill="E5F1EE"/>
          </w:tcPr>
          <w:p>
            <w:pPr>
              <w:spacing w:after="0"/>
              <w:rPr>
                <w:sz w:val="12"/>
                <w:szCs w:val="12"/>
                <w:color w:val="auto"/>
              </w:rPr>
            </w:pPr>
          </w:p>
        </w:tc>
      </w:tr>
      <w:tr>
        <w:trPr>
          <w:trHeight w:val="133"/>
        </w:trPr>
        <w:tc>
          <w:tcPr>
            <w:tcW w:w="47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Average interest-bearing liabilities</w:t>
            </w: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135,492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134,283</w:t>
            </w:r>
          </w:p>
        </w:tc>
        <w:tc>
          <w:tcPr>
            <w:tcW w:w="20" w:type="dxa"/>
            <w:vAlign w:val="bottom"/>
          </w:tcPr>
          <w:p>
            <w:pPr>
              <w:spacing w:after="0"/>
              <w:rPr>
                <w:sz w:val="11"/>
                <w:szCs w:val="11"/>
                <w:color w:val="auto"/>
              </w:rPr>
            </w:pPr>
          </w:p>
        </w:tc>
        <w:tc>
          <w:tcPr>
            <w:tcW w:w="13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132,313</w:t>
            </w:r>
          </w:p>
        </w:tc>
        <w:tc>
          <w:tcPr>
            <w:tcW w:w="20" w:type="dxa"/>
            <w:vAlign w:val="bottom"/>
          </w:tcPr>
          <w:p>
            <w:pPr>
              <w:spacing w:after="0"/>
              <w:rPr>
                <w:sz w:val="11"/>
                <w:szCs w:val="11"/>
                <w:color w:val="auto"/>
              </w:rPr>
            </w:pPr>
          </w:p>
        </w:tc>
        <w:tc>
          <w:tcPr>
            <w:tcW w:w="13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1"/>
                <w:szCs w:val="11"/>
                <w:color w:val="auto"/>
              </w:rPr>
            </w:pPr>
          </w:p>
        </w:tc>
      </w:tr>
      <w:tr>
        <w:trPr>
          <w:trHeight w:val="153"/>
        </w:trPr>
        <w:tc>
          <w:tcPr>
            <w:tcW w:w="476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interest income - taxable-equivalent</w:t>
            </w:r>
          </w:p>
        </w:tc>
        <w:tc>
          <w:tcPr>
            <w:tcW w:w="280" w:type="dxa"/>
            <w:vAlign w:val="bottom"/>
            <w:shd w:val="clear" w:color="auto" w:fill="E5F1EE"/>
          </w:tcPr>
          <w:p>
            <w:pPr>
              <w:spacing w:after="0"/>
              <w:rPr>
                <w:sz w:val="13"/>
                <w:szCs w:val="13"/>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1,790</w:t>
            </w:r>
          </w:p>
        </w:tc>
        <w:tc>
          <w:tcPr>
            <w:tcW w:w="20" w:type="dxa"/>
            <w:vAlign w:val="bottom"/>
            <w:shd w:val="clear" w:color="auto" w:fill="E5F1EE"/>
          </w:tcPr>
          <w:p>
            <w:pPr>
              <w:spacing w:after="0"/>
              <w:rPr>
                <w:sz w:val="13"/>
                <w:szCs w:val="13"/>
                <w:color w:val="auto"/>
              </w:rPr>
            </w:pPr>
          </w:p>
        </w:tc>
        <w:tc>
          <w:tcPr>
            <w:tcW w:w="8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1,773</w:t>
            </w:r>
          </w:p>
        </w:tc>
        <w:tc>
          <w:tcPr>
            <w:tcW w:w="20" w:type="dxa"/>
            <w:vAlign w:val="bottom"/>
            <w:shd w:val="clear" w:color="auto" w:fill="E5F1EE"/>
          </w:tcPr>
          <w:p>
            <w:pPr>
              <w:spacing w:after="0"/>
              <w:rPr>
                <w:sz w:val="13"/>
                <w:szCs w:val="13"/>
                <w:color w:val="auto"/>
              </w:rPr>
            </w:pPr>
          </w:p>
        </w:tc>
        <w:tc>
          <w:tcPr>
            <w:tcW w:w="132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1,740</w:t>
            </w:r>
          </w:p>
        </w:tc>
        <w:tc>
          <w:tcPr>
            <w:tcW w:w="20" w:type="dxa"/>
            <w:vAlign w:val="bottom"/>
            <w:shd w:val="clear" w:color="auto" w:fill="E5F1EE"/>
          </w:tcPr>
          <w:p>
            <w:pPr>
              <w:spacing w:after="0"/>
              <w:rPr>
                <w:sz w:val="13"/>
                <w:szCs w:val="13"/>
                <w:color w:val="auto"/>
              </w:rPr>
            </w:pPr>
          </w:p>
        </w:tc>
        <w:tc>
          <w:tcPr>
            <w:tcW w:w="130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E5F1EE"/>
          </w:tcPr>
          <w:p>
            <w:pPr>
              <w:spacing w:after="0"/>
              <w:rPr>
                <w:sz w:val="13"/>
                <w:szCs w:val="13"/>
                <w:color w:val="auto"/>
              </w:rPr>
            </w:pPr>
          </w:p>
        </w:tc>
      </w:tr>
      <w:tr>
        <w:trPr>
          <w:trHeight w:val="153"/>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Yield on average earning assets</w:t>
            </w:r>
          </w:p>
        </w:tc>
        <w:tc>
          <w:tcPr>
            <w:tcW w:w="28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5.46 %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5.59 %</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5.60 %</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76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Cost of interest-bearing liabilities</w:t>
            </w:r>
          </w:p>
        </w:tc>
        <w:tc>
          <w:tcPr>
            <w:tcW w:w="280" w:type="dxa"/>
            <w:vAlign w:val="bottom"/>
            <w:tcBorders>
              <w:bottom w:val="single" w:sz="8" w:color="E5F1EE"/>
            </w:tcBorders>
            <w:shd w:val="clear" w:color="auto" w:fill="E5F1EE"/>
          </w:tcPr>
          <w:p>
            <w:pPr>
              <w:spacing w:after="0"/>
              <w:rPr>
                <w:sz w:val="13"/>
                <w:szCs w:val="13"/>
                <w:color w:val="auto"/>
              </w:rPr>
            </w:pPr>
          </w:p>
        </w:tc>
        <w:tc>
          <w:tcPr>
            <w:tcW w:w="9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20" w:type="dxa"/>
            <w:vAlign w:val="bottom"/>
            <w:shd w:val="clear" w:color="auto" w:fill="E5F1EE"/>
          </w:tcPr>
          <w:p>
            <w:pPr>
              <w:spacing w:after="0"/>
              <w:rPr>
                <w:sz w:val="13"/>
                <w:szCs w:val="13"/>
                <w:color w:val="auto"/>
              </w:rPr>
            </w:pPr>
          </w:p>
        </w:tc>
        <w:tc>
          <w:tcPr>
            <w:tcW w:w="80" w:type="dxa"/>
            <w:vAlign w:val="bottom"/>
            <w:tcBorders>
              <w:bottom w:val="single" w:sz="8" w:color="E5F1EE"/>
            </w:tcBorders>
            <w:shd w:val="clear" w:color="auto" w:fill="E5F1EE"/>
          </w:tcPr>
          <w:p>
            <w:pPr>
              <w:spacing w:after="0"/>
              <w:rPr>
                <w:sz w:val="13"/>
                <w:szCs w:val="13"/>
                <w:color w:val="auto"/>
              </w:rPr>
            </w:pPr>
          </w:p>
        </w:tc>
        <w:tc>
          <w:tcPr>
            <w:tcW w:w="280" w:type="dxa"/>
            <w:vAlign w:val="bottom"/>
            <w:tcBorders>
              <w:bottom w:val="single" w:sz="8" w:color="E5F1EE"/>
            </w:tcBorders>
            <w:shd w:val="clear" w:color="auto" w:fill="E5F1EE"/>
          </w:tcPr>
          <w:p>
            <w:pPr>
              <w:spacing w:after="0"/>
              <w:rPr>
                <w:sz w:val="13"/>
                <w:szCs w:val="13"/>
                <w:color w:val="auto"/>
              </w:rPr>
            </w:pPr>
          </w:p>
        </w:tc>
        <w:tc>
          <w:tcPr>
            <w:tcW w:w="9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20" w:type="dxa"/>
            <w:vAlign w:val="bottom"/>
            <w:shd w:val="clear" w:color="auto" w:fill="E5F1EE"/>
          </w:tcPr>
          <w:p>
            <w:pPr>
              <w:spacing w:after="0"/>
              <w:rPr>
                <w:sz w:val="13"/>
                <w:szCs w:val="13"/>
                <w:color w:val="auto"/>
              </w:rPr>
            </w:pPr>
          </w:p>
        </w:tc>
        <w:tc>
          <w:tcPr>
            <w:tcW w:w="80" w:type="dxa"/>
            <w:vAlign w:val="bottom"/>
            <w:tcBorders>
              <w:bottom w:val="single" w:sz="8" w:color="E5F1EE"/>
            </w:tcBorders>
            <w:shd w:val="clear" w:color="auto" w:fill="E5F1EE"/>
          </w:tcPr>
          <w:p>
            <w:pPr>
              <w:spacing w:after="0"/>
              <w:rPr>
                <w:sz w:val="13"/>
                <w:szCs w:val="13"/>
                <w:color w:val="auto"/>
              </w:rPr>
            </w:pPr>
          </w:p>
        </w:tc>
        <w:tc>
          <w:tcPr>
            <w:tcW w:w="1240" w:type="dxa"/>
            <w:vAlign w:val="bottom"/>
            <w:tcBorders>
              <w:bottom w:val="single" w:sz="8" w:color="E5F1EE"/>
            </w:tcBorders>
            <w:shd w:val="clear" w:color="auto" w:fill="E5F1EE"/>
          </w:tcPr>
          <w:p>
            <w:pPr>
              <w:spacing w:after="0"/>
              <w:rPr>
                <w:sz w:val="13"/>
                <w:szCs w:val="13"/>
                <w:color w:val="auto"/>
              </w:rPr>
            </w:pPr>
          </w:p>
        </w:tc>
        <w:tc>
          <w:tcPr>
            <w:tcW w:w="80" w:type="dxa"/>
            <w:vAlign w:val="bottom"/>
            <w:tcBorders>
              <w:bottom w:val="single" w:sz="8" w:color="E5F1EE"/>
            </w:tcBorders>
            <w:shd w:val="clear" w:color="auto" w:fill="E5F1EE"/>
          </w:tcPr>
          <w:p>
            <w:pPr>
              <w:spacing w:after="0"/>
              <w:rPr>
                <w:sz w:val="13"/>
                <w:szCs w:val="13"/>
                <w:color w:val="auto"/>
              </w:rPr>
            </w:pPr>
          </w:p>
        </w:tc>
        <w:tc>
          <w:tcPr>
            <w:tcW w:w="280" w:type="dxa"/>
            <w:vAlign w:val="bottom"/>
            <w:tcBorders>
              <w:bottom w:val="single" w:sz="8" w:color="E5F1EE"/>
            </w:tcBorders>
            <w:shd w:val="clear" w:color="auto" w:fill="E5F1EE"/>
          </w:tcPr>
          <w:p>
            <w:pPr>
              <w:spacing w:after="0"/>
              <w:rPr>
                <w:sz w:val="13"/>
                <w:szCs w:val="13"/>
                <w:color w:val="auto"/>
              </w:rPr>
            </w:pPr>
          </w:p>
        </w:tc>
        <w:tc>
          <w:tcPr>
            <w:tcW w:w="96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20" w:type="dxa"/>
            <w:vAlign w:val="bottom"/>
            <w:shd w:val="clear" w:color="auto" w:fill="E5F1EE"/>
          </w:tcPr>
          <w:p>
            <w:pPr>
              <w:spacing w:after="0"/>
              <w:rPr>
                <w:sz w:val="13"/>
                <w:szCs w:val="13"/>
                <w:color w:val="auto"/>
              </w:rPr>
            </w:pPr>
          </w:p>
        </w:tc>
        <w:tc>
          <w:tcPr>
            <w:tcW w:w="60" w:type="dxa"/>
            <w:vAlign w:val="bottom"/>
            <w:tcBorders>
              <w:bottom w:val="single" w:sz="8" w:color="E5F1EE"/>
            </w:tcBorders>
            <w:shd w:val="clear" w:color="auto" w:fill="E5F1EE"/>
          </w:tcPr>
          <w:p>
            <w:pPr>
              <w:spacing w:after="0"/>
              <w:rPr>
                <w:sz w:val="13"/>
                <w:szCs w:val="13"/>
                <w:color w:val="auto"/>
              </w:rPr>
            </w:pPr>
          </w:p>
        </w:tc>
        <w:tc>
          <w:tcPr>
            <w:tcW w:w="1240" w:type="dxa"/>
            <w:vAlign w:val="bottom"/>
            <w:tcBorders>
              <w:bottom w:val="single" w:sz="8" w:color="E5F1EE"/>
            </w:tcBorders>
            <w:shd w:val="clear" w:color="auto" w:fill="E5F1EE"/>
          </w:tcPr>
          <w:p>
            <w:pPr>
              <w:spacing w:after="0"/>
              <w:rPr>
                <w:sz w:val="13"/>
                <w:szCs w:val="13"/>
                <w:color w:val="auto"/>
              </w:rPr>
            </w:pPr>
          </w:p>
        </w:tc>
        <w:tc>
          <w:tcPr>
            <w:tcW w:w="20" w:type="dxa"/>
            <w:vAlign w:val="bottom"/>
            <w:tcBorders>
              <w:bottom w:val="single" w:sz="8" w:color="E5F1EE"/>
            </w:tcBorders>
            <w:shd w:val="clear" w:color="auto" w:fill="E5F1EE"/>
          </w:tcPr>
          <w:p>
            <w:pPr>
              <w:spacing w:after="0"/>
              <w:rPr>
                <w:sz w:val="13"/>
                <w:szCs w:val="13"/>
                <w:color w:val="auto"/>
              </w:rPr>
            </w:pPr>
          </w:p>
        </w:tc>
      </w:tr>
      <w:tr>
        <w:trPr>
          <w:trHeight w:val="133"/>
        </w:trPr>
        <w:tc>
          <w:tcPr>
            <w:tcW w:w="47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interest spread</w:t>
            </w: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2.95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2.88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476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interest margin</w:t>
            </w:r>
          </w:p>
        </w:tc>
        <w:tc>
          <w:tcPr>
            <w:tcW w:w="280" w:type="dxa"/>
            <w:vAlign w:val="bottom"/>
            <w:shd w:val="clear" w:color="auto" w:fill="E5F1EE"/>
          </w:tcPr>
          <w:p>
            <w:pPr>
              <w:spacing w:after="0"/>
              <w:rPr>
                <w:sz w:val="13"/>
                <w:szCs w:val="13"/>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20" w:type="dxa"/>
            <w:vAlign w:val="bottom"/>
            <w:shd w:val="clear" w:color="auto" w:fill="E5F1EE"/>
          </w:tcPr>
          <w:p>
            <w:pPr>
              <w:spacing w:after="0"/>
              <w:rPr>
                <w:sz w:val="13"/>
                <w:szCs w:val="13"/>
                <w:color w:val="auto"/>
              </w:rPr>
            </w:pPr>
          </w:p>
        </w:tc>
        <w:tc>
          <w:tcPr>
            <w:tcW w:w="8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20" w:type="dxa"/>
            <w:vAlign w:val="bottom"/>
            <w:shd w:val="clear" w:color="auto" w:fill="E5F1EE"/>
          </w:tcPr>
          <w:p>
            <w:pPr>
              <w:spacing w:after="0"/>
              <w:rPr>
                <w:sz w:val="13"/>
                <w:szCs w:val="13"/>
                <w:color w:val="auto"/>
              </w:rPr>
            </w:pPr>
          </w:p>
        </w:tc>
        <w:tc>
          <w:tcPr>
            <w:tcW w:w="80" w:type="dxa"/>
            <w:vAlign w:val="bottom"/>
            <w:shd w:val="clear" w:color="auto" w:fill="E5F1EE"/>
          </w:tcPr>
          <w:p>
            <w:pPr>
              <w:spacing w:after="0"/>
              <w:rPr>
                <w:sz w:val="13"/>
                <w:szCs w:val="13"/>
                <w:color w:val="auto"/>
              </w:rPr>
            </w:pPr>
          </w:p>
        </w:tc>
        <w:tc>
          <w:tcPr>
            <w:tcW w:w="1240" w:type="dxa"/>
            <w:vAlign w:val="bottom"/>
            <w:shd w:val="clear" w:color="auto" w:fill="E5F1EE"/>
          </w:tcPr>
          <w:p>
            <w:pPr>
              <w:spacing w:after="0"/>
              <w:rPr>
                <w:sz w:val="13"/>
                <w:szCs w:val="13"/>
                <w:color w:val="auto"/>
              </w:rPr>
            </w:pPr>
          </w:p>
        </w:tc>
        <w:tc>
          <w:tcPr>
            <w:tcW w:w="8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20" w:type="dxa"/>
            <w:vAlign w:val="bottom"/>
            <w:shd w:val="clear" w:color="auto" w:fill="E5F1EE"/>
          </w:tcPr>
          <w:p>
            <w:pPr>
              <w:spacing w:after="0"/>
              <w:rPr>
                <w:sz w:val="13"/>
                <w:szCs w:val="13"/>
                <w:color w:val="auto"/>
              </w:rPr>
            </w:pPr>
          </w:p>
        </w:tc>
        <w:tc>
          <w:tcPr>
            <w:tcW w:w="60" w:type="dxa"/>
            <w:vAlign w:val="bottom"/>
            <w:shd w:val="clear" w:color="auto" w:fill="E5F1EE"/>
          </w:tcPr>
          <w:p>
            <w:pPr>
              <w:spacing w:after="0"/>
              <w:rPr>
                <w:sz w:val="13"/>
                <w:szCs w:val="13"/>
                <w:color w:val="auto"/>
              </w:rPr>
            </w:pPr>
          </w:p>
        </w:tc>
        <w:tc>
          <w:tcPr>
            <w:tcW w:w="1240" w:type="dxa"/>
            <w:vAlign w:val="bottom"/>
            <w:shd w:val="clear" w:color="auto" w:fill="E5F1EE"/>
          </w:tcPr>
          <w:p>
            <w:pPr>
              <w:spacing w:after="0"/>
              <w:rPr>
                <w:sz w:val="13"/>
                <w:szCs w:val="13"/>
                <w:color w:val="auto"/>
              </w:rPr>
            </w:pPr>
          </w:p>
        </w:tc>
        <w:tc>
          <w:tcPr>
            <w:tcW w:w="20" w:type="dxa"/>
            <w:vAlign w:val="bottom"/>
            <w:shd w:val="clear" w:color="auto" w:fill="E5F1EE"/>
          </w:tcPr>
          <w:p>
            <w:pPr>
              <w:spacing w:after="0"/>
              <w:rPr>
                <w:sz w:val="13"/>
                <w:szCs w:val="13"/>
                <w:color w:val="auto"/>
              </w:rPr>
            </w:pPr>
          </w:p>
        </w:tc>
      </w:tr>
    </w:tbl>
    <w:p>
      <w:pPr>
        <w:spacing w:after="0" w:line="108" w:lineRule="exact"/>
        <w:rPr>
          <w:sz w:val="20"/>
          <w:szCs w:val="20"/>
          <w:color w:val="auto"/>
        </w:rPr>
      </w:pPr>
    </w:p>
    <w:p>
      <w:pPr>
        <w:ind w:left="8" w:right="280"/>
        <w:spacing w:after="0" w:line="236" w:lineRule="auto"/>
        <w:rPr>
          <w:sz w:val="20"/>
          <w:szCs w:val="20"/>
          <w:color w:val="auto"/>
        </w:rPr>
      </w:pPr>
      <w:r>
        <w:rPr>
          <w:rFonts w:ascii="Times New Roman" w:cs="Times New Roman" w:eastAsia="Times New Roman" w:hAnsi="Times New Roman"/>
          <w:sz w:val="14"/>
          <w:szCs w:val="14"/>
          <w:color w:val="auto"/>
        </w:rPr>
        <w:t>Taxable-equivalent net interest income increased $17 million, or 1%, in the recent quarter as compared with the third quarter of 2025 and $50 million, or 3%, as compared with the year-earlier fourth quarter reflecting loan and deposit growth and favorable earning asset and interest-bearing liability repricing, including a reduction of the negative impact from interest rate swap agreements.</w:t>
      </w:r>
    </w:p>
    <w:p>
      <w:pPr>
        <w:spacing w:after="0" w:line="119" w:lineRule="exact"/>
        <w:rPr>
          <w:sz w:val="20"/>
          <w:szCs w:val="20"/>
          <w:color w:val="auto"/>
        </w:rPr>
      </w:pPr>
    </w:p>
    <w:p>
      <w:pPr>
        <w:ind w:left="8" w:right="100"/>
        <w:spacing w:after="0" w:line="255" w:lineRule="auto"/>
        <w:rPr>
          <w:sz w:val="20"/>
          <w:szCs w:val="20"/>
          <w:color w:val="auto"/>
        </w:rPr>
      </w:pPr>
      <w:r>
        <w:rPr>
          <w:rFonts w:ascii="Times New Roman" w:cs="Times New Roman" w:eastAsia="Times New Roman" w:hAnsi="Times New Roman"/>
          <w:sz w:val="14"/>
          <w:szCs w:val="14"/>
          <w:color w:val="auto"/>
        </w:rPr>
        <w:t>Taxable-equivalent net interest income increased $90 million, or 1%, for the full-year 2025 as compared with 2024 reflecting loan growth and favorable earning asset and interest-bearing liability repricing, including a reduction of the negative impact from interest rate swap agreements, as the net interest margin widened 9 basis points.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8"/>
          </w:cols>
          <w:pgMar w:left="292" w:top="332" w:right="299" w:bottom="1440" w:gutter="0" w:footer="0" w:header="0"/>
        </w:sectPr>
      </w:pPr>
    </w:p>
    <w:bookmarkStart w:id="5" w:name="page6"/>
    <w:bookmarkEnd w:id="5"/>
    <w:p>
      <w:pPr>
        <w:ind w:left="972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FFFFFF"/>
        </w:rPr>
        <w:t>Average 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5518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Change 4Q25 vs.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Change 4Q25 vs.</w:t>
            </w:r>
          </w:p>
        </w:tc>
        <w:tc>
          <w:tcPr>
            <w:tcW w:w="0" w:type="dxa"/>
            <w:vAlign w:val="bottom"/>
          </w:tcPr>
          <w:p>
            <w:pPr>
              <w:spacing w:after="0"/>
              <w:rPr>
                <w:sz w:val="1"/>
                <w:szCs w:val="1"/>
                <w:color w:val="auto"/>
              </w:rPr>
            </w:pPr>
          </w:p>
        </w:tc>
      </w:tr>
      <w:tr>
        <w:trPr>
          <w:trHeight w:val="162"/>
        </w:trPr>
        <w:tc>
          <w:tcPr>
            <w:tcW w:w="4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4Q25</w:t>
            </w:r>
          </w:p>
        </w:tc>
        <w:tc>
          <w:tcPr>
            <w:tcW w:w="240" w:type="dxa"/>
            <w:vAlign w:val="bottom"/>
          </w:tcPr>
          <w:p>
            <w:pPr>
              <w:spacing w:after="0"/>
              <w:rPr>
                <w:sz w:val="14"/>
                <w:szCs w:val="14"/>
                <w:color w:val="auto"/>
              </w:rPr>
            </w:pPr>
          </w:p>
        </w:tc>
        <w:tc>
          <w:tcPr>
            <w:tcW w:w="8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3Q25</w:t>
            </w:r>
          </w:p>
        </w:tc>
        <w:tc>
          <w:tcPr>
            <w:tcW w:w="240" w:type="dxa"/>
            <w:vAlign w:val="bottom"/>
          </w:tcPr>
          <w:p>
            <w:pPr>
              <w:spacing w:after="0"/>
              <w:rPr>
                <w:sz w:val="14"/>
                <w:szCs w:val="14"/>
                <w:color w:val="auto"/>
              </w:rPr>
            </w:pPr>
          </w:p>
        </w:tc>
        <w:tc>
          <w:tcPr>
            <w:tcW w:w="11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3Q25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4Q24</w:t>
            </w:r>
          </w:p>
        </w:tc>
        <w:tc>
          <w:tcPr>
            <w:tcW w:w="240" w:type="dxa"/>
            <w:vAlign w:val="bottom"/>
          </w:tcPr>
          <w:p>
            <w:pPr>
              <w:spacing w:after="0"/>
              <w:rPr>
                <w:sz w:val="14"/>
                <w:szCs w:val="14"/>
                <w:color w:val="auto"/>
              </w:rPr>
            </w:pPr>
          </w:p>
        </w:tc>
        <w:tc>
          <w:tcPr>
            <w:tcW w:w="11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4Q24</w:t>
            </w:r>
          </w:p>
        </w:tc>
        <w:tc>
          <w:tcPr>
            <w:tcW w:w="0" w:type="dxa"/>
            <w:vAlign w:val="bottom"/>
          </w:tcPr>
          <w:p>
            <w:pPr>
              <w:spacing w:after="0"/>
              <w:rPr>
                <w:sz w:val="1"/>
                <w:szCs w:val="1"/>
                <w:color w:val="auto"/>
              </w:rPr>
            </w:pPr>
          </w:p>
        </w:tc>
      </w:tr>
      <w:tr>
        <w:trPr>
          <w:trHeight w:val="142"/>
        </w:trPr>
        <w:tc>
          <w:tcPr>
            <w:tcW w:w="4800" w:type="dxa"/>
            <w:vAlign w:val="bottom"/>
            <w:tcBorders>
              <w:top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Interest-bearing deposits at banks</w:t>
            </w:r>
          </w:p>
        </w:tc>
        <w:tc>
          <w:tcPr>
            <w:tcW w:w="240" w:type="dxa"/>
            <w:vAlign w:val="bottom"/>
            <w:tcBorders>
              <w:top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17,964</w:t>
            </w:r>
          </w:p>
        </w:tc>
        <w:tc>
          <w:tcPr>
            <w:tcW w:w="240" w:type="dxa"/>
            <w:vAlign w:val="bottom"/>
            <w:tcBorders>
              <w:top w:val="single" w:sz="8" w:color="E5F1EE"/>
            </w:tcBorders>
            <w:shd w:val="clear" w:color="auto" w:fill="E5F1EE"/>
          </w:tcPr>
          <w:p>
            <w:pPr>
              <w:spacing w:after="0"/>
              <w:rPr>
                <w:sz w:val="12"/>
                <w:szCs w:val="12"/>
                <w:color w:val="auto"/>
              </w:rPr>
            </w:pPr>
          </w:p>
        </w:tc>
        <w:tc>
          <w:tcPr>
            <w:tcW w:w="240" w:type="dxa"/>
            <w:vAlign w:val="bottom"/>
            <w:tcBorders>
              <w:top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17,739</w:t>
            </w:r>
          </w:p>
        </w:tc>
        <w:tc>
          <w:tcPr>
            <w:tcW w:w="240" w:type="dxa"/>
            <w:vAlign w:val="bottom"/>
            <w:tcBorders>
              <w:top w:val="single" w:sz="8" w:color="E5F1EE"/>
            </w:tcBorders>
            <w:shd w:val="clear" w:color="auto" w:fill="E5F1EE"/>
          </w:tcPr>
          <w:p>
            <w:pPr>
              <w:spacing w:after="0"/>
              <w:rPr>
                <w:sz w:val="12"/>
                <w:szCs w:val="12"/>
                <w:color w:val="auto"/>
              </w:rPr>
            </w:pPr>
          </w:p>
        </w:tc>
        <w:tc>
          <w:tcPr>
            <w:tcW w:w="11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240" w:type="dxa"/>
            <w:vAlign w:val="bottom"/>
            <w:tcBorders>
              <w:top w:val="single" w:sz="8" w:color="E5F1EE"/>
            </w:tcBorders>
            <w:shd w:val="clear" w:color="auto" w:fill="E5F1EE"/>
          </w:tcPr>
          <w:p>
            <w:pPr>
              <w:spacing w:after="0"/>
              <w:rPr>
                <w:sz w:val="12"/>
                <w:szCs w:val="12"/>
                <w:color w:val="auto"/>
              </w:rPr>
            </w:pPr>
          </w:p>
        </w:tc>
        <w:tc>
          <w:tcPr>
            <w:tcW w:w="240" w:type="dxa"/>
            <w:vAlign w:val="bottom"/>
            <w:tcBorders>
              <w:top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23,602</w:t>
            </w:r>
          </w:p>
        </w:tc>
        <w:tc>
          <w:tcPr>
            <w:tcW w:w="240" w:type="dxa"/>
            <w:vAlign w:val="bottom"/>
            <w:tcBorders>
              <w:top w:val="single" w:sz="8" w:color="E5F1EE"/>
            </w:tcBorders>
            <w:shd w:val="clear" w:color="auto" w:fill="E5F1EE"/>
          </w:tcPr>
          <w:p>
            <w:pPr>
              <w:spacing w:after="0"/>
              <w:rPr>
                <w:sz w:val="12"/>
                <w:szCs w:val="12"/>
                <w:color w:val="auto"/>
              </w:rPr>
            </w:pPr>
          </w:p>
        </w:tc>
        <w:tc>
          <w:tcPr>
            <w:tcW w:w="11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-24 %</w:t>
            </w: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Trading account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53"/>
        </w:trPr>
        <w:tc>
          <w:tcPr>
            <w:tcW w:w="480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Investment securities</w:t>
            </w:r>
          </w:p>
        </w:tc>
        <w:tc>
          <w:tcPr>
            <w:tcW w:w="240" w:type="dxa"/>
            <w:vAlign w:val="bottom"/>
            <w:shd w:val="clear" w:color="auto" w:fill="E5F1EE"/>
          </w:tcPr>
          <w:p>
            <w:pPr>
              <w:spacing w:after="0"/>
              <w:rPr>
                <w:sz w:val="13"/>
                <w:szCs w:val="13"/>
                <w:color w:val="auto"/>
              </w:rPr>
            </w:pPr>
          </w:p>
        </w:tc>
        <w:tc>
          <w:tcPr>
            <w:tcW w:w="8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36,705</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36,559</w:t>
            </w:r>
          </w:p>
        </w:tc>
        <w:tc>
          <w:tcPr>
            <w:tcW w:w="240" w:type="dxa"/>
            <w:vAlign w:val="bottom"/>
            <w:shd w:val="clear" w:color="auto" w:fill="E5F1EE"/>
          </w:tcPr>
          <w:p>
            <w:pPr>
              <w:spacing w:after="0"/>
              <w:rPr>
                <w:sz w:val="13"/>
                <w:szCs w:val="13"/>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33,679</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shd w:val="clear" w:color="auto" w:fill="E5F1EE"/>
          </w:tcPr>
          <w:p>
            <w:pPr>
              <w:ind w:left="8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40" w:type="dxa"/>
            <w:vAlign w:val="bottom"/>
            <w:shd w:val="clear" w:color="auto" w:fill="E5F1EE"/>
          </w:tcPr>
          <w:p>
            <w:pPr>
              <w:spacing w:after="0"/>
              <w:rPr>
                <w:sz w:val="13"/>
                <w:szCs w:val="13"/>
                <w:color w:val="auto"/>
              </w:rPr>
            </w:pPr>
          </w:p>
        </w:tc>
        <w:tc>
          <w:tcPr>
            <w:tcW w:w="8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62,257</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61,716</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60,704</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53"/>
        </w:trPr>
        <w:tc>
          <w:tcPr>
            <w:tcW w:w="48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Real estate - commercial</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24,101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27,896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53"/>
        </w:trPr>
        <w:tc>
          <w:tcPr>
            <w:tcW w:w="4800" w:type="dxa"/>
            <w:vAlign w:val="bottom"/>
            <w:shd w:val="clear" w:color="auto" w:fill="E5F1EE"/>
          </w:tcPr>
          <w:p>
            <w:pPr>
              <w:ind w:left="80"/>
              <w:spacing w:after="0"/>
              <w:rPr>
                <w:sz w:val="20"/>
                <w:szCs w:val="20"/>
                <w:color w:val="auto"/>
              </w:rPr>
            </w:pPr>
            <w:r>
              <w:rPr>
                <w:rFonts w:ascii="Times New Roman" w:cs="Times New Roman" w:eastAsia="Times New Roman" w:hAnsi="Times New Roman"/>
                <w:sz w:val="12"/>
                <w:szCs w:val="12"/>
                <w:color w:val="auto"/>
              </w:rPr>
              <w:t>Real estate - residential</w:t>
            </w:r>
          </w:p>
        </w:tc>
        <w:tc>
          <w:tcPr>
            <w:tcW w:w="240" w:type="dxa"/>
            <w:vAlign w:val="bottom"/>
            <w:shd w:val="clear" w:color="auto" w:fill="E5F1EE"/>
          </w:tcPr>
          <w:p>
            <w:pPr>
              <w:spacing w:after="0"/>
              <w:rPr>
                <w:sz w:val="13"/>
                <w:szCs w:val="13"/>
                <w:color w:val="auto"/>
              </w:rPr>
            </w:pPr>
          </w:p>
        </w:tc>
        <w:tc>
          <w:tcPr>
            <w:tcW w:w="8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24,765</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24,359</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23,088</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3"/>
        </w:trPr>
        <w:tc>
          <w:tcPr>
            <w:tcW w:w="4800" w:type="dxa"/>
            <w:vAlign w:val="bottom"/>
            <w:tcBorders>
              <w:bottom w:val="single" w:sz="8" w:color="E5F1EE"/>
            </w:tcBorders>
          </w:tcPr>
          <w:p>
            <w:pPr>
              <w:ind w:left="80"/>
              <w:spacing w:after="0"/>
              <w:rPr>
                <w:sz w:val="20"/>
                <w:szCs w:val="20"/>
                <w:color w:val="auto"/>
              </w:rPr>
            </w:pPr>
            <w:r>
              <w:rPr>
                <w:rFonts w:ascii="Times New Roman" w:cs="Times New Roman" w:eastAsia="Times New Roman" w:hAnsi="Times New Roman"/>
                <w:sz w:val="12"/>
                <w:szCs w:val="12"/>
                <w:color w:val="auto"/>
              </w:rPr>
              <w:t>Consumer</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26,477</w:t>
            </w:r>
          </w:p>
        </w:tc>
        <w:tc>
          <w:tcPr>
            <w:tcW w:w="24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26,099</w:t>
            </w:r>
          </w:p>
        </w:tc>
        <w:tc>
          <w:tcPr>
            <w:tcW w:w="13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24,035</w:t>
            </w:r>
          </w:p>
        </w:tc>
        <w:tc>
          <w:tcPr>
            <w:tcW w:w="13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2"/>
        </w:trPr>
        <w:tc>
          <w:tcPr>
            <w:tcW w:w="480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Total loans</w:t>
            </w:r>
          </w:p>
        </w:tc>
        <w:tc>
          <w:tcPr>
            <w:tcW w:w="240" w:type="dxa"/>
            <w:vAlign w:val="bottom"/>
            <w:tcBorders>
              <w:bottom w:val="single" w:sz="8" w:color="auto"/>
            </w:tcBorders>
            <w:shd w:val="clear" w:color="auto" w:fill="E5F1EE"/>
          </w:tcPr>
          <w:p>
            <w:pPr>
              <w:spacing w:after="0"/>
              <w:rPr>
                <w:sz w:val="12"/>
                <w:szCs w:val="12"/>
                <w:color w:val="auto"/>
              </w:rPr>
            </w:pPr>
          </w:p>
        </w:tc>
        <w:tc>
          <w:tcPr>
            <w:tcW w:w="8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137,600</w:t>
            </w:r>
          </w:p>
        </w:tc>
        <w:tc>
          <w:tcPr>
            <w:tcW w:w="240" w:type="dxa"/>
            <w:vAlign w:val="bottom"/>
            <w:shd w:val="clear" w:color="auto" w:fill="E5F1EE"/>
          </w:tcPr>
          <w:p>
            <w:pPr>
              <w:spacing w:after="0"/>
              <w:rPr>
                <w:sz w:val="12"/>
                <w:szCs w:val="12"/>
                <w:color w:val="auto"/>
              </w:rPr>
            </w:pPr>
          </w:p>
        </w:tc>
        <w:tc>
          <w:tcPr>
            <w:tcW w:w="240" w:type="dxa"/>
            <w:vAlign w:val="bottom"/>
            <w:tcBorders>
              <w:bottom w:val="single" w:sz="8" w:color="auto"/>
            </w:tcBorders>
            <w:shd w:val="clear" w:color="auto" w:fill="E5F1EE"/>
          </w:tcPr>
          <w:p>
            <w:pPr>
              <w:spacing w:after="0"/>
              <w:rPr>
                <w:sz w:val="12"/>
                <w:szCs w:val="12"/>
                <w:color w:val="auto"/>
              </w:rPr>
            </w:pPr>
          </w:p>
        </w:tc>
        <w:tc>
          <w:tcPr>
            <w:tcW w:w="8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136,527</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E5F1EE"/>
          </w:tcPr>
          <w:p>
            <w:pPr>
              <w:spacing w:after="0"/>
              <w:rPr>
                <w:sz w:val="12"/>
                <w:szCs w:val="12"/>
                <w:color w:val="auto"/>
              </w:rPr>
            </w:pPr>
          </w:p>
        </w:tc>
        <w:tc>
          <w:tcPr>
            <w:tcW w:w="240" w:type="dxa"/>
            <w:vAlign w:val="bottom"/>
            <w:tcBorders>
              <w:bottom w:val="single" w:sz="8" w:color="auto"/>
            </w:tcBorders>
            <w:shd w:val="clear" w:color="auto" w:fill="E5F1EE"/>
          </w:tcPr>
          <w:p>
            <w:pPr>
              <w:spacing w:after="0"/>
              <w:rPr>
                <w:sz w:val="12"/>
                <w:szCs w:val="12"/>
                <w:color w:val="auto"/>
              </w:rPr>
            </w:pPr>
          </w:p>
        </w:tc>
        <w:tc>
          <w:tcPr>
            <w:tcW w:w="8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135,723</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Total earning assets</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192,366</w:t>
            </w: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190,920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193,106</w:t>
            </w:r>
          </w:p>
        </w:tc>
        <w:tc>
          <w:tcPr>
            <w:tcW w:w="2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4"/>
          <w:szCs w:val="14"/>
          <w:color w:val="auto"/>
        </w:rPr>
        <w:t>Average earning assets increased $1.4 billion from the third quarter of 2025 reflecting loan growth and an increase in average interest-bearing deposits at banks. Contributing to the increase in average loans in the recent quarter were higher average commercial and industrial loans, including loans to motor vehicle and recreational finance dealers, residential real estate loans and consumer loans, predominantly recreational finance loans and home equity loans and lines of credit. Partially offsetting that loan growth was a decline in average commercial real estate loans of $252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earning assets decreased $740 million from the fourth quarter of 2024. Average interest-bearing deposits at banks decreased $5.6 billion as liquidity was deployed into investment securities purchases and loan growth. The growth in average loans reflected higher average balances of commercial and industrial loans of $1.6 billion, including a rise in loans in the financial and insurance industry, an increase in average residential real estate loans of $1.7 billion and higher average consumer loans of $2.4 billion, reflecting a rise in average balances of recreational finance, automobile loans and home equity loans and lines of credit. Partially offsetting those increases in average loans was a $3.8 billion decline in average commercial real estate loans, reflecting payoffs.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60"/>
          </w:cols>
          <w:pgMar w:left="300" w:top="332" w:right="339" w:bottom="1440" w:gutter="0" w:footer="0" w:header="0"/>
        </w:sectPr>
      </w:pPr>
    </w:p>
    <w:bookmarkStart w:id="6" w:name="page7"/>
    <w:bookmarkEnd w:id="6"/>
    <w:p>
      <w:pPr>
        <w:ind w:left="972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FFFFFF"/>
        </w:rPr>
        <w:t>Average Interest-bearing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7804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Change 4Q25 vs.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rPr>
              <w:t>Change 4Q25 vs.</w:t>
            </w:r>
          </w:p>
        </w:tc>
        <w:tc>
          <w:tcPr>
            <w:tcW w:w="0" w:type="dxa"/>
            <w:vAlign w:val="bottom"/>
          </w:tcPr>
          <w:p>
            <w:pPr>
              <w:spacing w:after="0"/>
              <w:rPr>
                <w:sz w:val="1"/>
                <w:szCs w:val="1"/>
                <w:color w:val="auto"/>
              </w:rPr>
            </w:pPr>
          </w:p>
        </w:tc>
      </w:tr>
      <w:tr>
        <w:trPr>
          <w:trHeight w:val="162"/>
        </w:trPr>
        <w:tc>
          <w:tcPr>
            <w:tcW w:w="4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4Q25</w:t>
            </w:r>
          </w:p>
        </w:tc>
        <w:tc>
          <w:tcPr>
            <w:tcW w:w="300" w:type="dxa"/>
            <w:vAlign w:val="bottom"/>
          </w:tcPr>
          <w:p>
            <w:pPr>
              <w:spacing w:after="0"/>
              <w:rPr>
                <w:sz w:val="14"/>
                <w:szCs w:val="14"/>
                <w:color w:val="auto"/>
              </w:rPr>
            </w:pPr>
          </w:p>
        </w:tc>
        <w:tc>
          <w:tcPr>
            <w:tcW w:w="100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3Q25</w:t>
            </w:r>
          </w:p>
        </w:tc>
        <w:tc>
          <w:tcPr>
            <w:tcW w:w="2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3Q25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4Q24</w:t>
            </w:r>
          </w:p>
        </w:tc>
        <w:tc>
          <w:tcPr>
            <w:tcW w:w="2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7"/>
              </w:rPr>
              <w:t>4Q24</w:t>
            </w:r>
          </w:p>
        </w:tc>
        <w:tc>
          <w:tcPr>
            <w:tcW w:w="0" w:type="dxa"/>
            <w:vAlign w:val="bottom"/>
          </w:tcPr>
          <w:p>
            <w:pPr>
              <w:spacing w:after="0"/>
              <w:rPr>
                <w:sz w:val="1"/>
                <w:szCs w:val="1"/>
                <w:color w:val="auto"/>
              </w:rPr>
            </w:pPr>
          </w:p>
        </w:tc>
      </w:tr>
      <w:tr>
        <w:trPr>
          <w:trHeight w:val="133"/>
        </w:trPr>
        <w:tc>
          <w:tcPr>
            <w:tcW w:w="4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Interest-bearing deposits</w:t>
            </w: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00" w:type="dxa"/>
            <w:vAlign w:val="bottom"/>
            <w:tcBorders>
              <w:bottom w:val="single" w:sz="8" w:color="E5F1EE"/>
            </w:tcBorders>
            <w:shd w:val="clear" w:color="auto" w:fill="E5F1EE"/>
          </w:tcPr>
          <w:p>
            <w:pPr>
              <w:ind w:left="80"/>
              <w:spacing w:after="0"/>
              <w:rPr>
                <w:sz w:val="20"/>
                <w:szCs w:val="20"/>
                <w:color w:val="auto"/>
              </w:rPr>
            </w:pPr>
            <w:r>
              <w:rPr>
                <w:rFonts w:ascii="Times New Roman" w:cs="Times New Roman" w:eastAsia="Times New Roman" w:hAnsi="Times New Roman"/>
                <w:sz w:val="12"/>
                <w:szCs w:val="12"/>
                <w:color w:val="auto"/>
              </w:rPr>
              <w:t>Savings and interest-checking deposits</w:t>
            </w:r>
          </w:p>
        </w:tc>
        <w:tc>
          <w:tcPr>
            <w:tcW w:w="300" w:type="dxa"/>
            <w:vAlign w:val="bottom"/>
            <w:tcBorders>
              <w:bottom w:val="single" w:sz="8" w:color="E5F1EE"/>
            </w:tcBorders>
            <w:shd w:val="clear" w:color="auto" w:fill="E5F1EE"/>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107,287</w:t>
            </w:r>
          </w:p>
        </w:tc>
        <w:tc>
          <w:tcPr>
            <w:tcW w:w="260" w:type="dxa"/>
            <w:vAlign w:val="bottom"/>
            <w:tcBorders>
              <w:bottom w:val="single" w:sz="8" w:color="E5F1EE"/>
            </w:tcBorders>
            <w:shd w:val="clear" w:color="auto" w:fill="E5F1EE"/>
          </w:tcPr>
          <w:p>
            <w:pPr>
              <w:spacing w:after="0"/>
              <w:rPr>
                <w:sz w:val="13"/>
                <w:szCs w:val="13"/>
                <w:color w:val="auto"/>
              </w:rPr>
            </w:pPr>
          </w:p>
        </w:tc>
        <w:tc>
          <w:tcPr>
            <w:tcW w:w="300" w:type="dxa"/>
            <w:vAlign w:val="bottom"/>
            <w:tcBorders>
              <w:bottom w:val="single" w:sz="8" w:color="E5F1EE"/>
            </w:tcBorders>
            <w:shd w:val="clear" w:color="auto" w:fill="E5F1EE"/>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104,660</w:t>
            </w:r>
          </w:p>
        </w:tc>
        <w:tc>
          <w:tcPr>
            <w:tcW w:w="138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20" w:type="dxa"/>
            <w:vAlign w:val="bottom"/>
            <w:shd w:val="clear" w:color="auto" w:fill="E5F1EE"/>
          </w:tcPr>
          <w:p>
            <w:pPr>
              <w:spacing w:after="0"/>
              <w:rPr>
                <w:sz w:val="13"/>
                <w:szCs w:val="13"/>
                <w:color w:val="auto"/>
              </w:rPr>
            </w:pPr>
          </w:p>
        </w:tc>
        <w:tc>
          <w:tcPr>
            <w:tcW w:w="540" w:type="dxa"/>
            <w:vAlign w:val="bottom"/>
            <w:tcBorders>
              <w:bottom w:val="single" w:sz="8" w:color="E5F1EE"/>
            </w:tcBorders>
            <w:gridSpan w:val="2"/>
            <w:shd w:val="clear" w:color="auto" w:fill="E5F1EE"/>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102,127</w:t>
            </w:r>
          </w:p>
        </w:tc>
        <w:tc>
          <w:tcPr>
            <w:tcW w:w="138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00" w:type="dxa"/>
            <w:vAlign w:val="bottom"/>
            <w:tcBorders>
              <w:bottom w:val="single" w:sz="8" w:color="E5F1EE"/>
            </w:tcBorders>
          </w:tcPr>
          <w:p>
            <w:pPr>
              <w:ind w:left="80"/>
              <w:spacing w:after="0" w:line="133" w:lineRule="exact"/>
              <w:rPr>
                <w:sz w:val="20"/>
                <w:szCs w:val="20"/>
                <w:color w:val="auto"/>
              </w:rPr>
            </w:pPr>
            <w:r>
              <w:rPr>
                <w:rFonts w:ascii="Times New Roman" w:cs="Times New Roman" w:eastAsia="Times New Roman" w:hAnsi="Times New Roman"/>
                <w:sz w:val="12"/>
                <w:szCs w:val="12"/>
                <w:color w:val="auto"/>
              </w:rPr>
              <w:t>Time deposits</w:t>
            </w: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13,586</w:t>
            </w:r>
          </w:p>
        </w:tc>
        <w:tc>
          <w:tcPr>
            <w:tcW w:w="260" w:type="dxa"/>
            <w:vAlign w:val="bottom"/>
            <w:tcBorders>
              <w:bottom w:val="single" w:sz="8" w:color="E5F1EE"/>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13,990</w:t>
            </w:r>
          </w:p>
        </w:tc>
        <w:tc>
          <w:tcPr>
            <w:tcW w:w="1380" w:type="dxa"/>
            <w:vAlign w:val="bottom"/>
            <w:tcBorders>
              <w:bottom w:val="single" w:sz="8" w:color="E5F1EE"/>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Borders>
              <w:bottom w:val="single" w:sz="8" w:color="E5F1EE"/>
            </w:tcBorders>
          </w:tcPr>
          <w:p>
            <w:pPr>
              <w:spacing w:after="0"/>
              <w:rPr>
                <w:sz w:val="11"/>
                <w:szCs w:val="11"/>
                <w:color w:val="auto"/>
              </w:rPr>
            </w:pPr>
          </w:p>
        </w:tc>
        <w:tc>
          <w:tcPr>
            <w:tcW w:w="240" w:type="dxa"/>
            <w:vAlign w:val="bottom"/>
            <w:tcBorders>
              <w:bottom w:val="single" w:sz="8" w:color="E5F1EE"/>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15,958</w:t>
            </w:r>
          </w:p>
        </w:tc>
        <w:tc>
          <w:tcPr>
            <w:tcW w:w="1380" w:type="dxa"/>
            <w:vAlign w:val="bottom"/>
            <w:tcBorders>
              <w:bottom w:val="single" w:sz="8" w:color="E5F1EE"/>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20" w:type="dxa"/>
            <w:vAlign w:val="bottom"/>
            <w:tcBorders>
              <w:bottom w:val="single" w:sz="8" w:color="E5F1EE"/>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0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Total interest-bearing deposits</w:t>
            </w:r>
          </w:p>
        </w:tc>
        <w:tc>
          <w:tcPr>
            <w:tcW w:w="300" w:type="dxa"/>
            <w:vAlign w:val="bottom"/>
            <w:shd w:val="clear" w:color="auto" w:fill="E5F1EE"/>
          </w:tcPr>
          <w:p>
            <w:pPr>
              <w:spacing w:after="0"/>
              <w:rPr>
                <w:sz w:val="12"/>
                <w:szCs w:val="12"/>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120,873</w:t>
            </w:r>
          </w:p>
        </w:tc>
        <w:tc>
          <w:tcPr>
            <w:tcW w:w="260" w:type="dxa"/>
            <w:vAlign w:val="bottom"/>
            <w:shd w:val="clear" w:color="auto" w:fill="E5F1EE"/>
          </w:tcPr>
          <w:p>
            <w:pPr>
              <w:spacing w:after="0"/>
              <w:rPr>
                <w:sz w:val="12"/>
                <w:szCs w:val="12"/>
                <w:color w:val="auto"/>
              </w:rPr>
            </w:pPr>
          </w:p>
        </w:tc>
        <w:tc>
          <w:tcPr>
            <w:tcW w:w="300" w:type="dxa"/>
            <w:vAlign w:val="bottom"/>
            <w:shd w:val="clear" w:color="auto" w:fill="E5F1EE"/>
          </w:tcPr>
          <w:p>
            <w:pPr>
              <w:spacing w:after="0"/>
              <w:rPr>
                <w:sz w:val="12"/>
                <w:szCs w:val="12"/>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118,650</w:t>
            </w:r>
          </w:p>
        </w:tc>
        <w:tc>
          <w:tcPr>
            <w:tcW w:w="13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300" w:type="dxa"/>
            <w:vAlign w:val="bottom"/>
            <w:shd w:val="clear" w:color="auto" w:fill="E5F1EE"/>
          </w:tcPr>
          <w:p>
            <w:pPr>
              <w:spacing w:after="0"/>
              <w:rPr>
                <w:sz w:val="12"/>
                <w:szCs w:val="12"/>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118,085</w:t>
            </w:r>
          </w:p>
        </w:tc>
        <w:tc>
          <w:tcPr>
            <w:tcW w:w="13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E5F1E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Short-term borrowings</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2,064</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0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Long-term borrowings</w:t>
            </w:r>
          </w:p>
        </w:tc>
        <w:tc>
          <w:tcPr>
            <w:tcW w:w="300" w:type="dxa"/>
            <w:vAlign w:val="bottom"/>
            <w:tcBorders>
              <w:bottom w:val="single" w:sz="8" w:color="auto"/>
            </w:tcBorders>
            <w:shd w:val="clear" w:color="auto" w:fill="E5F1EE"/>
          </w:tcPr>
          <w:p>
            <w:pPr>
              <w:spacing w:after="0"/>
              <w:rPr>
                <w:sz w:val="13"/>
                <w:szCs w:val="13"/>
                <w:color w:val="auto"/>
              </w:rPr>
            </w:pPr>
          </w:p>
        </w:tc>
        <w:tc>
          <w:tcPr>
            <w:tcW w:w="10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12,555</w:t>
            </w:r>
          </w:p>
        </w:tc>
        <w:tc>
          <w:tcPr>
            <w:tcW w:w="260" w:type="dxa"/>
            <w:vAlign w:val="bottom"/>
            <w:shd w:val="clear" w:color="auto" w:fill="E5F1EE"/>
          </w:tcPr>
          <w:p>
            <w:pPr>
              <w:spacing w:after="0"/>
              <w:rPr>
                <w:sz w:val="13"/>
                <w:szCs w:val="13"/>
                <w:color w:val="auto"/>
              </w:rPr>
            </w:pPr>
          </w:p>
        </w:tc>
        <w:tc>
          <w:tcPr>
            <w:tcW w:w="300" w:type="dxa"/>
            <w:vAlign w:val="bottom"/>
            <w:tcBorders>
              <w:bottom w:val="single" w:sz="8" w:color="auto"/>
            </w:tcBorders>
            <w:shd w:val="clear" w:color="auto" w:fill="E5F1EE"/>
          </w:tcPr>
          <w:p>
            <w:pPr>
              <w:spacing w:after="0"/>
              <w:rPr>
                <w:sz w:val="13"/>
                <w:szCs w:val="13"/>
                <w:color w:val="auto"/>
              </w:rPr>
            </w:pPr>
          </w:p>
        </w:tc>
        <w:tc>
          <w:tcPr>
            <w:tcW w:w="10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12,789</w:t>
            </w:r>
          </w:p>
        </w:tc>
        <w:tc>
          <w:tcPr>
            <w:tcW w:w="13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300" w:type="dxa"/>
            <w:vAlign w:val="bottom"/>
            <w:tcBorders>
              <w:bottom w:val="single" w:sz="8" w:color="auto"/>
            </w:tcBorders>
            <w:shd w:val="clear" w:color="auto" w:fill="E5F1EE"/>
          </w:tcPr>
          <w:p>
            <w:pPr>
              <w:spacing w:after="0"/>
              <w:rPr>
                <w:sz w:val="13"/>
                <w:szCs w:val="13"/>
                <w:color w:val="auto"/>
              </w:rPr>
            </w:pPr>
          </w:p>
        </w:tc>
        <w:tc>
          <w:tcPr>
            <w:tcW w:w="10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11,665</w:t>
            </w:r>
          </w:p>
        </w:tc>
        <w:tc>
          <w:tcPr>
            <w:tcW w:w="13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Total interest-bearing liabilities</w:t>
            </w: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135,492</w:t>
            </w:r>
          </w:p>
        </w:tc>
        <w:tc>
          <w:tcPr>
            <w:tcW w:w="26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134,283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132,313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4"/>
          <w:szCs w:val="14"/>
          <w:color w:val="auto"/>
        </w:rPr>
        <w:t>Average interest-bearing liabilities in the recent quarter rose $1.2 billion from the third quarter of 2025 reflecting growth in average savings and interest-checking deposits that reduced the use of higher cost funding from short-term borrowings from the FHLB of New York.</w:t>
      </w:r>
    </w:p>
    <w:p>
      <w:pPr>
        <w:spacing w:after="0" w:line="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Average interest-bearing liabilities increased $3.2 billion from the fourth quarter of 2024, reflecting higher average interest-bearing deposits that included a $5.2 billion increase in average savings and interest-checking deposits, partially offset by lower average time deposits of $2.4 billion reflecting maturities. Average borrowings increased modestly.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332" w:right="299" w:bottom="1440" w:gutter="0" w:footer="0" w:header="0"/>
        </w:sectPr>
      </w:pPr>
    </w:p>
    <w:bookmarkStart w:id="7" w:name="page8"/>
    <w:bookmarkEnd w:id="7"/>
    <w:p>
      <w:pPr>
        <w:ind w:left="9728"/>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Provision for Credit Losses/Asset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8"/>
              </w:rPr>
              <w:t>Change</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rPr>
              <w:t>Change</w:t>
            </w:r>
          </w:p>
        </w:tc>
        <w:tc>
          <w:tcPr>
            <w:tcW w:w="0" w:type="dxa"/>
            <w:vAlign w:val="bottom"/>
          </w:tcPr>
          <w:p>
            <w:pPr>
              <w:spacing w:after="0"/>
              <w:rPr>
                <w:sz w:val="1"/>
                <w:szCs w:val="1"/>
                <w:color w:val="auto"/>
              </w:rPr>
            </w:pPr>
          </w:p>
        </w:tc>
      </w:tr>
      <w:tr>
        <w:trPr>
          <w:trHeight w:val="162"/>
        </w:trPr>
        <w:tc>
          <w:tcPr>
            <w:tcW w:w="4600" w:type="dxa"/>
            <w:vAlign w:val="bottom"/>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4Q25</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3Q25</w:t>
            </w:r>
          </w:p>
        </w:tc>
        <w:tc>
          <w:tcPr>
            <w:tcW w:w="80" w:type="dxa"/>
            <w:vAlign w:val="bottom"/>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w w:val="98"/>
              </w:rPr>
              <w:t>4Q25 vs. 3Q25</w:t>
            </w: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rPr>
              <w:t>4Q24</w:t>
            </w:r>
          </w:p>
        </w:tc>
        <w:tc>
          <w:tcPr>
            <w:tcW w:w="80" w:type="dxa"/>
            <w:vAlign w:val="bottom"/>
          </w:tcPr>
          <w:p>
            <w:pPr>
              <w:spacing w:after="0"/>
              <w:rPr>
                <w:sz w:val="14"/>
                <w:szCs w:val="14"/>
                <w:color w:val="auto"/>
              </w:rPr>
            </w:pPr>
          </w:p>
        </w:tc>
        <w:tc>
          <w:tcPr>
            <w:tcW w:w="13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8"/>
              </w:rPr>
              <w:t>4Q25 vs. 4Q24</w:t>
            </w:r>
          </w:p>
        </w:tc>
        <w:tc>
          <w:tcPr>
            <w:tcW w:w="0" w:type="dxa"/>
            <w:vAlign w:val="bottom"/>
          </w:tcPr>
          <w:p>
            <w:pPr>
              <w:spacing w:after="0"/>
              <w:rPr>
                <w:sz w:val="1"/>
                <w:szCs w:val="1"/>
                <w:color w:val="auto"/>
              </w:rPr>
            </w:pPr>
          </w:p>
        </w:tc>
      </w:tr>
      <w:tr>
        <w:trPr>
          <w:trHeight w:val="106"/>
        </w:trPr>
        <w:tc>
          <w:tcPr>
            <w:tcW w:w="4600" w:type="dxa"/>
            <w:vAlign w:val="bottom"/>
            <w:gridSpan w:val="3"/>
          </w:tcPr>
          <w:p>
            <w:pPr>
              <w:spacing w:after="0" w:line="106" w:lineRule="exact"/>
              <w:rPr>
                <w:sz w:val="20"/>
                <w:szCs w:val="20"/>
                <w:color w:val="auto"/>
              </w:rPr>
            </w:pPr>
            <w:r>
              <w:rPr>
                <w:rFonts w:ascii="Times New Roman" w:cs="Times New Roman" w:eastAsia="Times New Roman" w:hAnsi="Times New Roman"/>
                <w:sz w:val="12"/>
                <w:szCs w:val="12"/>
                <w:color w:val="auto"/>
              </w:rPr>
              <w:t>At end of quarter</w:t>
            </w: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600" w:type="dxa"/>
            <w:vAlign w:val="bottom"/>
            <w:tcBorders>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Nonaccrual loans</w:t>
            </w:r>
          </w:p>
        </w:tc>
        <w:tc>
          <w:tcPr>
            <w:tcW w:w="280" w:type="dxa"/>
            <w:vAlign w:val="bottom"/>
            <w:tcBorders>
              <w:bottom w:val="single" w:sz="8" w:color="E5F1EE"/>
            </w:tcBorders>
            <w:shd w:val="clear" w:color="auto" w:fill="E5F1EE"/>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1,252</w:t>
            </w:r>
          </w:p>
        </w:tc>
        <w:tc>
          <w:tcPr>
            <w:tcW w:w="360" w:type="dxa"/>
            <w:vAlign w:val="bottom"/>
            <w:tcBorders>
              <w:bottom w:val="single" w:sz="8" w:color="E5F1EE"/>
            </w:tcBorders>
            <w:gridSpan w:val="2"/>
            <w:shd w:val="clear" w:color="auto" w:fill="E5F1EE"/>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1,512</w:t>
            </w:r>
          </w:p>
        </w:tc>
        <w:tc>
          <w:tcPr>
            <w:tcW w:w="134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-17 %</w:t>
            </w:r>
          </w:p>
        </w:tc>
        <w:tc>
          <w:tcPr>
            <w:tcW w:w="20" w:type="dxa"/>
            <w:vAlign w:val="bottom"/>
            <w:shd w:val="clear" w:color="auto" w:fill="E5F1EE"/>
          </w:tcPr>
          <w:p>
            <w:pPr>
              <w:spacing w:after="0"/>
              <w:rPr>
                <w:sz w:val="13"/>
                <w:szCs w:val="13"/>
                <w:color w:val="auto"/>
              </w:rPr>
            </w:pPr>
          </w:p>
        </w:tc>
        <w:tc>
          <w:tcPr>
            <w:tcW w:w="360" w:type="dxa"/>
            <w:vAlign w:val="bottom"/>
            <w:tcBorders>
              <w:bottom w:val="single" w:sz="8" w:color="E5F1EE"/>
            </w:tcBorders>
            <w:gridSpan w:val="2"/>
            <w:shd w:val="clear" w:color="auto" w:fill="E5F1EE"/>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1,690</w:t>
            </w:r>
          </w:p>
        </w:tc>
        <w:tc>
          <w:tcPr>
            <w:tcW w:w="136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-26 %</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600" w:type="dxa"/>
            <w:vAlign w:val="bottom"/>
            <w:tcBorders>
              <w:bottom w:val="single" w:sz="8" w:color="E5F1EE"/>
            </w:tcBorders>
            <w:gridSpan w:val="3"/>
          </w:tcPr>
          <w:p>
            <w:pPr>
              <w:spacing w:after="0" w:line="133" w:lineRule="exact"/>
              <w:rPr>
                <w:sz w:val="20"/>
                <w:szCs w:val="20"/>
                <w:color w:val="auto"/>
              </w:rPr>
            </w:pPr>
            <w:r>
              <w:rPr>
                <w:rFonts w:ascii="Times New Roman" w:cs="Times New Roman" w:eastAsia="Times New Roman" w:hAnsi="Times New Roman"/>
                <w:sz w:val="12"/>
                <w:szCs w:val="12"/>
                <w:color w:val="auto"/>
              </w:rPr>
              <w:t>Real estate and other foreclosed assets</w:t>
            </w: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w:t>
            </w:r>
          </w:p>
        </w:tc>
        <w:tc>
          <w:tcPr>
            <w:tcW w:w="80" w:type="dxa"/>
            <w:vAlign w:val="bottom"/>
            <w:tcBorders>
              <w:bottom w:val="single" w:sz="8" w:color="E5F1EE"/>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w:t>
            </w:r>
          </w:p>
        </w:tc>
        <w:tc>
          <w:tcPr>
            <w:tcW w:w="1340" w:type="dxa"/>
            <w:vAlign w:val="bottom"/>
            <w:tcBorders>
              <w:bottom w:val="single" w:sz="8" w:color="E5F1EE"/>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20" w:type="dxa"/>
            <w:vAlign w:val="bottom"/>
            <w:tcBorders>
              <w:bottom w:val="single" w:sz="8" w:color="E5F1EE"/>
            </w:tcBorders>
          </w:tcPr>
          <w:p>
            <w:pPr>
              <w:spacing w:after="0"/>
              <w:rPr>
                <w:sz w:val="11"/>
                <w:szCs w:val="11"/>
                <w:color w:val="auto"/>
              </w:rPr>
            </w:pPr>
          </w:p>
        </w:tc>
        <w:tc>
          <w:tcPr>
            <w:tcW w:w="60" w:type="dxa"/>
            <w:vAlign w:val="bottom"/>
            <w:tcBorders>
              <w:bottom w:val="single" w:sz="8" w:color="E5F1EE"/>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w:t>
            </w:r>
          </w:p>
        </w:tc>
        <w:tc>
          <w:tcPr>
            <w:tcW w:w="1360" w:type="dxa"/>
            <w:vAlign w:val="bottom"/>
            <w:tcBorders>
              <w:bottom w:val="single" w:sz="8" w:color="E5F1EE"/>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bottom w:val="single" w:sz="8" w:color="E5F1EE"/>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Total nonperforming assets</w:t>
            </w:r>
          </w:p>
        </w:tc>
        <w:tc>
          <w:tcPr>
            <w:tcW w:w="280" w:type="dxa"/>
            <w:vAlign w:val="bottom"/>
            <w:shd w:val="clear" w:color="auto" w:fill="E5F1EE"/>
          </w:tcPr>
          <w:p>
            <w:pPr>
              <w:spacing w:after="0"/>
              <w:rPr>
                <w:sz w:val="12"/>
                <w:szCs w:val="12"/>
                <w:color w:val="auto"/>
              </w:rPr>
            </w:pP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1,287</w:t>
            </w:r>
          </w:p>
        </w:tc>
        <w:tc>
          <w:tcPr>
            <w:tcW w:w="80" w:type="dxa"/>
            <w:vAlign w:val="bottom"/>
            <w:shd w:val="clear" w:color="auto" w:fill="E5F1EE"/>
          </w:tcPr>
          <w:p>
            <w:pPr>
              <w:spacing w:after="0"/>
              <w:rPr>
                <w:sz w:val="12"/>
                <w:szCs w:val="12"/>
                <w:color w:val="auto"/>
              </w:rPr>
            </w:pPr>
          </w:p>
        </w:tc>
        <w:tc>
          <w:tcPr>
            <w:tcW w:w="280" w:type="dxa"/>
            <w:vAlign w:val="bottom"/>
            <w:shd w:val="clear" w:color="auto" w:fill="E5F1EE"/>
          </w:tcPr>
          <w:p>
            <w:pPr>
              <w:spacing w:after="0"/>
              <w:rPr>
                <w:sz w:val="12"/>
                <w:szCs w:val="12"/>
                <w:color w:val="auto"/>
              </w:rPr>
            </w:pP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1,549</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shd w:val="clear" w:color="auto" w:fill="E5F1EE"/>
          </w:tcPr>
          <w:p>
            <w:pPr>
              <w:spacing w:after="0"/>
              <w:rPr>
                <w:sz w:val="12"/>
                <w:szCs w:val="12"/>
                <w:color w:val="auto"/>
              </w:rPr>
            </w:pPr>
          </w:p>
        </w:tc>
        <w:tc>
          <w:tcPr>
            <w:tcW w:w="60" w:type="dxa"/>
            <w:vAlign w:val="bottom"/>
            <w:shd w:val="clear" w:color="auto" w:fill="E5F1EE"/>
          </w:tcPr>
          <w:p>
            <w:pPr>
              <w:spacing w:after="0"/>
              <w:rPr>
                <w:sz w:val="12"/>
                <w:szCs w:val="12"/>
                <w:color w:val="auto"/>
              </w:rPr>
            </w:pPr>
          </w:p>
        </w:tc>
        <w:tc>
          <w:tcPr>
            <w:tcW w:w="300" w:type="dxa"/>
            <w:vAlign w:val="bottom"/>
            <w:shd w:val="clear" w:color="auto" w:fill="E5F1EE"/>
          </w:tcPr>
          <w:p>
            <w:pPr>
              <w:spacing w:after="0"/>
              <w:rPr>
                <w:sz w:val="12"/>
                <w:szCs w:val="12"/>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1,725</w:t>
            </w:r>
          </w:p>
        </w:tc>
        <w:tc>
          <w:tcPr>
            <w:tcW w:w="13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shd w:val="clear" w:color="auto" w:fill="E5F1E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Accruing loans past due 90 days or more (1)</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Nonaccrual loans as % of loans outstanding</w:t>
            </w:r>
          </w:p>
        </w:tc>
        <w:tc>
          <w:tcPr>
            <w:tcW w:w="280" w:type="dxa"/>
            <w:vAlign w:val="bottom"/>
            <w:shd w:val="clear" w:color="auto" w:fill="E5F1EE"/>
          </w:tcPr>
          <w:p>
            <w:pPr>
              <w:spacing w:after="0"/>
              <w:rPr>
                <w:sz w:val="13"/>
                <w:szCs w:val="13"/>
                <w:color w:val="auto"/>
              </w:rPr>
            </w:pP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.90 %</w:t>
            </w:r>
          </w:p>
        </w:tc>
        <w:tc>
          <w:tcPr>
            <w:tcW w:w="8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1.10 %</w:t>
            </w:r>
          </w:p>
        </w:tc>
        <w:tc>
          <w:tcPr>
            <w:tcW w:w="80" w:type="dxa"/>
            <w:vAlign w:val="bottom"/>
            <w:shd w:val="clear" w:color="auto" w:fill="E5F1EE"/>
          </w:tcPr>
          <w:p>
            <w:pPr>
              <w:spacing w:after="0"/>
              <w:rPr>
                <w:sz w:val="13"/>
                <w:szCs w:val="13"/>
                <w:color w:val="auto"/>
              </w:rPr>
            </w:pPr>
          </w:p>
        </w:tc>
        <w:tc>
          <w:tcPr>
            <w:tcW w:w="1260" w:type="dxa"/>
            <w:vAlign w:val="bottom"/>
            <w:shd w:val="clear" w:color="auto" w:fill="E5F1EE"/>
          </w:tcPr>
          <w:p>
            <w:pPr>
              <w:spacing w:after="0"/>
              <w:rPr>
                <w:sz w:val="13"/>
                <w:szCs w:val="13"/>
                <w:color w:val="auto"/>
              </w:rPr>
            </w:pPr>
          </w:p>
        </w:tc>
        <w:tc>
          <w:tcPr>
            <w:tcW w:w="20" w:type="dxa"/>
            <w:vAlign w:val="bottom"/>
            <w:shd w:val="clear" w:color="auto" w:fill="E5F1EE"/>
          </w:tcPr>
          <w:p>
            <w:pPr>
              <w:spacing w:after="0"/>
              <w:rPr>
                <w:sz w:val="13"/>
                <w:szCs w:val="13"/>
                <w:color w:val="auto"/>
              </w:rPr>
            </w:pP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1.25 %</w:t>
            </w:r>
          </w:p>
        </w:tc>
        <w:tc>
          <w:tcPr>
            <w:tcW w:w="80" w:type="dxa"/>
            <w:vAlign w:val="bottom"/>
            <w:shd w:val="clear" w:color="auto" w:fill="E5F1EE"/>
          </w:tcPr>
          <w:p>
            <w:pPr>
              <w:spacing w:after="0"/>
              <w:rPr>
                <w:sz w:val="13"/>
                <w:szCs w:val="13"/>
                <w:color w:val="auto"/>
              </w:rPr>
            </w:pPr>
          </w:p>
        </w:tc>
        <w:tc>
          <w:tcPr>
            <w:tcW w:w="1280" w:type="dxa"/>
            <w:vAlign w:val="bottom"/>
            <w:shd w:val="clear" w:color="auto" w:fill="E5F1EE"/>
          </w:tcPr>
          <w:p>
            <w:pPr>
              <w:spacing w:after="0"/>
              <w:rPr>
                <w:sz w:val="13"/>
                <w:szCs w:val="13"/>
                <w:color w:val="auto"/>
              </w:rPr>
            </w:pP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6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Allowance for loan losses</w:t>
            </w:r>
          </w:p>
        </w:tc>
        <w:tc>
          <w:tcPr>
            <w:tcW w:w="280" w:type="dxa"/>
            <w:vAlign w:val="bottom"/>
            <w:shd w:val="clear" w:color="auto" w:fill="E5F1EE"/>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2,116</w:t>
            </w:r>
          </w:p>
        </w:tc>
        <w:tc>
          <w:tcPr>
            <w:tcW w:w="360" w:type="dxa"/>
            <w:vAlign w:val="bottom"/>
            <w:gridSpan w:val="2"/>
            <w:shd w:val="clear" w:color="auto" w:fill="E5F1EE"/>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2,161</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E5F1EE"/>
          </w:tcPr>
          <w:p>
            <w:pPr>
              <w:spacing w:after="0"/>
              <w:rPr>
                <w:sz w:val="13"/>
                <w:szCs w:val="13"/>
                <w:color w:val="auto"/>
              </w:rPr>
            </w:pPr>
          </w:p>
        </w:tc>
        <w:tc>
          <w:tcPr>
            <w:tcW w:w="360" w:type="dxa"/>
            <w:vAlign w:val="bottom"/>
            <w:gridSpan w:val="2"/>
            <w:shd w:val="clear" w:color="auto" w:fill="E5F1EE"/>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2,184</w:t>
            </w:r>
          </w:p>
        </w:tc>
        <w:tc>
          <w:tcPr>
            <w:tcW w:w="13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Allowance for loan losses as % of loans outstanding</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1.58 %</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1.61 %</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Reserve for unfunded credit commitments</w:t>
            </w:r>
          </w:p>
        </w:tc>
        <w:tc>
          <w:tcPr>
            <w:tcW w:w="280" w:type="dxa"/>
            <w:vAlign w:val="bottom"/>
            <w:shd w:val="clear" w:color="auto" w:fill="E5F1EE"/>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360" w:type="dxa"/>
            <w:vAlign w:val="bottom"/>
            <w:gridSpan w:val="2"/>
            <w:shd w:val="clear" w:color="auto" w:fill="E5F1EE"/>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shd w:val="clear" w:color="auto" w:fill="E5F1EE"/>
          </w:tcPr>
          <w:p>
            <w:pPr>
              <w:spacing w:after="0"/>
              <w:rPr>
                <w:sz w:val="13"/>
                <w:szCs w:val="13"/>
                <w:color w:val="auto"/>
              </w:rPr>
            </w:pPr>
          </w:p>
        </w:tc>
        <w:tc>
          <w:tcPr>
            <w:tcW w:w="360" w:type="dxa"/>
            <w:vAlign w:val="bottom"/>
            <w:gridSpan w:val="2"/>
            <w:shd w:val="clear" w:color="auto" w:fill="E5F1EE"/>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3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600" w:type="dxa"/>
            <w:vAlign w:val="bottom"/>
            <w:gridSpan w:val="3"/>
            <w:shd w:val="clear" w:color="auto" w:fill="E5F1EE"/>
          </w:tcPr>
          <w:p>
            <w:pPr>
              <w:spacing w:after="0" w:line="126" w:lineRule="exact"/>
              <w:rPr>
                <w:sz w:val="20"/>
                <w:szCs w:val="20"/>
                <w:color w:val="auto"/>
              </w:rPr>
            </w:pPr>
            <w:r>
              <w:rPr>
                <w:rFonts w:ascii="Times New Roman" w:cs="Times New Roman" w:eastAsia="Times New Roman" w:hAnsi="Times New Roman"/>
                <w:sz w:val="12"/>
                <w:szCs w:val="12"/>
                <w:color w:val="auto"/>
              </w:rPr>
              <w:t>For the period</w:t>
            </w:r>
          </w:p>
        </w:tc>
        <w:tc>
          <w:tcPr>
            <w:tcW w:w="280" w:type="dxa"/>
            <w:vAlign w:val="bottom"/>
            <w:shd w:val="clear" w:color="auto" w:fill="E5F1EE"/>
          </w:tcPr>
          <w:p>
            <w:pPr>
              <w:spacing w:after="0"/>
              <w:rPr>
                <w:sz w:val="10"/>
                <w:szCs w:val="10"/>
                <w:color w:val="auto"/>
              </w:rPr>
            </w:pPr>
          </w:p>
        </w:tc>
        <w:tc>
          <w:tcPr>
            <w:tcW w:w="98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280" w:type="dxa"/>
            <w:vAlign w:val="bottom"/>
            <w:shd w:val="clear" w:color="auto" w:fill="E5F1EE"/>
          </w:tcPr>
          <w:p>
            <w:pPr>
              <w:spacing w:after="0"/>
              <w:rPr>
                <w:sz w:val="10"/>
                <w:szCs w:val="10"/>
                <w:color w:val="auto"/>
              </w:rPr>
            </w:pPr>
          </w:p>
        </w:tc>
        <w:tc>
          <w:tcPr>
            <w:tcW w:w="98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6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10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8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80" w:type="dxa"/>
            <w:vAlign w:val="bottom"/>
            <w:shd w:val="clear" w:color="auto" w:fill="000000"/>
          </w:tcPr>
          <w:p>
            <w:pPr>
              <w:spacing w:after="0"/>
              <w:rPr>
                <w:sz w:val="2"/>
                <w:szCs w:val="2"/>
                <w:color w:val="auto"/>
              </w:rPr>
            </w:pPr>
          </w:p>
        </w:tc>
        <w:tc>
          <w:tcPr>
            <w:tcW w:w="140" w:type="dxa"/>
            <w:vAlign w:val="bottom"/>
            <w:shd w:val="clear" w:color="auto" w:fill="E5F1EE"/>
          </w:tcPr>
          <w:p>
            <w:pPr>
              <w:spacing w:after="0"/>
              <w:rPr>
                <w:sz w:val="2"/>
                <w:szCs w:val="2"/>
                <w:color w:val="auto"/>
              </w:rPr>
            </w:pPr>
          </w:p>
        </w:tc>
        <w:tc>
          <w:tcPr>
            <w:tcW w:w="3780" w:type="dxa"/>
            <w:vAlign w:val="bottom"/>
            <w:shd w:val="clear" w:color="auto" w:fill="E5F1EE"/>
          </w:tcPr>
          <w:p>
            <w:pPr>
              <w:spacing w:after="0"/>
              <w:rPr>
                <w:sz w:val="2"/>
                <w:szCs w:val="2"/>
                <w:color w:val="auto"/>
              </w:rPr>
            </w:pPr>
          </w:p>
        </w:tc>
        <w:tc>
          <w:tcPr>
            <w:tcW w:w="280" w:type="dxa"/>
            <w:vAlign w:val="bottom"/>
            <w:shd w:val="clear" w:color="auto" w:fill="E5F1EE"/>
          </w:tcPr>
          <w:p>
            <w:pPr>
              <w:spacing w:after="0"/>
              <w:rPr>
                <w:sz w:val="2"/>
                <w:szCs w:val="2"/>
                <w:color w:val="auto"/>
              </w:rPr>
            </w:pPr>
          </w:p>
        </w:tc>
        <w:tc>
          <w:tcPr>
            <w:tcW w:w="980" w:type="dxa"/>
            <w:vAlign w:val="bottom"/>
            <w:shd w:val="clear" w:color="auto" w:fill="E5F1EE"/>
          </w:tcPr>
          <w:p>
            <w:pPr>
              <w:spacing w:after="0"/>
              <w:rPr>
                <w:sz w:val="2"/>
                <w:szCs w:val="2"/>
                <w:color w:val="auto"/>
              </w:rPr>
            </w:pPr>
          </w:p>
        </w:tc>
        <w:tc>
          <w:tcPr>
            <w:tcW w:w="80" w:type="dxa"/>
            <w:vAlign w:val="bottom"/>
            <w:shd w:val="clear" w:color="auto" w:fill="E5F1EE"/>
          </w:tcPr>
          <w:p>
            <w:pPr>
              <w:spacing w:after="0"/>
              <w:rPr>
                <w:sz w:val="2"/>
                <w:szCs w:val="2"/>
                <w:color w:val="auto"/>
              </w:rPr>
            </w:pPr>
          </w:p>
        </w:tc>
        <w:tc>
          <w:tcPr>
            <w:tcW w:w="280" w:type="dxa"/>
            <w:vAlign w:val="bottom"/>
            <w:shd w:val="clear" w:color="auto" w:fill="E5F1EE"/>
          </w:tcPr>
          <w:p>
            <w:pPr>
              <w:spacing w:after="0"/>
              <w:rPr>
                <w:sz w:val="2"/>
                <w:szCs w:val="2"/>
                <w:color w:val="auto"/>
              </w:rPr>
            </w:pPr>
          </w:p>
        </w:tc>
        <w:tc>
          <w:tcPr>
            <w:tcW w:w="980" w:type="dxa"/>
            <w:vAlign w:val="bottom"/>
            <w:shd w:val="clear" w:color="auto" w:fill="E5F1EE"/>
          </w:tcPr>
          <w:p>
            <w:pPr>
              <w:spacing w:after="0"/>
              <w:rPr>
                <w:sz w:val="2"/>
                <w:szCs w:val="2"/>
                <w:color w:val="auto"/>
              </w:rPr>
            </w:pPr>
          </w:p>
        </w:tc>
        <w:tc>
          <w:tcPr>
            <w:tcW w:w="80" w:type="dxa"/>
            <w:vAlign w:val="bottom"/>
            <w:shd w:val="clear" w:color="auto" w:fill="E5F1EE"/>
          </w:tcPr>
          <w:p>
            <w:pPr>
              <w:spacing w:after="0"/>
              <w:rPr>
                <w:sz w:val="2"/>
                <w:szCs w:val="2"/>
                <w:color w:val="auto"/>
              </w:rPr>
            </w:pPr>
          </w:p>
        </w:tc>
        <w:tc>
          <w:tcPr>
            <w:tcW w:w="1260" w:type="dxa"/>
            <w:vAlign w:val="bottom"/>
            <w:shd w:val="clear" w:color="auto" w:fill="E5F1EE"/>
          </w:tcPr>
          <w:p>
            <w:pPr>
              <w:spacing w:after="0"/>
              <w:rPr>
                <w:sz w:val="2"/>
                <w:szCs w:val="2"/>
                <w:color w:val="auto"/>
              </w:rPr>
            </w:pPr>
          </w:p>
        </w:tc>
        <w:tc>
          <w:tcPr>
            <w:tcW w:w="20" w:type="dxa"/>
            <w:vAlign w:val="bottom"/>
            <w:shd w:val="clear" w:color="auto" w:fill="E5F1EE"/>
          </w:tcPr>
          <w:p>
            <w:pPr>
              <w:spacing w:after="0"/>
              <w:rPr>
                <w:sz w:val="2"/>
                <w:szCs w:val="2"/>
                <w:color w:val="auto"/>
              </w:rPr>
            </w:pPr>
          </w:p>
        </w:tc>
        <w:tc>
          <w:tcPr>
            <w:tcW w:w="60" w:type="dxa"/>
            <w:vAlign w:val="bottom"/>
            <w:shd w:val="clear" w:color="auto" w:fill="E5F1EE"/>
          </w:tcPr>
          <w:p>
            <w:pPr>
              <w:spacing w:after="0"/>
              <w:rPr>
                <w:sz w:val="2"/>
                <w:szCs w:val="2"/>
                <w:color w:val="auto"/>
              </w:rPr>
            </w:pPr>
          </w:p>
        </w:tc>
        <w:tc>
          <w:tcPr>
            <w:tcW w:w="300" w:type="dxa"/>
            <w:vAlign w:val="bottom"/>
            <w:shd w:val="clear" w:color="auto" w:fill="E5F1EE"/>
          </w:tcPr>
          <w:p>
            <w:pPr>
              <w:spacing w:after="0"/>
              <w:rPr>
                <w:sz w:val="2"/>
                <w:szCs w:val="2"/>
                <w:color w:val="auto"/>
              </w:rPr>
            </w:pPr>
          </w:p>
        </w:tc>
        <w:tc>
          <w:tcPr>
            <w:tcW w:w="1000" w:type="dxa"/>
            <w:vAlign w:val="bottom"/>
            <w:shd w:val="clear" w:color="auto" w:fill="E5F1EE"/>
          </w:tcPr>
          <w:p>
            <w:pPr>
              <w:spacing w:after="0"/>
              <w:rPr>
                <w:sz w:val="2"/>
                <w:szCs w:val="2"/>
                <w:color w:val="auto"/>
              </w:rPr>
            </w:pPr>
          </w:p>
        </w:tc>
        <w:tc>
          <w:tcPr>
            <w:tcW w:w="80" w:type="dxa"/>
            <w:vAlign w:val="bottom"/>
            <w:shd w:val="clear" w:color="auto" w:fill="E5F1EE"/>
          </w:tcPr>
          <w:p>
            <w:pPr>
              <w:spacing w:after="0"/>
              <w:rPr>
                <w:sz w:val="2"/>
                <w:szCs w:val="2"/>
                <w:color w:val="auto"/>
              </w:rPr>
            </w:pPr>
          </w:p>
        </w:tc>
        <w:tc>
          <w:tcPr>
            <w:tcW w:w="1280" w:type="dxa"/>
            <w:vAlign w:val="bottom"/>
            <w:shd w:val="clear" w:color="auto" w:fill="E5F1EE"/>
          </w:tcPr>
          <w:p>
            <w:pPr>
              <w:spacing w:after="0"/>
              <w:rPr>
                <w:sz w:val="2"/>
                <w:szCs w:val="2"/>
                <w:color w:val="auto"/>
              </w:rPr>
            </w:pPr>
          </w:p>
        </w:tc>
        <w:tc>
          <w:tcPr>
            <w:tcW w:w="20" w:type="dxa"/>
            <w:vAlign w:val="bottom"/>
            <w:shd w:val="clear" w:color="auto" w:fill="E5F1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Provision for loan losses</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8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6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Provision for unfunded credit commitments</w:t>
            </w:r>
          </w:p>
        </w:tc>
        <w:tc>
          <w:tcPr>
            <w:tcW w:w="280" w:type="dxa"/>
            <w:vAlign w:val="bottom"/>
            <w:tcBorders>
              <w:bottom w:val="single" w:sz="8" w:color="auto"/>
            </w:tcBorders>
            <w:shd w:val="clear" w:color="auto" w:fill="E5F1EE"/>
          </w:tcPr>
          <w:p>
            <w:pPr>
              <w:spacing w:after="0"/>
              <w:rPr>
                <w:sz w:val="13"/>
                <w:szCs w:val="13"/>
                <w:color w:val="auto"/>
              </w:rPr>
            </w:pPr>
          </w:p>
        </w:tc>
        <w:tc>
          <w:tcPr>
            <w:tcW w:w="9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E5F1EE"/>
          </w:tcPr>
          <w:p>
            <w:pPr>
              <w:spacing w:after="0"/>
              <w:rPr>
                <w:sz w:val="13"/>
                <w:szCs w:val="13"/>
                <w:color w:val="auto"/>
              </w:rPr>
            </w:pPr>
          </w:p>
        </w:tc>
        <w:tc>
          <w:tcPr>
            <w:tcW w:w="280" w:type="dxa"/>
            <w:vAlign w:val="bottom"/>
            <w:tcBorders>
              <w:bottom w:val="single" w:sz="8" w:color="auto"/>
            </w:tcBorders>
            <w:shd w:val="clear" w:color="auto" w:fill="E5F1EE"/>
          </w:tcPr>
          <w:p>
            <w:pPr>
              <w:spacing w:after="0"/>
              <w:rPr>
                <w:sz w:val="13"/>
                <w:szCs w:val="13"/>
                <w:color w:val="auto"/>
              </w:rPr>
            </w:pPr>
          </w:p>
        </w:tc>
        <w:tc>
          <w:tcPr>
            <w:tcW w:w="9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E5F1EE"/>
          </w:tcPr>
          <w:p>
            <w:pPr>
              <w:spacing w:after="0"/>
              <w:rPr>
                <w:sz w:val="13"/>
                <w:szCs w:val="13"/>
                <w:color w:val="auto"/>
              </w:rPr>
            </w:pPr>
          </w:p>
        </w:tc>
        <w:tc>
          <w:tcPr>
            <w:tcW w:w="12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E5F1EE"/>
          </w:tcPr>
          <w:p>
            <w:pPr>
              <w:spacing w:after="0"/>
              <w:rPr>
                <w:sz w:val="13"/>
                <w:szCs w:val="13"/>
                <w:color w:val="auto"/>
              </w:rPr>
            </w:pPr>
          </w:p>
        </w:tc>
        <w:tc>
          <w:tcPr>
            <w:tcW w:w="60" w:type="dxa"/>
            <w:vAlign w:val="bottom"/>
            <w:shd w:val="clear" w:color="auto" w:fill="E5F1EE"/>
          </w:tcPr>
          <w:p>
            <w:pPr>
              <w:spacing w:after="0"/>
              <w:rPr>
                <w:sz w:val="13"/>
                <w:szCs w:val="13"/>
                <w:color w:val="auto"/>
              </w:rPr>
            </w:pPr>
          </w:p>
        </w:tc>
        <w:tc>
          <w:tcPr>
            <w:tcW w:w="300" w:type="dxa"/>
            <w:vAlign w:val="bottom"/>
            <w:tcBorders>
              <w:bottom w:val="single" w:sz="8" w:color="auto"/>
            </w:tcBorders>
            <w:shd w:val="clear" w:color="auto" w:fill="E5F1EE"/>
          </w:tcPr>
          <w:p>
            <w:pPr>
              <w:spacing w:after="0"/>
              <w:rPr>
                <w:sz w:val="13"/>
                <w:szCs w:val="13"/>
                <w:color w:val="auto"/>
              </w:rPr>
            </w:pPr>
          </w:p>
        </w:tc>
        <w:tc>
          <w:tcPr>
            <w:tcW w:w="10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E5F1EE"/>
          </w:tcPr>
          <w:p>
            <w:pPr>
              <w:spacing w:after="0"/>
              <w:rPr>
                <w:sz w:val="13"/>
                <w:szCs w:val="13"/>
                <w:color w:val="auto"/>
              </w:rPr>
            </w:pPr>
          </w:p>
        </w:tc>
        <w:tc>
          <w:tcPr>
            <w:tcW w:w="12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 provision for credit losses</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charge-offs</w:t>
            </w:r>
          </w:p>
        </w:tc>
        <w:tc>
          <w:tcPr>
            <w:tcW w:w="280" w:type="dxa"/>
            <w:vAlign w:val="bottom"/>
            <w:shd w:val="clear" w:color="auto" w:fill="E5F1EE"/>
          </w:tcPr>
          <w:p>
            <w:pPr>
              <w:spacing w:after="0"/>
              <w:rPr>
                <w:sz w:val="13"/>
                <w:szCs w:val="13"/>
                <w:color w:val="auto"/>
              </w:rPr>
            </w:pP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 w:type="dxa"/>
            <w:vAlign w:val="bottom"/>
            <w:shd w:val="clear" w:color="auto" w:fill="E5F1EE"/>
          </w:tcPr>
          <w:p>
            <w:pPr>
              <w:spacing w:after="0"/>
              <w:rPr>
                <w:sz w:val="13"/>
                <w:szCs w:val="13"/>
                <w:color w:val="auto"/>
              </w:rPr>
            </w:pP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13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Net charge-offs as % of average loans (annualized)</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.42 %</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.47 %</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362902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9025" cy="5715"/>
                    </a:xfrm>
                    <a:prstGeom prst="rect">
                      <a:avLst/>
                    </a:prstGeom>
                    <a:noFill/>
                  </pic:spPr>
                </pic:pic>
              </a:graphicData>
            </a:graphic>
          </wp:anchor>
        </w:drawing>
      </w:r>
    </w:p>
    <w:p>
      <w:pPr>
        <w:spacing w:after="0" w:line="264" w:lineRule="exact"/>
        <w:rPr>
          <w:sz w:val="20"/>
          <w:szCs w:val="20"/>
          <w:color w:val="auto"/>
        </w:rPr>
      </w:pPr>
    </w:p>
    <w:p>
      <w:pPr>
        <w:ind w:left="288" w:hanging="288"/>
        <w:spacing w:after="0"/>
        <w:tabs>
          <w:tab w:leader="none" w:pos="28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Predominantly government-guaranteed residential real estate loans.</w:t>
      </w:r>
    </w:p>
    <w:p>
      <w:pPr>
        <w:spacing w:after="0" w:line="53" w:lineRule="exact"/>
        <w:rPr>
          <w:sz w:val="20"/>
          <w:szCs w:val="20"/>
          <w:color w:val="auto"/>
        </w:rPr>
      </w:pPr>
    </w:p>
    <w:p>
      <w:pPr>
        <w:ind w:left="8" w:right="100"/>
        <w:spacing w:after="0" w:line="241" w:lineRule="auto"/>
        <w:rPr>
          <w:sz w:val="20"/>
          <w:szCs w:val="20"/>
          <w:color w:val="auto"/>
        </w:rPr>
      </w:pPr>
      <w:r>
        <w:rPr>
          <w:rFonts w:ascii="Times New Roman" w:cs="Times New Roman" w:eastAsia="Times New Roman" w:hAnsi="Times New Roman"/>
          <w:sz w:val="14"/>
          <w:szCs w:val="14"/>
          <w:color w:val="auto"/>
        </w:rPr>
        <w:t>The provision for credit losses was $125 million in each of the fourth and third quarters of 2025 as compared with $140 million in 2024's final quarter. The provision for credit losses was $505 million in 2025 as compared with $610 million in 2024. The allowance for loan losses as a percent of loans outstanding decreased from 1.61% at December 31, 2024 to 1.58% at September 30, 2025 and 1.53% at December 31, 2025 reflecting lower levels of criticized loans, predominantly commercial real estate loans. For 2025 and 2024, net charge-offs totaled $553 million and $555 million, respectively, representing .41% of average loans outstanding for each period. Net charge-offs in the final quarter of 2025 reflected three charge-offs totaling $106 million, which had been previously identified by the Company.</w:t>
      </w:r>
    </w:p>
    <w:p>
      <w:pPr>
        <w:spacing w:after="0" w:line="29" w:lineRule="exact"/>
        <w:rPr>
          <w:sz w:val="20"/>
          <w:szCs w:val="20"/>
          <w:color w:val="auto"/>
        </w:rPr>
      </w:pPr>
    </w:p>
    <w:p>
      <w:pPr>
        <w:ind w:left="8" w:right="280"/>
        <w:spacing w:after="0" w:line="255" w:lineRule="auto"/>
        <w:rPr>
          <w:sz w:val="20"/>
          <w:szCs w:val="20"/>
          <w:color w:val="auto"/>
        </w:rPr>
      </w:pPr>
      <w:r>
        <w:rPr>
          <w:rFonts w:ascii="Times New Roman" w:cs="Times New Roman" w:eastAsia="Times New Roman" w:hAnsi="Times New Roman"/>
          <w:sz w:val="14"/>
          <w:szCs w:val="14"/>
          <w:color w:val="auto"/>
        </w:rPr>
        <w:t>Nonaccrual loans were $1.3 billion at December 31, 2025, compared with $1.5 billion at September 30, 2025 and $1.7 billion at December 31, 2024. The lower level of nonaccrual loans at the recent quarter end as compared with September 30, 2025 and December 31, 2024 predominantly reflects decreases in commercial and industrial and commercial real estate nonaccrual loans.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8"/>
          </w:cols>
          <w:pgMar w:left="292" w:top="332" w:right="299" w:bottom="1440" w:gutter="0" w:footer="0" w:header="0"/>
        </w:sectPr>
      </w:pPr>
    </w:p>
    <w:bookmarkStart w:id="8" w:name="page9"/>
    <w:bookmarkEnd w:id="8"/>
    <w:p>
      <w:pPr>
        <w:ind w:left="972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FFFFFF"/>
        </w:rPr>
        <w:t>Noninterest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7804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Change 4Q25 vs.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8"/>
              </w:rPr>
              <w:t>Change 4Q25 vs.</w:t>
            </w:r>
          </w:p>
        </w:tc>
        <w:tc>
          <w:tcPr>
            <w:tcW w:w="0" w:type="dxa"/>
            <w:vAlign w:val="bottom"/>
          </w:tcPr>
          <w:p>
            <w:pPr>
              <w:spacing w:after="0"/>
              <w:rPr>
                <w:sz w:val="1"/>
                <w:szCs w:val="1"/>
                <w:color w:val="auto"/>
              </w:rPr>
            </w:pPr>
          </w:p>
        </w:tc>
      </w:tr>
      <w:tr>
        <w:trPr>
          <w:trHeight w:val="162"/>
        </w:trPr>
        <w:tc>
          <w:tcPr>
            <w:tcW w:w="5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4Q25</w:t>
            </w:r>
          </w:p>
        </w:tc>
        <w:tc>
          <w:tcPr>
            <w:tcW w:w="220" w:type="dxa"/>
            <w:vAlign w:val="bottom"/>
          </w:tcPr>
          <w:p>
            <w:pPr>
              <w:spacing w:after="0"/>
              <w:rPr>
                <w:sz w:val="14"/>
                <w:szCs w:val="14"/>
                <w:color w:val="auto"/>
              </w:rPr>
            </w:pPr>
          </w:p>
        </w:tc>
        <w:tc>
          <w:tcPr>
            <w:tcW w:w="8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3Q25</w:t>
            </w:r>
          </w:p>
        </w:tc>
        <w:tc>
          <w:tcPr>
            <w:tcW w:w="2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3Q25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4Q24</w:t>
            </w:r>
          </w:p>
        </w:tc>
        <w:tc>
          <w:tcPr>
            <w:tcW w:w="2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7"/>
              </w:rPr>
              <w:t>4Q24</w:t>
            </w:r>
          </w:p>
        </w:tc>
        <w:tc>
          <w:tcPr>
            <w:tcW w:w="0" w:type="dxa"/>
            <w:vAlign w:val="bottom"/>
          </w:tcPr>
          <w:p>
            <w:pPr>
              <w:spacing w:after="0"/>
              <w:rPr>
                <w:sz w:val="1"/>
                <w:szCs w:val="1"/>
                <w:color w:val="auto"/>
              </w:rPr>
            </w:pPr>
          </w:p>
        </w:tc>
      </w:tr>
      <w:tr>
        <w:trPr>
          <w:trHeight w:val="142"/>
        </w:trPr>
        <w:tc>
          <w:tcPr>
            <w:tcW w:w="5060" w:type="dxa"/>
            <w:vAlign w:val="bottom"/>
            <w:tcBorders>
              <w:top w:val="single" w:sz="8" w:color="E5F1EE"/>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Mortgage banking revenues</w:t>
            </w:r>
          </w:p>
        </w:tc>
        <w:tc>
          <w:tcPr>
            <w:tcW w:w="240" w:type="dxa"/>
            <w:vAlign w:val="bottom"/>
            <w:tcBorders>
              <w:top w:val="single" w:sz="8" w:color="auto"/>
              <w:bottom w:val="single" w:sz="8" w:color="E5F1EE"/>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240" w:type="dxa"/>
            <w:vAlign w:val="bottom"/>
            <w:tcBorders>
              <w:top w:val="single" w:sz="8" w:color="E5F1EE"/>
              <w:bottom w:val="single" w:sz="8" w:color="E5F1EE"/>
            </w:tcBorders>
            <w:shd w:val="clear" w:color="auto" w:fill="E5F1EE"/>
          </w:tcPr>
          <w:p>
            <w:pPr>
              <w:spacing w:after="0"/>
              <w:rPr>
                <w:sz w:val="12"/>
                <w:szCs w:val="12"/>
                <w:color w:val="auto"/>
              </w:rPr>
            </w:pPr>
          </w:p>
        </w:tc>
        <w:tc>
          <w:tcPr>
            <w:tcW w:w="220" w:type="dxa"/>
            <w:vAlign w:val="bottom"/>
            <w:tcBorders>
              <w:top w:val="single" w:sz="8" w:color="auto"/>
              <w:bottom w:val="single" w:sz="8" w:color="E5F1EE"/>
            </w:tcBorders>
            <w:shd w:val="clear" w:color="auto" w:fill="E5F1EE"/>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260" w:type="dxa"/>
            <w:vAlign w:val="bottom"/>
            <w:tcBorders>
              <w:top w:val="single" w:sz="8" w:color="E5F1EE"/>
              <w:bottom w:val="single" w:sz="8" w:color="E5F1EE"/>
            </w:tcBorders>
            <w:shd w:val="clear" w:color="auto" w:fill="E5F1EE"/>
          </w:tcPr>
          <w:p>
            <w:pPr>
              <w:spacing w:after="0"/>
              <w:rPr>
                <w:sz w:val="12"/>
                <w:szCs w:val="12"/>
                <w:color w:val="auto"/>
              </w:rPr>
            </w:pPr>
          </w:p>
        </w:tc>
        <w:tc>
          <w:tcPr>
            <w:tcW w:w="102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20" w:type="dxa"/>
            <w:vAlign w:val="bottom"/>
            <w:tcBorders>
              <w:top w:val="single" w:sz="8" w:color="auto"/>
            </w:tcBorders>
            <w:shd w:val="clear" w:color="auto" w:fill="E5F1EE"/>
          </w:tcPr>
          <w:p>
            <w:pPr>
              <w:spacing w:after="0"/>
              <w:rPr>
                <w:sz w:val="12"/>
                <w:szCs w:val="12"/>
                <w:color w:val="auto"/>
              </w:rPr>
            </w:pPr>
          </w:p>
        </w:tc>
        <w:tc>
          <w:tcPr>
            <w:tcW w:w="240" w:type="dxa"/>
            <w:vAlign w:val="bottom"/>
            <w:tcBorders>
              <w:top w:val="single" w:sz="8" w:color="E5F1EE"/>
              <w:bottom w:val="single" w:sz="8" w:color="E5F1EE"/>
            </w:tcBorders>
            <w:shd w:val="clear" w:color="auto" w:fill="E5F1EE"/>
          </w:tcPr>
          <w:p>
            <w:pPr>
              <w:spacing w:after="0"/>
              <w:rPr>
                <w:sz w:val="12"/>
                <w:szCs w:val="12"/>
                <w:color w:val="auto"/>
              </w:rPr>
            </w:pPr>
          </w:p>
        </w:tc>
        <w:tc>
          <w:tcPr>
            <w:tcW w:w="240" w:type="dxa"/>
            <w:vAlign w:val="bottom"/>
            <w:tcBorders>
              <w:top w:val="single" w:sz="8" w:color="auto"/>
              <w:bottom w:val="single" w:sz="8" w:color="E5F1EE"/>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240" w:type="dxa"/>
            <w:vAlign w:val="bottom"/>
            <w:tcBorders>
              <w:top w:val="single" w:sz="8" w:color="E5F1EE"/>
              <w:bottom w:val="single" w:sz="8" w:color="E5F1EE"/>
            </w:tcBorders>
            <w:shd w:val="clear" w:color="auto" w:fill="E5F1EE"/>
          </w:tcPr>
          <w:p>
            <w:pPr>
              <w:spacing w:after="0"/>
              <w:rPr>
                <w:sz w:val="12"/>
                <w:szCs w:val="12"/>
                <w:color w:val="auto"/>
              </w:rPr>
            </w:pPr>
          </w:p>
        </w:tc>
        <w:tc>
          <w:tcPr>
            <w:tcW w:w="104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32 %</w:t>
            </w:r>
          </w:p>
        </w:tc>
        <w:tc>
          <w:tcPr>
            <w:tcW w:w="20" w:type="dxa"/>
            <w:vAlign w:val="bottom"/>
            <w:tcBorders>
              <w:top w:val="single" w:sz="8" w:color="auto"/>
            </w:tcBorders>
            <w:shd w:val="clear" w:color="auto" w:fill="E5F1E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Service charges on deposit accounts</w:t>
            </w:r>
          </w:p>
        </w:tc>
        <w:tc>
          <w:tcPr>
            <w:tcW w:w="2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141</w:t>
            </w:r>
          </w:p>
        </w:tc>
        <w:tc>
          <w:tcPr>
            <w:tcW w:w="1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131</w:t>
            </w:r>
          </w:p>
        </w:tc>
        <w:tc>
          <w:tcPr>
            <w:tcW w:w="1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6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Trust income</w:t>
            </w:r>
          </w:p>
        </w:tc>
        <w:tc>
          <w:tcPr>
            <w:tcW w:w="24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24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12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2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Brokerage services income</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6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Trading account and other non-hedging derivative gains</w:t>
            </w:r>
          </w:p>
        </w:tc>
        <w:tc>
          <w:tcPr>
            <w:tcW w:w="240" w:type="dxa"/>
            <w:vAlign w:val="bottom"/>
            <w:tcBorders>
              <w:bottom w:val="single" w:sz="8" w:color="E5F1EE"/>
            </w:tcBorders>
            <w:shd w:val="clear" w:color="auto" w:fill="E5F1EE"/>
          </w:tcPr>
          <w:p>
            <w:pPr>
              <w:spacing w:after="0"/>
              <w:rPr>
                <w:sz w:val="13"/>
                <w:szCs w:val="13"/>
                <w:color w:val="auto"/>
              </w:rPr>
            </w:pPr>
          </w:p>
        </w:tc>
        <w:tc>
          <w:tcPr>
            <w:tcW w:w="8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40" w:type="dxa"/>
            <w:vAlign w:val="bottom"/>
            <w:tcBorders>
              <w:bottom w:val="single" w:sz="8" w:color="E5F1EE"/>
            </w:tcBorders>
            <w:shd w:val="clear" w:color="auto" w:fill="E5F1EE"/>
          </w:tcPr>
          <w:p>
            <w:pPr>
              <w:spacing w:after="0"/>
              <w:rPr>
                <w:sz w:val="13"/>
                <w:szCs w:val="13"/>
                <w:color w:val="auto"/>
              </w:rPr>
            </w:pPr>
          </w:p>
        </w:tc>
        <w:tc>
          <w:tcPr>
            <w:tcW w:w="220" w:type="dxa"/>
            <w:vAlign w:val="bottom"/>
            <w:tcBorders>
              <w:bottom w:val="single" w:sz="8" w:color="E5F1EE"/>
            </w:tcBorders>
            <w:shd w:val="clear" w:color="auto" w:fill="E5F1EE"/>
          </w:tcPr>
          <w:p>
            <w:pPr>
              <w:spacing w:after="0"/>
              <w:rPr>
                <w:sz w:val="13"/>
                <w:szCs w:val="13"/>
                <w:color w:val="auto"/>
              </w:rPr>
            </w:pPr>
          </w:p>
        </w:tc>
        <w:tc>
          <w:tcPr>
            <w:tcW w:w="8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28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E5F1EE"/>
          </w:tcPr>
          <w:p>
            <w:pPr>
              <w:spacing w:after="0"/>
              <w:rPr>
                <w:sz w:val="13"/>
                <w:szCs w:val="13"/>
                <w:color w:val="auto"/>
              </w:rPr>
            </w:pPr>
          </w:p>
        </w:tc>
        <w:tc>
          <w:tcPr>
            <w:tcW w:w="240" w:type="dxa"/>
            <w:vAlign w:val="bottom"/>
            <w:tcBorders>
              <w:bottom w:val="single" w:sz="8" w:color="E5F1EE"/>
            </w:tcBorders>
            <w:shd w:val="clear" w:color="auto" w:fill="E5F1EE"/>
          </w:tcPr>
          <w:p>
            <w:pPr>
              <w:spacing w:after="0"/>
              <w:rPr>
                <w:sz w:val="13"/>
                <w:szCs w:val="13"/>
                <w:color w:val="auto"/>
              </w:rPr>
            </w:pPr>
          </w:p>
        </w:tc>
        <w:tc>
          <w:tcPr>
            <w:tcW w:w="240" w:type="dxa"/>
            <w:vAlign w:val="bottom"/>
            <w:tcBorders>
              <w:bottom w:val="single" w:sz="8" w:color="E5F1EE"/>
            </w:tcBorders>
            <w:shd w:val="clear" w:color="auto" w:fill="E5F1EE"/>
          </w:tcPr>
          <w:p>
            <w:pPr>
              <w:spacing w:after="0"/>
              <w:rPr>
                <w:sz w:val="13"/>
                <w:szCs w:val="13"/>
                <w:color w:val="auto"/>
              </w:rPr>
            </w:pPr>
          </w:p>
        </w:tc>
        <w:tc>
          <w:tcPr>
            <w:tcW w:w="8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8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Gain (loss) on bank investment securities</w:t>
            </w:r>
          </w:p>
        </w:tc>
        <w:tc>
          <w:tcPr>
            <w:tcW w:w="2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26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1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6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Other revenues from operations</w:t>
            </w:r>
          </w:p>
        </w:tc>
        <w:tc>
          <w:tcPr>
            <w:tcW w:w="240" w:type="dxa"/>
            <w:vAlign w:val="bottom"/>
            <w:tcBorders>
              <w:bottom w:val="single" w:sz="8" w:color="auto"/>
            </w:tcBorders>
            <w:shd w:val="clear" w:color="auto" w:fill="E5F1EE"/>
          </w:tcPr>
          <w:p>
            <w:pPr>
              <w:spacing w:after="0"/>
              <w:rPr>
                <w:sz w:val="13"/>
                <w:szCs w:val="13"/>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40" w:type="dxa"/>
            <w:vAlign w:val="bottom"/>
            <w:shd w:val="clear" w:color="auto" w:fill="E5F1EE"/>
          </w:tcPr>
          <w:p>
            <w:pPr>
              <w:spacing w:after="0"/>
              <w:rPr>
                <w:sz w:val="13"/>
                <w:szCs w:val="13"/>
                <w:color w:val="auto"/>
              </w:rPr>
            </w:pPr>
          </w:p>
        </w:tc>
        <w:tc>
          <w:tcPr>
            <w:tcW w:w="220" w:type="dxa"/>
            <w:vAlign w:val="bottom"/>
            <w:tcBorders>
              <w:bottom w:val="single" w:sz="8" w:color="auto"/>
            </w:tcBorders>
            <w:shd w:val="clear" w:color="auto" w:fill="E5F1EE"/>
          </w:tcPr>
          <w:p>
            <w:pPr>
              <w:spacing w:after="0"/>
              <w:rPr>
                <w:sz w:val="13"/>
                <w:szCs w:val="13"/>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12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240" w:type="dxa"/>
            <w:vAlign w:val="bottom"/>
            <w:tcBorders>
              <w:bottom w:val="single" w:sz="8" w:color="auto"/>
            </w:tcBorders>
            <w:shd w:val="clear" w:color="auto" w:fill="E5F1EE"/>
          </w:tcPr>
          <w:p>
            <w:pPr>
              <w:spacing w:after="0"/>
              <w:rPr>
                <w:sz w:val="13"/>
                <w:szCs w:val="13"/>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12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Noninterest income in the fourth quarter of 2025 decreased $56 million, or 7%, from 2025's third quarter.</w:t>
      </w:r>
    </w:p>
    <w:p>
      <w:pPr>
        <w:spacing w:after="0" w:line="27" w:lineRule="exact"/>
        <w:rPr>
          <w:sz w:val="20"/>
          <w:szCs w:val="20"/>
          <w:color w:val="auto"/>
        </w:rPr>
      </w:pPr>
    </w:p>
    <w:p>
      <w:pPr>
        <w:ind w:left="580" w:hanging="295"/>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banking revenues rose $8 million reflecting higher gains on sales of commercial mortgage loans.</w:t>
      </w:r>
    </w:p>
    <w:p>
      <w:pPr>
        <w:spacing w:after="0" w:line="19"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 income increased $3 million largely due to the Company's global capital markets business.</w:t>
      </w:r>
    </w:p>
    <w:p>
      <w:pPr>
        <w:spacing w:after="0" w:line="19" w:lineRule="exact"/>
        <w:rPr>
          <w:rFonts w:ascii="Times New Roman" w:cs="Times New Roman" w:eastAsia="Times New Roman" w:hAnsi="Times New Roman"/>
          <w:sz w:val="14"/>
          <w:szCs w:val="14"/>
          <w:color w:val="auto"/>
        </w:rPr>
      </w:pPr>
    </w:p>
    <w:p>
      <w:pPr>
        <w:ind w:left="580" w:right="160" w:hanging="295"/>
        <w:spacing w:after="0" w:line="243" w:lineRule="auto"/>
        <w:tabs>
          <w:tab w:leader="none" w:pos="57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revenues from operations decreased $67 million reflecting a $28 million distribution of an earnout payment related to the Company's 2023 sale of its CIT business, a $20 million distribution from M&amp;T's investment in BLG and a $12 million gain on sale of equipment leases each in the third quarter of 2025.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Noninterest income rose $39 million, or 6%, as compared with the fourth quarter of 2024.</w:t>
      </w:r>
    </w:p>
    <w:p>
      <w:pPr>
        <w:spacing w:after="0" w:line="27" w:lineRule="exact"/>
        <w:rPr>
          <w:sz w:val="20"/>
          <w:szCs w:val="20"/>
          <w:color w:val="auto"/>
        </w:rPr>
      </w:pPr>
    </w:p>
    <w:p>
      <w:pPr>
        <w:ind w:left="580" w:hanging="295"/>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banking revenues increased $38 million predominantly due to a rise in residential mortgage loan servicing income and higher gains on sales of commercial mortgage loans.</w:t>
      </w:r>
    </w:p>
    <w:p>
      <w:pPr>
        <w:spacing w:after="0" w:line="19"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charges on deposit accounts increased $9 million reflecting higher commercial service charges.</w:t>
      </w:r>
    </w:p>
    <w:p>
      <w:pPr>
        <w:spacing w:after="0" w:line="19"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 income rose $9 million reflecting higher revenues from the Company's global capital markets and wealth advisory services businesses.</w:t>
      </w:r>
    </w:p>
    <w:p>
      <w:pPr>
        <w:spacing w:after="0" w:line="19"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account and other non-hedging derivative gains increased $9 million reflecting an increase in revenues from interest rate swap transactions with commercial customers.</w:t>
      </w:r>
    </w:p>
    <w:p>
      <w:pPr>
        <w:spacing w:after="0" w:line="19"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lower gain on bank investment securities reflects realized gains on the sales of Fannie Mae and Freddie Mac preferred securities in the fourth quarter of 2024.</w:t>
      </w:r>
    </w:p>
    <w:p>
      <w:pPr>
        <w:spacing w:after="0" w:line="19" w:lineRule="exact"/>
        <w:rPr>
          <w:rFonts w:ascii="Times New Roman" w:cs="Times New Roman" w:eastAsia="Times New Roman" w:hAnsi="Times New Roman"/>
          <w:sz w:val="14"/>
          <w:szCs w:val="14"/>
          <w:color w:val="auto"/>
        </w:rPr>
      </w:pPr>
    </w:p>
    <w:p>
      <w:pPr>
        <w:ind w:left="580" w:right="420" w:hanging="295"/>
        <w:spacing w:after="0" w:line="243" w:lineRule="auto"/>
        <w:tabs>
          <w:tab w:leader="none" w:pos="579"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revenues from operations decreased $13 million reflecting a $23 million distribution from M&amp;T's investment in BLG in the fourth quarter of 2024, partially offset by higher merchant discount and credit card fees and letter of credit and other credit-related fees in the recent quarter.</w:t>
      </w:r>
    </w:p>
    <w:p>
      <w:pPr>
        <w:spacing w:after="0" w:line="116" w:lineRule="exact"/>
        <w:rPr>
          <w:sz w:val="20"/>
          <w:szCs w:val="20"/>
          <w:color w:val="auto"/>
        </w:rPr>
      </w:pPr>
    </w:p>
    <w:p>
      <w:pPr>
        <w:jc w:val="both"/>
        <w:ind w:right="100"/>
        <w:spacing w:after="0"/>
        <w:rPr>
          <w:sz w:val="20"/>
          <w:szCs w:val="20"/>
          <w:color w:val="auto"/>
        </w:rPr>
      </w:pPr>
      <w:r>
        <w:rPr>
          <w:rFonts w:ascii="Times New Roman" w:cs="Times New Roman" w:eastAsia="Times New Roman" w:hAnsi="Times New Roman"/>
          <w:sz w:val="14"/>
          <w:szCs w:val="14"/>
          <w:color w:val="auto"/>
        </w:rPr>
        <w:t>Noninterest income rose $315 million, or 13%, to $2.74 billion in 2025 as compared with $2.43 billion in 2024, reflecting higher mortgage banking revenues, service charges on deposit accounts, trust income and other revenues from operations. The increase in other revenues from operations included a $28 million distribution of an earnout payment related to the Company's 2023 sale of its CIT business, a $15 million gain on the sale of an out-of-footprint residential builder and developer loan portfolio, a $12 million gain on the sale of equipment leases, a $10 million gain on the sale of a subsidiary that specialized in institutional services each in 2025 and higher letter of credit and other credit-related fees, partially offset by higher distributions from M&amp;T's investment in BLG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332" w:right="299" w:bottom="1440" w:gutter="0" w:footer="0" w:header="0"/>
        </w:sectPr>
      </w:pPr>
    </w:p>
    <w:bookmarkStart w:id="9" w:name="page10"/>
    <w:bookmarkEnd w:id="9"/>
    <w:p>
      <w:pPr>
        <w:ind w:left="972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FFFFFF"/>
        </w:rPr>
        <w:t>Noninterest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4375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1430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Change 4Q25 vs.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Change 4Q25 vs.</w:t>
            </w:r>
          </w:p>
        </w:tc>
        <w:tc>
          <w:tcPr>
            <w:tcW w:w="0" w:type="dxa"/>
            <w:vAlign w:val="bottom"/>
          </w:tcPr>
          <w:p>
            <w:pPr>
              <w:spacing w:after="0"/>
              <w:rPr>
                <w:sz w:val="1"/>
                <w:szCs w:val="1"/>
                <w:color w:val="auto"/>
              </w:rPr>
            </w:pPr>
          </w:p>
        </w:tc>
      </w:tr>
      <w:tr>
        <w:trPr>
          <w:trHeight w:val="162"/>
        </w:trPr>
        <w:tc>
          <w:tcPr>
            <w:tcW w:w="5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4Q25</w:t>
            </w:r>
          </w:p>
        </w:tc>
        <w:tc>
          <w:tcPr>
            <w:tcW w:w="240" w:type="dxa"/>
            <w:vAlign w:val="bottom"/>
          </w:tcPr>
          <w:p>
            <w:pPr>
              <w:spacing w:after="0"/>
              <w:rPr>
                <w:sz w:val="14"/>
                <w:szCs w:val="14"/>
                <w:color w:val="auto"/>
              </w:rPr>
            </w:pPr>
          </w:p>
        </w:tc>
        <w:tc>
          <w:tcPr>
            <w:tcW w:w="8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3Q25</w:t>
            </w:r>
          </w:p>
        </w:tc>
        <w:tc>
          <w:tcPr>
            <w:tcW w:w="240" w:type="dxa"/>
            <w:vAlign w:val="bottom"/>
          </w:tcPr>
          <w:p>
            <w:pPr>
              <w:spacing w:after="0"/>
              <w:rPr>
                <w:sz w:val="14"/>
                <w:szCs w:val="14"/>
                <w:color w:val="auto"/>
              </w:rPr>
            </w:pPr>
          </w:p>
        </w:tc>
        <w:tc>
          <w:tcPr>
            <w:tcW w:w="10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3Q25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4Q24</w:t>
            </w:r>
          </w:p>
        </w:tc>
        <w:tc>
          <w:tcPr>
            <w:tcW w:w="2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7"/>
              </w:rPr>
              <w:t>4Q24</w:t>
            </w:r>
          </w:p>
        </w:tc>
        <w:tc>
          <w:tcPr>
            <w:tcW w:w="0" w:type="dxa"/>
            <w:vAlign w:val="bottom"/>
          </w:tcPr>
          <w:p>
            <w:pPr>
              <w:spacing w:after="0"/>
              <w:rPr>
                <w:sz w:val="1"/>
                <w:szCs w:val="1"/>
                <w:color w:val="auto"/>
              </w:rPr>
            </w:pPr>
          </w:p>
        </w:tc>
      </w:tr>
      <w:tr>
        <w:trPr>
          <w:trHeight w:val="142"/>
        </w:trPr>
        <w:tc>
          <w:tcPr>
            <w:tcW w:w="5000" w:type="dxa"/>
            <w:vAlign w:val="bottom"/>
            <w:tcBorders>
              <w:top w:val="single" w:sz="8" w:color="E5F1EE"/>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Salaries and employee benefits</w:t>
            </w:r>
          </w:p>
        </w:tc>
        <w:tc>
          <w:tcPr>
            <w:tcW w:w="240" w:type="dxa"/>
            <w:vAlign w:val="bottom"/>
            <w:tcBorders>
              <w:top w:val="single" w:sz="8" w:color="auto"/>
              <w:bottom w:val="single" w:sz="8" w:color="E5F1EE"/>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809</w:t>
            </w:r>
          </w:p>
        </w:tc>
        <w:tc>
          <w:tcPr>
            <w:tcW w:w="240" w:type="dxa"/>
            <w:vAlign w:val="bottom"/>
            <w:tcBorders>
              <w:top w:val="single" w:sz="8" w:color="E5F1EE"/>
              <w:bottom w:val="single" w:sz="8" w:color="E5F1EE"/>
            </w:tcBorders>
            <w:shd w:val="clear" w:color="auto" w:fill="E5F1EE"/>
          </w:tcPr>
          <w:p>
            <w:pPr>
              <w:spacing w:after="0"/>
              <w:rPr>
                <w:sz w:val="12"/>
                <w:szCs w:val="12"/>
                <w:color w:val="auto"/>
              </w:rPr>
            </w:pPr>
          </w:p>
        </w:tc>
        <w:tc>
          <w:tcPr>
            <w:tcW w:w="240" w:type="dxa"/>
            <w:vAlign w:val="bottom"/>
            <w:tcBorders>
              <w:top w:val="single" w:sz="8" w:color="auto"/>
              <w:bottom w:val="single" w:sz="8" w:color="E5F1EE"/>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240" w:type="dxa"/>
            <w:vAlign w:val="bottom"/>
            <w:tcBorders>
              <w:top w:val="single" w:sz="8" w:color="E5F1EE"/>
              <w:bottom w:val="single" w:sz="8" w:color="E5F1EE"/>
            </w:tcBorders>
            <w:shd w:val="clear" w:color="auto" w:fill="E5F1EE"/>
          </w:tcPr>
          <w:p>
            <w:pPr>
              <w:spacing w:after="0"/>
              <w:rPr>
                <w:sz w:val="12"/>
                <w:szCs w:val="12"/>
                <w:color w:val="auto"/>
              </w:rPr>
            </w:pPr>
          </w:p>
        </w:tc>
        <w:tc>
          <w:tcPr>
            <w:tcW w:w="104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260" w:type="dxa"/>
            <w:vAlign w:val="bottom"/>
            <w:tcBorders>
              <w:top w:val="single" w:sz="8" w:color="E5F1EE"/>
              <w:bottom w:val="single" w:sz="8" w:color="E5F1EE"/>
            </w:tcBorders>
            <w:shd w:val="clear" w:color="auto" w:fill="E5F1EE"/>
          </w:tcPr>
          <w:p>
            <w:pPr>
              <w:spacing w:after="0"/>
              <w:rPr>
                <w:sz w:val="12"/>
                <w:szCs w:val="12"/>
                <w:color w:val="auto"/>
              </w:rPr>
            </w:pPr>
          </w:p>
        </w:tc>
        <w:tc>
          <w:tcPr>
            <w:tcW w:w="220" w:type="dxa"/>
            <w:vAlign w:val="bottom"/>
            <w:tcBorders>
              <w:top w:val="single" w:sz="8" w:color="auto"/>
              <w:bottom w:val="single" w:sz="8" w:color="E5F1EE"/>
            </w:tcBorders>
            <w:shd w:val="clear" w:color="auto" w:fill="E5F1EE"/>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790</w:t>
            </w:r>
          </w:p>
        </w:tc>
        <w:tc>
          <w:tcPr>
            <w:tcW w:w="240" w:type="dxa"/>
            <w:vAlign w:val="bottom"/>
            <w:tcBorders>
              <w:top w:val="single" w:sz="8" w:color="E5F1EE"/>
              <w:bottom w:val="single" w:sz="8" w:color="E5F1EE"/>
            </w:tcBorders>
            <w:shd w:val="clear" w:color="auto" w:fill="E5F1EE"/>
          </w:tcPr>
          <w:p>
            <w:pPr>
              <w:spacing w:after="0"/>
              <w:rPr>
                <w:sz w:val="12"/>
                <w:szCs w:val="12"/>
                <w:color w:val="auto"/>
              </w:rPr>
            </w:pPr>
          </w:p>
        </w:tc>
        <w:tc>
          <w:tcPr>
            <w:tcW w:w="1040" w:type="dxa"/>
            <w:vAlign w:val="bottom"/>
            <w:tcBorders>
              <w:top w:val="single" w:sz="8" w:color="auto"/>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20" w:type="dxa"/>
            <w:vAlign w:val="bottom"/>
            <w:tcBorders>
              <w:top w:val="single" w:sz="8" w:color="auto"/>
            </w:tcBorders>
            <w:shd w:val="clear" w:color="auto" w:fill="E5F1E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0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Equipment and net occupancy</w:t>
            </w:r>
          </w:p>
        </w:tc>
        <w:tc>
          <w:tcPr>
            <w:tcW w:w="2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134</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129</w:t>
            </w:r>
          </w:p>
        </w:tc>
        <w:tc>
          <w:tcPr>
            <w:tcW w:w="1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133</w:t>
            </w:r>
          </w:p>
        </w:tc>
        <w:tc>
          <w:tcPr>
            <w:tcW w:w="240" w:type="dxa"/>
            <w:vAlign w:val="bottom"/>
          </w:tcPr>
          <w:p>
            <w:pPr>
              <w:spacing w:after="0"/>
              <w:rPr>
                <w:sz w:val="11"/>
                <w:szCs w:val="11"/>
                <w:color w:val="auto"/>
              </w:rPr>
            </w:pPr>
          </w:p>
        </w:tc>
        <w:tc>
          <w:tcPr>
            <w:tcW w:w="10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Outside data processing and software</w:t>
            </w:r>
          </w:p>
        </w:tc>
        <w:tc>
          <w:tcPr>
            <w:tcW w:w="24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2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6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2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20"/>
                <w:szCs w:val="20"/>
                <w:color w:val="auto"/>
              </w:rPr>
            </w:pPr>
            <w:r>
              <w:rPr>
                <w:rFonts w:ascii="Times New Roman" w:cs="Times New Roman" w:eastAsia="Times New Roman" w:hAnsi="Times New Roman"/>
                <w:sz w:val="12"/>
                <w:szCs w:val="12"/>
                <w:color w:val="auto"/>
              </w:rPr>
              <w:t>Professional and other services</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FDIC assessments</w:t>
            </w:r>
          </w:p>
        </w:tc>
        <w:tc>
          <w:tcPr>
            <w:tcW w:w="24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shd w:val="clear" w:color="auto" w:fill="E5F1EE"/>
          </w:tcPr>
          <w:p>
            <w:pPr>
              <w:spacing w:after="0"/>
              <w:rPr>
                <w:sz w:val="13"/>
                <w:szCs w:val="13"/>
                <w:color w:val="auto"/>
              </w:rPr>
            </w:pPr>
          </w:p>
        </w:tc>
        <w:tc>
          <w:tcPr>
            <w:tcW w:w="10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40" w:type="dxa"/>
            <w:vAlign w:val="bottom"/>
            <w:shd w:val="clear" w:color="auto" w:fill="E5F1EE"/>
          </w:tcPr>
          <w:p>
            <w:pPr>
              <w:spacing w:after="0"/>
              <w:rPr>
                <w:sz w:val="13"/>
                <w:szCs w:val="13"/>
                <w:color w:val="auto"/>
              </w:rPr>
            </w:pPr>
          </w:p>
        </w:tc>
        <w:tc>
          <w:tcPr>
            <w:tcW w:w="10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20"/>
                <w:szCs w:val="20"/>
                <w:color w:val="auto"/>
              </w:rPr>
            </w:pPr>
            <w:r>
              <w:rPr>
                <w:rFonts w:ascii="Times New Roman" w:cs="Times New Roman" w:eastAsia="Times New Roman" w:hAnsi="Times New Roman"/>
                <w:sz w:val="12"/>
                <w:szCs w:val="12"/>
                <w:color w:val="auto"/>
              </w:rPr>
              <w:t>Advertising and marketing</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Amortization of core deposit and other intangible assets</w:t>
            </w:r>
          </w:p>
        </w:tc>
        <w:tc>
          <w:tcPr>
            <w:tcW w:w="24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shd w:val="clear" w:color="auto" w:fill="E5F1EE"/>
          </w:tcPr>
          <w:p>
            <w:pPr>
              <w:spacing w:after="0"/>
              <w:rPr>
                <w:sz w:val="13"/>
                <w:szCs w:val="13"/>
                <w:color w:val="auto"/>
              </w:rPr>
            </w:pPr>
          </w:p>
        </w:tc>
        <w:tc>
          <w:tcPr>
            <w:tcW w:w="10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Other costs of operations</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4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28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6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28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0" w:type="dxa"/>
            <w:vAlign w:val="bottom"/>
            <w:tcBorders>
              <w:bottom w:val="single" w:sz="8" w:color="E5F1EE"/>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0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bottom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1,379</w:t>
            </w:r>
          </w:p>
        </w:tc>
        <w:tc>
          <w:tcPr>
            <w:tcW w:w="240" w:type="dxa"/>
            <w:vAlign w:val="bottom"/>
            <w:tcBorders>
              <w:bottom w:val="single" w:sz="8" w:color="E5F1EE"/>
            </w:tcBorders>
            <w:shd w:val="clear" w:color="auto" w:fill="E5F1EE"/>
          </w:tcPr>
          <w:p>
            <w:pPr>
              <w:spacing w:after="0"/>
              <w:rPr>
                <w:sz w:val="13"/>
                <w:szCs w:val="13"/>
                <w:color w:val="auto"/>
              </w:rPr>
            </w:pPr>
          </w:p>
        </w:tc>
        <w:tc>
          <w:tcPr>
            <w:tcW w:w="240" w:type="dxa"/>
            <w:vAlign w:val="bottom"/>
            <w:tcBorders>
              <w:bottom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1,363</w:t>
            </w:r>
          </w:p>
        </w:tc>
        <w:tc>
          <w:tcPr>
            <w:tcW w:w="128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60" w:type="dxa"/>
            <w:vAlign w:val="bottom"/>
            <w:tcBorders>
              <w:bottom w:val="single" w:sz="8" w:color="E5F1EE"/>
            </w:tcBorders>
            <w:shd w:val="clear" w:color="auto" w:fill="E5F1EE"/>
          </w:tcPr>
          <w:p>
            <w:pPr>
              <w:spacing w:after="0"/>
              <w:rPr>
                <w:sz w:val="13"/>
                <w:szCs w:val="13"/>
                <w:color w:val="auto"/>
              </w:rPr>
            </w:pPr>
          </w:p>
        </w:tc>
        <w:tc>
          <w:tcPr>
            <w:tcW w:w="220" w:type="dxa"/>
            <w:vAlign w:val="bottom"/>
            <w:tcBorders>
              <w:bottom w:val="single" w:sz="8" w:color="auto"/>
            </w:tcBorders>
            <w:shd w:val="clear" w:color="auto" w:fill="E5F1EE"/>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1,363</w:t>
            </w:r>
          </w:p>
        </w:tc>
        <w:tc>
          <w:tcPr>
            <w:tcW w:w="128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bottom w:val="single" w:sz="8" w:color="E5F1EE"/>
            </w:tcBorders>
            <w:shd w:val="clear" w:color="auto" w:fill="E5F1EE"/>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Noninterest expense rose $16 million, or 1%, from the third quarter of 2025.</w:t>
      </w:r>
    </w:p>
    <w:p>
      <w:pPr>
        <w:spacing w:after="0" w:line="27" w:lineRule="exact"/>
        <w:rPr>
          <w:sz w:val="20"/>
          <w:szCs w:val="20"/>
          <w:color w:val="auto"/>
        </w:rPr>
      </w:pPr>
    </w:p>
    <w:p>
      <w:pPr>
        <w:ind w:left="580" w:hanging="295"/>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and employee benefits expense decreased $24 million reflecting lower severance-related and other employee benefit expenses.</w:t>
      </w:r>
    </w:p>
    <w:p>
      <w:pPr>
        <w:spacing w:after="0" w:line="19" w:lineRule="exact"/>
        <w:rPr>
          <w:rFonts w:ascii="Times New Roman" w:cs="Times New Roman" w:eastAsia="Times New Roman" w:hAnsi="Times New Roman"/>
          <w:sz w:val="14"/>
          <w:szCs w:val="14"/>
          <w:color w:val="auto"/>
        </w:rPr>
      </w:pPr>
    </w:p>
    <w:p>
      <w:pPr>
        <w:ind w:left="580" w:right="720" w:hanging="295"/>
        <w:spacing w:after="0" w:line="241" w:lineRule="auto"/>
        <w:tabs>
          <w:tab w:leader="none" w:pos="57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Outside data processing and software costs increased $8 million reflecting higher software maintenance expense and a write-off of certain capitalized project costs due to re-prioritization.</w:t>
      </w:r>
    </w:p>
    <w:p>
      <w:pPr>
        <w:ind w:left="580" w:hanging="295"/>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 and other services expense rose $24 million reflecting legal and review costs.</w:t>
      </w:r>
    </w:p>
    <w:p>
      <w:pPr>
        <w:spacing w:after="0" w:line="19" w:lineRule="exact"/>
        <w:rPr>
          <w:rFonts w:ascii="Times New Roman" w:cs="Times New Roman" w:eastAsia="Times New Roman" w:hAnsi="Times New Roman"/>
          <w:sz w:val="14"/>
          <w:szCs w:val="14"/>
          <w:color w:val="auto"/>
        </w:rPr>
      </w:pPr>
    </w:p>
    <w:p>
      <w:pPr>
        <w:ind w:left="580" w:right="140" w:hanging="295"/>
        <w:spacing w:after="0" w:line="241" w:lineRule="auto"/>
        <w:tabs>
          <w:tab w:leader="none" w:pos="57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FDIC assessment expense reflects reductions of the estimated special assessment of $29 million in the recent quarter as compared with $8 million in the third quarter of 2025 resulting from decreases in the FDIC's loss estimates associated with certain failed banks.</w:t>
      </w:r>
    </w:p>
    <w:p>
      <w:pPr>
        <w:ind w:left="580" w:hanging="295"/>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Advertising and marketing expense rose $9 million reflecting seasonal campaigns.</w:t>
      </w:r>
    </w:p>
    <w:p>
      <w:pPr>
        <w:spacing w:after="0" w:line="19" w:lineRule="exact"/>
        <w:rPr>
          <w:rFonts w:ascii="Times New Roman" w:cs="Times New Roman" w:eastAsia="Times New Roman" w:hAnsi="Times New Roman"/>
          <w:sz w:val="14"/>
          <w:szCs w:val="14"/>
          <w:color w:val="auto"/>
        </w:rPr>
      </w:pPr>
    </w:p>
    <w:p>
      <w:pPr>
        <w:ind w:left="580" w:right="40" w:hanging="295"/>
        <w:spacing w:after="0" w:line="232" w:lineRule="auto"/>
        <w:tabs>
          <w:tab w:leader="none" w:pos="57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of operations increased $15 million reflecting a $30 million contribution to The M&amp;T Charitable Foundation, partially offset by a pension settlement gain of $8 million resulting from the purchase of annuities for plan participants that represented approximately $270 million of the Company's pension benefit obligation, each in the recent quarter, and an impairment of a renewable energy tax credit investment in the third quarter of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Noninterest expense increased $16 million, or 1%</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from the fourth quarter of 2024.</w:t>
      </w:r>
    </w:p>
    <w:p>
      <w:pPr>
        <w:spacing w:after="0" w:line="19" w:lineRule="exact"/>
        <w:rPr>
          <w:sz w:val="20"/>
          <w:szCs w:val="20"/>
          <w:color w:val="auto"/>
        </w:rPr>
      </w:pPr>
    </w:p>
    <w:p>
      <w:pPr>
        <w:ind w:left="580" w:hanging="295"/>
        <w:spacing w:after="0"/>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and employee benefits expense increased $19 million reflecting higher salaries expense from annual merit and other increases.</w:t>
      </w:r>
    </w:p>
    <w:p>
      <w:pPr>
        <w:spacing w:after="0" w:line="19" w:lineRule="exact"/>
        <w:rPr>
          <w:rFonts w:ascii="Times New Roman" w:cs="Times New Roman" w:eastAsia="Times New Roman" w:hAnsi="Times New Roman"/>
          <w:sz w:val="14"/>
          <w:szCs w:val="14"/>
          <w:color w:val="auto"/>
        </w:rPr>
      </w:pPr>
    </w:p>
    <w:p>
      <w:pPr>
        <w:ind w:left="580" w:right="380" w:hanging="295"/>
        <w:spacing w:after="0" w:line="241" w:lineRule="auto"/>
        <w:tabs>
          <w:tab w:leader="none" w:pos="57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Outside data processing and software costs rose $21 million reflecting costs associated with enhancements to the Company's technology infrastructure, cybersecurity and financial recordkeeping and reporting systems.</w:t>
      </w:r>
    </w:p>
    <w:p>
      <w:pPr>
        <w:ind w:left="580" w:hanging="295"/>
        <w:spacing w:after="0"/>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 and other services expense increased $25 million reflecting legal and review costs.</w:t>
      </w:r>
    </w:p>
    <w:p>
      <w:pPr>
        <w:spacing w:after="0" w:line="19"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FDIC assessment expense declined $32 million reflecting a reduction of the estimated special assessment.</w:t>
      </w:r>
    </w:p>
    <w:p>
      <w:pPr>
        <w:spacing w:after="0" w:line="19" w:lineRule="exact"/>
        <w:rPr>
          <w:rFonts w:ascii="Times New Roman" w:cs="Times New Roman" w:eastAsia="Times New Roman" w:hAnsi="Times New Roman"/>
          <w:sz w:val="14"/>
          <w:szCs w:val="14"/>
          <w:color w:val="auto"/>
        </w:rPr>
      </w:pPr>
    </w:p>
    <w:p>
      <w:pPr>
        <w:ind w:left="580" w:right="220" w:hanging="295"/>
        <w:spacing w:after="0" w:line="243" w:lineRule="auto"/>
        <w:tabs>
          <w:tab w:leader="none" w:pos="57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of operations decreased $17 million reflecting vacated facility write-downs and a loss on the redemption of certain of M&amp;T's trust preferred obligations each in the fourth quarter of 2024, partially offset by a $30 million contribution to The M&amp;T Charitable Foundation in the recent quarter.</w:t>
      </w:r>
    </w:p>
    <w:p>
      <w:pPr>
        <w:spacing w:after="0" w:line="18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For the year ended December 31, 2025, noninterest expense aggregated $5.49 billion, up 2% from $5.36 billion in 2024. The $134 million increase in noninterest expenses reflected higher salaries and employee benefits expense, resulting from annual merit and other increases, an increase in medical benefits costs, severance-related costs and higher stock compensation expense, and a rise in outside data processing and software costs, partially offset by lower FDIC assessment expense.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60"/>
          </w:cols>
          <w:pgMar w:left="300" w:top="332" w:right="339" w:bottom="1440" w:gutter="0" w:footer="0" w:header="0"/>
        </w:sectPr>
      </w:pPr>
    </w:p>
    <w:bookmarkStart w:id="10" w:name="page11"/>
    <w:bookmarkEnd w:id="10"/>
    <w:p>
      <w:pPr>
        <w:ind w:left="9728"/>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37" w:lineRule="exact"/>
        <w:rPr>
          <w:sz w:val="20"/>
          <w:szCs w:val="20"/>
          <w:color w:val="auto"/>
        </w:rPr>
      </w:pPr>
    </w:p>
    <w:p>
      <w:pPr>
        <w:ind w:left="8" w:right="40"/>
        <w:spacing w:after="0"/>
        <w:rPr>
          <w:sz w:val="20"/>
          <w:szCs w:val="20"/>
          <w:color w:val="auto"/>
        </w:rPr>
      </w:pPr>
      <w:r>
        <w:rPr>
          <w:rFonts w:ascii="Times New Roman" w:cs="Times New Roman" w:eastAsia="Times New Roman" w:hAnsi="Times New Roman"/>
          <w:sz w:val="14"/>
          <w:szCs w:val="14"/>
          <w:color w:val="auto"/>
        </w:rPr>
        <w:t>The Company's effective income tax rate was 21.8% in the fourth quarter of 2025, compared with 22.8% in each of the third quarter of 2025 and the fourth quarter of 2024. The lower effective income tax rate in the recent quarter reflects a discrete income tax benefit of $8 million claimed on prior year tax returns. The Company's effective tax rates were 22.8% and 21.8% in 2025 and 2024, respectively. The increase in the effective income tax rate in 2025 as compared with 2024 reflects the recognition of a discrete tax benefit claimed on a prior year tax return and a net discrete tax benefit related to the resolution of an income tax matter inherited from the acquisition of People's United Financial, Inc. each in 2024, partially offset by the recent quarter discrete income tax benefit.</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Capital and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7080" w:type="dxa"/>
            <w:vAlign w:val="bottom"/>
            <w:tcBorders>
              <w:bottom w:val="single" w:sz="8" w:color="E5F1EE"/>
            </w:tcBorders>
          </w:tcPr>
          <w:p>
            <w:pPr>
              <w:spacing w:after="0"/>
              <w:rPr>
                <w:sz w:val="13"/>
                <w:szCs w:val="13"/>
                <w:color w:val="auto"/>
              </w:rPr>
            </w:pPr>
          </w:p>
        </w:tc>
        <w:tc>
          <w:tcPr>
            <w:tcW w:w="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w w:val="97"/>
              </w:rPr>
              <w:t>4Q25</w:t>
            </w: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E5F1EE"/>
            </w:tcBorders>
          </w:tcPr>
          <w:p>
            <w:pPr>
              <w:spacing w:after="0"/>
              <w:rPr>
                <w:sz w:val="13"/>
                <w:szCs w:val="13"/>
                <w:color w:val="auto"/>
              </w:rPr>
            </w:pPr>
          </w:p>
        </w:tc>
        <w:tc>
          <w:tcPr>
            <w:tcW w:w="11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2"/>
                <w:szCs w:val="12"/>
                <w:color w:val="auto"/>
              </w:rPr>
              <w:t>3Q25</w:t>
            </w:r>
          </w:p>
        </w:tc>
        <w:tc>
          <w:tcPr>
            <w:tcW w:w="380" w:type="dxa"/>
            <w:vAlign w:val="bottom"/>
            <w:tcBorders>
              <w:bottom w:val="single" w:sz="8" w:color="E5F1EE"/>
            </w:tcBorders>
          </w:tcPr>
          <w:p>
            <w:pPr>
              <w:spacing w:after="0"/>
              <w:rPr>
                <w:sz w:val="13"/>
                <w:szCs w:val="13"/>
                <w:color w:val="auto"/>
              </w:rPr>
            </w:pPr>
          </w:p>
        </w:tc>
        <w:tc>
          <w:tcPr>
            <w:tcW w:w="116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2"/>
                <w:szCs w:val="12"/>
                <w:color w:val="auto"/>
              </w:rPr>
              <w:t>4Q24</w:t>
            </w:r>
          </w:p>
        </w:tc>
      </w:tr>
      <w:tr>
        <w:trPr>
          <w:trHeight w:val="142"/>
        </w:trPr>
        <w:tc>
          <w:tcPr>
            <w:tcW w:w="708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CET1</w:t>
            </w:r>
          </w:p>
        </w:tc>
        <w:tc>
          <w:tcPr>
            <w:tcW w:w="720" w:type="dxa"/>
            <w:vAlign w:val="bottom"/>
            <w:tcBorders>
              <w:bottom w:val="single" w:sz="8" w:color="E5F1EE"/>
            </w:tcBorders>
            <w:shd w:val="clear" w:color="auto" w:fill="E5F1EE"/>
          </w:tcPr>
          <w:p>
            <w:pPr>
              <w:spacing w:after="0"/>
              <w:rPr>
                <w:sz w:val="12"/>
                <w:szCs w:val="12"/>
                <w:color w:val="auto"/>
              </w:rPr>
            </w:pPr>
          </w:p>
        </w:tc>
        <w:tc>
          <w:tcPr>
            <w:tcW w:w="4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w w:val="94"/>
              </w:rPr>
              <w:t>10.84 %</w:t>
            </w:r>
          </w:p>
        </w:tc>
        <w:tc>
          <w:tcPr>
            <w:tcW w:w="20" w:type="dxa"/>
            <w:vAlign w:val="bottom"/>
            <w:shd w:val="clear" w:color="auto" w:fill="E5F1EE"/>
          </w:tcPr>
          <w:p>
            <w:pPr>
              <w:spacing w:after="0"/>
              <w:rPr>
                <w:sz w:val="12"/>
                <w:szCs w:val="12"/>
                <w:color w:val="auto"/>
              </w:rPr>
            </w:pPr>
          </w:p>
        </w:tc>
        <w:tc>
          <w:tcPr>
            <w:tcW w:w="4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10.99 %</w:t>
            </w:r>
          </w:p>
        </w:tc>
        <w:tc>
          <w:tcPr>
            <w:tcW w:w="20" w:type="dxa"/>
            <w:vAlign w:val="bottom"/>
            <w:shd w:val="clear" w:color="auto" w:fill="E5F1EE"/>
          </w:tcPr>
          <w:p>
            <w:pPr>
              <w:spacing w:after="0"/>
              <w:rPr>
                <w:sz w:val="12"/>
                <w:szCs w:val="12"/>
                <w:color w:val="auto"/>
              </w:rPr>
            </w:pPr>
          </w:p>
        </w:tc>
        <w:tc>
          <w:tcPr>
            <w:tcW w:w="380" w:type="dxa"/>
            <w:vAlign w:val="bottom"/>
            <w:tcBorders>
              <w:bottom w:val="single" w:sz="8" w:color="E5F1EE"/>
            </w:tcBorders>
            <w:shd w:val="clear" w:color="auto" w:fill="E5F1EE"/>
          </w:tcPr>
          <w:p>
            <w:pPr>
              <w:spacing w:after="0"/>
              <w:rPr>
                <w:sz w:val="12"/>
                <w:szCs w:val="12"/>
                <w:color w:val="auto"/>
              </w:rPr>
            </w:pPr>
          </w:p>
        </w:tc>
        <w:tc>
          <w:tcPr>
            <w:tcW w:w="11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11.68 %</w:t>
            </w:r>
          </w:p>
        </w:tc>
        <w:tc>
          <w:tcPr>
            <w:tcW w:w="40" w:type="dxa"/>
            <w:vAlign w:val="bottom"/>
            <w:shd w:val="clear" w:color="auto" w:fill="E5F1EE"/>
          </w:tcPr>
          <w:p>
            <w:pPr>
              <w:spacing w:after="0"/>
              <w:rPr>
                <w:sz w:val="12"/>
                <w:szCs w:val="12"/>
                <w:color w:val="auto"/>
              </w:rPr>
            </w:pPr>
          </w:p>
        </w:tc>
      </w:tr>
      <w:tr>
        <w:trPr>
          <w:trHeight w:val="133"/>
        </w:trPr>
        <w:tc>
          <w:tcPr>
            <w:tcW w:w="78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Tier 1 capital</w:t>
            </w: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12.59</w:t>
            </w:r>
          </w:p>
        </w:tc>
        <w:tc>
          <w:tcPr>
            <w:tcW w:w="2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12.49</w:t>
            </w:r>
          </w:p>
        </w:tc>
        <w:tc>
          <w:tcPr>
            <w:tcW w:w="20" w:type="dxa"/>
            <w:vAlign w:val="bottom"/>
          </w:tcPr>
          <w:p>
            <w:pPr>
              <w:spacing w:after="0"/>
              <w:rPr>
                <w:sz w:val="11"/>
                <w:szCs w:val="11"/>
                <w:color w:val="auto"/>
              </w:rPr>
            </w:pPr>
          </w:p>
        </w:tc>
        <w:tc>
          <w:tcPr>
            <w:tcW w:w="15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13.21</w:t>
            </w:r>
          </w:p>
        </w:tc>
        <w:tc>
          <w:tcPr>
            <w:tcW w:w="40" w:type="dxa"/>
            <w:vAlign w:val="bottom"/>
          </w:tcPr>
          <w:p>
            <w:pPr>
              <w:spacing w:after="0"/>
              <w:rPr>
                <w:sz w:val="11"/>
                <w:szCs w:val="11"/>
                <w:color w:val="auto"/>
              </w:rPr>
            </w:pPr>
          </w:p>
        </w:tc>
      </w:tr>
      <w:tr>
        <w:trPr>
          <w:trHeight w:val="153"/>
        </w:trPr>
        <w:tc>
          <w:tcPr>
            <w:tcW w:w="780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2"/>
                <w:szCs w:val="12"/>
                <w:color w:val="auto"/>
              </w:rPr>
              <w:t>Total capital</w:t>
            </w:r>
          </w:p>
        </w:tc>
        <w:tc>
          <w:tcPr>
            <w:tcW w:w="4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14.43</w:t>
            </w:r>
          </w:p>
        </w:tc>
        <w:tc>
          <w:tcPr>
            <w:tcW w:w="20" w:type="dxa"/>
            <w:vAlign w:val="bottom"/>
            <w:shd w:val="clear" w:color="auto" w:fill="E5F1EE"/>
          </w:tcPr>
          <w:p>
            <w:pPr>
              <w:spacing w:after="0"/>
              <w:rPr>
                <w:sz w:val="13"/>
                <w:szCs w:val="13"/>
                <w:color w:val="auto"/>
              </w:rPr>
            </w:pPr>
          </w:p>
        </w:tc>
        <w:tc>
          <w:tcPr>
            <w:tcW w:w="4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20" w:type="dxa"/>
            <w:vAlign w:val="bottom"/>
            <w:shd w:val="clear" w:color="auto" w:fill="E5F1EE"/>
          </w:tcPr>
          <w:p>
            <w:pPr>
              <w:spacing w:after="0"/>
              <w:rPr>
                <w:sz w:val="13"/>
                <w:szCs w:val="13"/>
                <w:color w:val="auto"/>
              </w:rPr>
            </w:pPr>
          </w:p>
        </w:tc>
        <w:tc>
          <w:tcPr>
            <w:tcW w:w="150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14.73</w:t>
            </w:r>
          </w:p>
        </w:tc>
        <w:tc>
          <w:tcPr>
            <w:tcW w:w="40" w:type="dxa"/>
            <w:vAlign w:val="bottom"/>
            <w:shd w:val="clear" w:color="auto" w:fill="E5F1EE"/>
          </w:tcPr>
          <w:p>
            <w:pPr>
              <w:spacing w:after="0"/>
              <w:rPr>
                <w:sz w:val="13"/>
                <w:szCs w:val="13"/>
                <w:color w:val="auto"/>
              </w:rPr>
            </w:pPr>
          </w:p>
        </w:tc>
      </w:tr>
      <w:tr>
        <w:trPr>
          <w:trHeight w:val="155"/>
        </w:trPr>
        <w:tc>
          <w:tcPr>
            <w:tcW w:w="7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Tangible capital – common</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8.79</w:t>
            </w:r>
          </w:p>
        </w:tc>
        <w:tc>
          <w:tcPr>
            <w:tcW w:w="20" w:type="dxa"/>
            <w:vAlign w:val="bottom"/>
          </w:tcPr>
          <w:p>
            <w:pPr>
              <w:spacing w:after="0"/>
              <w:rPr>
                <w:sz w:val="13"/>
                <w:szCs w:val="13"/>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9.07</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362902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9025" cy="5715"/>
                    </a:xfrm>
                    <a:prstGeom prst="rect">
                      <a:avLst/>
                    </a:prstGeom>
                    <a:noFill/>
                  </pic:spPr>
                </pic:pic>
              </a:graphicData>
            </a:graphic>
          </wp:anchor>
        </w:drawing>
      </w:r>
    </w:p>
    <w:p>
      <w:pPr>
        <w:spacing w:after="0" w:line="273" w:lineRule="exact"/>
        <w:rPr>
          <w:sz w:val="20"/>
          <w:szCs w:val="20"/>
          <w:color w:val="auto"/>
        </w:rPr>
      </w:pPr>
    </w:p>
    <w:p>
      <w:pPr>
        <w:ind w:left="288" w:hanging="288"/>
        <w:spacing w:after="0"/>
        <w:tabs>
          <w:tab w:leader="none" w:pos="28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 ratios at December 31, 2025 are estimated.</w:t>
      </w:r>
    </w:p>
    <w:p>
      <w:pPr>
        <w:spacing w:after="0" w:line="17" w:lineRule="exact"/>
        <w:rPr>
          <w:sz w:val="20"/>
          <w:szCs w:val="20"/>
          <w:color w:val="auto"/>
        </w:rPr>
      </w:pPr>
    </w:p>
    <w:p>
      <w:pPr>
        <w:ind w:left="8" w:right="480"/>
        <w:spacing w:after="0" w:line="241" w:lineRule="auto"/>
        <w:rPr>
          <w:sz w:val="20"/>
          <w:szCs w:val="20"/>
          <w:color w:val="auto"/>
        </w:rPr>
      </w:pPr>
      <w:r>
        <w:rPr>
          <w:rFonts w:ascii="Times New Roman" w:cs="Times New Roman" w:eastAsia="Times New Roman" w:hAnsi="Times New Roman"/>
          <w:sz w:val="14"/>
          <w:szCs w:val="14"/>
          <w:color w:val="auto"/>
        </w:rPr>
        <w:t>M&amp;T's capital ratios remained well above the minimum set forth by regulatory requirements. Cash dividends declared on M&amp;T's common and preferred stock totaled $230 million and $39 million, respectively, for the quarter ended December 31, 2025.</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CET1 capital ratio for M&amp;T was estimated at 10.84% as of December 31, 2025. M&amp;T's total risk-weighted assets at December 31, 2025 are estimated to be $161.9 billion.</w:t>
      </w:r>
    </w:p>
    <w:p>
      <w:pPr>
        <w:spacing w:after="0" w:line="55" w:lineRule="exact"/>
        <w:rPr>
          <w:sz w:val="20"/>
          <w:szCs w:val="20"/>
          <w:color w:val="auto"/>
        </w:rPr>
      </w:pPr>
    </w:p>
    <w:p>
      <w:pPr>
        <w:ind w:left="8"/>
        <w:spacing w:after="0" w:line="231" w:lineRule="auto"/>
        <w:rPr>
          <w:sz w:val="20"/>
          <w:szCs w:val="20"/>
          <w:color w:val="auto"/>
        </w:rPr>
      </w:pPr>
      <w:r>
        <w:rPr>
          <w:rFonts w:ascii="Times New Roman" w:cs="Times New Roman" w:eastAsia="Times New Roman" w:hAnsi="Times New Roman"/>
          <w:sz w:val="14"/>
          <w:szCs w:val="14"/>
          <w:color w:val="auto"/>
        </w:rPr>
        <w:t>M&amp;T repurchased 2.7 million shares of its common stock in accordance with its capital plan during the recent quarter at an average cost per share of $183.30 resulting in a total cost, including the share repurchase excise tax, of $507 million, compared with 2.1 million and 1.0 million shares at an average cost per share of $193.46 and $206.70 and a total cost, including the share repurchase excise tax, of $409 million and $200 million in the third quarter of 2025 and the fourth quarter of 2024, respectively. Reflecting loan growth in the recent quarter M&amp;T's tangible common equity to tangible asset ratio at December 31, 2025 decreased 9 basis points from September 30, 2025.</w:t>
      </w:r>
    </w:p>
    <w:p>
      <w:pPr>
        <w:spacing w:after="0" w:line="28" w:lineRule="exact"/>
        <w:rPr>
          <w:sz w:val="20"/>
          <w:szCs w:val="20"/>
          <w:color w:val="auto"/>
        </w:rPr>
      </w:pPr>
    </w:p>
    <w:p>
      <w:pPr>
        <w:ind w:left="8" w:right="60"/>
        <w:spacing w:after="0" w:line="247" w:lineRule="auto"/>
        <w:rPr>
          <w:sz w:val="20"/>
          <w:szCs w:val="20"/>
          <w:color w:val="auto"/>
        </w:rPr>
      </w:pPr>
      <w:r>
        <w:rPr>
          <w:rFonts w:ascii="Times New Roman" w:cs="Times New Roman" w:eastAsia="Times New Roman" w:hAnsi="Times New Roman"/>
          <w:sz w:val="14"/>
          <w:szCs w:val="14"/>
          <w:color w:val="auto"/>
        </w:rPr>
        <w:t>While not subject to the liquidity coverage ratio requirements ("LCR"), M&amp;T estimates that its LCR on December 31, 2025 was 109%, exceeding the regulatory minimum standards that would be applicable if it were a Category III institution subject to the Category III reduced LCR requirements.</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Investors will have an opportunity to listen to M&amp;T's conference call to discuss fourth quarter financial results today at 8:00 a.m. Eastern Time. Those wishing to participate in the call may dial</w:t>
      </w:r>
    </w:p>
    <w:p>
      <w:pPr>
        <w:ind w:left="348" w:hanging="348"/>
        <w:spacing w:after="0" w:line="214" w:lineRule="auto"/>
        <w:tabs>
          <w:tab w:leader="none" w:pos="34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347-7315. International participants, using any applicable international calling codes, may dial (785) 424-1755. Callers should reference M&amp;T Bank Corporation or the conference ID</w:t>
      </w:r>
    </w:p>
    <w:p>
      <w:pPr>
        <w:ind w:left="8" w:right="20"/>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#MTBQ425. The conference call will be webcast live through M&amp;T's website at https://ir.mtb.com/news-events/events-presentations. A replay of the call will be available through Friday January 23, 2026, by calling (800) 695-2185 or (402) 530-9028 for international participants. No conference ID or passcode is required. The event will also be archived and available by 3:00 p.m. today on M&amp;T's website at https://ir.mtb.com/news-events/events-presentations.</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About M&amp;T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7" w:lineRule="exact"/>
        <w:rPr>
          <w:sz w:val="20"/>
          <w:szCs w:val="20"/>
          <w:color w:val="auto"/>
        </w:rPr>
      </w:pPr>
    </w:p>
    <w:p>
      <w:pPr>
        <w:ind w:left="8" w:right="40"/>
        <w:spacing w:after="0" w:line="236" w:lineRule="auto"/>
        <w:rPr>
          <w:sz w:val="20"/>
          <w:szCs w:val="20"/>
          <w:color w:val="auto"/>
        </w:rPr>
      </w:pPr>
      <w:r>
        <w:rPr>
          <w:rFonts w:ascii="Times New Roman" w:cs="Times New Roman" w:eastAsia="Times New Roman" w:hAnsi="Times New Roman"/>
          <w:sz w:val="14"/>
          <w:szCs w:val="14"/>
          <w:color w:val="auto"/>
        </w:rPr>
        <w:t>M&amp;T is a financial holding company headquartered in Buffalo, New York. M&amp;T's principal banking subsidiary, M&amp;T Bank, provides banking products and services with a branch and ATM network spanning the eastern U.S. from Maine to Virginia and Washington, D.C. Trust-related services are provided in select markets in the U.S. and abroad by M&amp;T's Wilmington Trust-affiliated companies and by M&amp;T Bank. For more information on M&amp;T Bank, visit www.mtb.com.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8"/>
          </w:cols>
          <w:pgMar w:left="292" w:top="332" w:right="299" w:bottom="1440" w:gutter="0" w:footer="0" w:header="0"/>
        </w:sectPr>
      </w:pPr>
    </w:p>
    <w:bookmarkStart w:id="11" w:name="page12"/>
    <w:bookmarkEnd w:id="11"/>
    <w:p>
      <w:pPr>
        <w:ind w:left="972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FFFFFF"/>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78040"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This news release and related conference call may contain forward-looking statements within the meaning of the Private Securities Litigation Reform Act of 1995 and the rules and regulations of the SEC.</w:t>
      </w:r>
    </w:p>
    <w:p>
      <w:pPr>
        <w:spacing w:after="0" w:line="13" w:lineRule="exact"/>
        <w:rPr>
          <w:sz w:val="20"/>
          <w:szCs w:val="20"/>
          <w:color w:val="auto"/>
        </w:rPr>
      </w:pPr>
    </w:p>
    <w:p>
      <w:pPr>
        <w:ind w:right="200"/>
        <w:spacing w:after="0" w:line="223" w:lineRule="auto"/>
        <w:rPr>
          <w:sz w:val="20"/>
          <w:szCs w:val="20"/>
          <w:color w:val="auto"/>
        </w:rPr>
      </w:pPr>
      <w:r>
        <w:rPr>
          <w:rFonts w:ascii="Times New Roman" w:cs="Times New Roman" w:eastAsia="Times New Roman" w:hAnsi="Times New Roman"/>
          <w:sz w:val="14"/>
          <w:szCs w:val="14"/>
          <w:i w:val="1"/>
          <w:iCs w:val="1"/>
          <w:color w:val="auto"/>
        </w:rPr>
        <w:t>Any statement that does not describe historical or current facts is a forward-looking statement, including statements based on current expectations, estimates and projections about M&amp;T's business, and management's beliefs and assumptions.</w:t>
      </w:r>
    </w:p>
    <w:p>
      <w:pPr>
        <w:spacing w:after="0" w:line="16"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3"/>
          <w:szCs w:val="13"/>
          <w:i w:val="1"/>
          <w:iCs w:val="1"/>
          <w:color w:val="auto"/>
        </w:rPr>
        <w:t>Statements regarding the potential effects of events or factors specific to M&amp;T and/or the financial industry as a whole, as well as national and global events generally, on M&amp;T's business, financial condition, liquidity and results of operations may constitute forward-looking statements. Such statements are subject to the risk that the actual effects may differ, possibly materially, from what is reflected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those forward-looking statements due to factors and future developments that are uncertain, unpredictable and in many cases beyond M&amp;T's control.</w:t>
      </w:r>
    </w:p>
    <w:p>
      <w:pPr>
        <w:spacing w:after="0" w:line="19"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4"/>
          <w:szCs w:val="14"/>
          <w:i w:val="1"/>
          <w:iCs w:val="1"/>
          <w:color w:val="auto"/>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While there can be no assurance that any list of risks and uncertainties is complete, important factors that could cause actual outcomes and results to differ materially from those contemplated by forward-</w:t>
      </w:r>
    </w:p>
    <w:p>
      <w:pPr>
        <w:spacing w:after="0" w:line="13"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3"/>
          <w:szCs w:val="13"/>
          <w:i w:val="1"/>
          <w:iCs w:val="1"/>
          <w:color w:val="auto"/>
        </w:rPr>
        <w:t>looking statements include the following, without limitation: economic conditions and growth rates, including inflation and market volatility; events, developments and current conditions in the financial services industry, including trust, brokerage and investment management businesses; changes in interest rates, spreads on earning assets and interest-bearing liabilities, and interest rate sensitivity; prepayment speeds, loan originations, loan concentrations by type and industry, credit losses and market values on loans, collateral securing loans, and other assets; sources of liquidity; levels of client deposits; ability to contain costs and expenses; changes in M&amp;T's credit ratings; domestic or international political developments and other geopolitical events, including trade and tariff policies and</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3"/>
          <w:szCs w:val="13"/>
          <w:i w:val="1"/>
          <w:iCs w:val="1"/>
          <w:color w:val="auto"/>
        </w:rPr>
        <w:t>international conflicts and hostilities; changes and trends in the securities markets; common shares outstanding and common stock price volatility; fair value of and number of stock-based compensation awards to be issued in future periods; the impact of changes in market values on trust-, brokerage-, and investment management-related revenues; federal, state or local legislation and/or regulations affecting the financial services industry, or M&amp;T and its subsidiaries individually or collectively, including tax policy; regulatory supervision and oversight, including monetary policy and capital</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3"/>
          <w:szCs w:val="13"/>
          <w:i w:val="1"/>
          <w:iCs w:val="1"/>
          <w:color w:val="auto"/>
        </w:rPr>
        <w:t>requirements; governmental and public policy changes; political conditions, either nationally or in the states in which M&amp;T and its subsidiaries do business; the initiation and outcome of potential, pending and future litigation, investigations and governmental proceedings, including tax-related examinations and other matters; operational risk events, including loss resulting from fraud by employees or persons outside M&amp;T and breaches in data and cybersecurity; changes in accounting policies or procedures as may be required by the Financial Accounting Standards Board, regulatory agencies or</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3"/>
          <w:szCs w:val="13"/>
          <w:i w:val="1"/>
          <w:iCs w:val="1"/>
          <w:color w:val="auto"/>
        </w:rPr>
        <w:t>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4"/>
          <w:szCs w:val="14"/>
          <w:i w:val="1"/>
          <w:iCs w:val="1"/>
          <w:color w:val="auto"/>
        </w:rPr>
        <w:t>future businesses; and material differences in the actual financial results of merger, acquisition, divestment and investment activities compared with M&amp;T's initial expectations, including the full realization of anticipated cost savings and revenue enhancements.</w:t>
      </w:r>
    </w:p>
    <w:p>
      <w:pPr>
        <w:spacing w:after="0" w:line="16"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4"/>
          <w:szCs w:val="14"/>
          <w:i w:val="1"/>
          <w:iCs w:val="1"/>
          <w:color w:val="auto"/>
        </w:rPr>
        <w:t>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M&amp;T and its subsidiaries do business, and other factors.</w:t>
      </w:r>
    </w:p>
    <w:p>
      <w:pPr>
        <w:spacing w:after="0" w:line="16"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4"/>
          <w:szCs w:val="14"/>
          <w:i w:val="1"/>
          <w:iCs w:val="1"/>
          <w:color w:val="auto"/>
        </w:rPr>
        <w:t>M&amp;T provides further detail regarding these risks and uncertainties in its Form 10-K for the year ended December 31, 2024, including in the Risk Factors section of such report, as well as in other SEC filings. Forward-looking statements speak only as of the date they are made, and M&amp;T assumes no duty and does not undertake to update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332" w:right="299" w:bottom="1440" w:gutter="0" w:footer="0" w:header="0"/>
        </w:sectPr>
      </w:pPr>
    </w:p>
    <w:bookmarkStart w:id="12" w:name="page13"/>
    <w:bookmarkEnd w:id="12"/>
    <w:p>
      <w:pPr>
        <w:ind w:left="9728"/>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Financial Highlights</w:t>
      </w:r>
    </w:p>
    <w:p>
      <w:pPr>
        <w:spacing w:after="0" w:line="17"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4"/>
          </w:tcPr>
          <w:p>
            <w:pPr>
              <w:jc w:val="right"/>
              <w:ind w:right="15"/>
              <w:spacing w:after="0"/>
              <w:rPr>
                <w:sz w:val="20"/>
                <w:szCs w:val="20"/>
                <w:color w:val="auto"/>
              </w:rPr>
            </w:pPr>
            <w:r>
              <w:rPr>
                <w:rFonts w:ascii="Times New Roman" w:cs="Times New Roman" w:eastAsia="Times New Roman" w:hAnsi="Times New Roman"/>
                <w:sz w:val="9"/>
                <w:szCs w:val="9"/>
                <w:color w:val="auto"/>
              </w:rPr>
              <w:t>Three Months Ended</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4"/>
          </w:tcPr>
          <w:p>
            <w:pPr>
              <w:jc w:val="right"/>
              <w:ind w:right="160"/>
              <w:spacing w:after="0"/>
              <w:rPr>
                <w:sz w:val="20"/>
                <w:szCs w:val="20"/>
                <w:color w:val="auto"/>
              </w:rPr>
            </w:pPr>
            <w:r>
              <w:rPr>
                <w:rFonts w:ascii="Times New Roman" w:cs="Times New Roman" w:eastAsia="Times New Roman" w:hAnsi="Times New Roman"/>
                <w:sz w:val="9"/>
                <w:szCs w:val="9"/>
                <w:color w:val="auto"/>
              </w:rPr>
              <w:t>Year Ended</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9"/>
                <w:szCs w:val="9"/>
                <w:color w:val="auto"/>
              </w:rPr>
              <w:t>December 31,</w:t>
            </w: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9"/>
                <w:szCs w:val="9"/>
                <w:color w:val="auto"/>
              </w:rPr>
              <w:t>December 31,</w:t>
            </w: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472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(Dollars in millions, except per share, shares in thousands)</w:t>
            </w: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9"/>
                <w:szCs w:val="9"/>
                <w:color w:val="auto"/>
              </w:rPr>
              <w:t>2025</w:t>
            </w:r>
          </w:p>
        </w:tc>
        <w:tc>
          <w:tcPr>
            <w:tcW w:w="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9"/>
                <w:szCs w:val="9"/>
                <w:color w:val="auto"/>
              </w:rPr>
              <w:t>2024</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9"/>
                <w:szCs w:val="9"/>
                <w:color w:val="auto"/>
              </w:rPr>
              <w:t>Change</w:t>
            </w: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9"/>
                <w:szCs w:val="9"/>
                <w:color w:val="auto"/>
              </w:rPr>
              <w:t>2025</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9"/>
                <w:szCs w:val="9"/>
                <w:color w:val="auto"/>
              </w:rPr>
              <w:t>2024</w:t>
            </w:r>
          </w:p>
        </w:tc>
        <w:tc>
          <w:tcPr>
            <w:tcW w:w="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9"/>
                <w:szCs w:val="9"/>
                <w:color w:val="auto"/>
              </w:rPr>
              <w:t>Change</w:t>
            </w:r>
          </w:p>
        </w:tc>
      </w:tr>
      <w:tr>
        <w:trPr>
          <w:trHeight w:val="96"/>
        </w:trPr>
        <w:tc>
          <w:tcPr>
            <w:tcW w:w="4720" w:type="dxa"/>
            <w:vAlign w:val="bottom"/>
            <w:gridSpan w:val="4"/>
          </w:tcPr>
          <w:p>
            <w:pPr>
              <w:spacing w:after="0" w:line="89" w:lineRule="exact"/>
              <w:rPr>
                <w:sz w:val="20"/>
                <w:szCs w:val="20"/>
                <w:color w:val="auto"/>
              </w:rPr>
            </w:pPr>
            <w:r>
              <w:rPr>
                <w:rFonts w:ascii="Times New Roman" w:cs="Times New Roman" w:eastAsia="Times New Roman" w:hAnsi="Times New Roman"/>
                <w:sz w:val="9"/>
                <w:szCs w:val="9"/>
                <w:b w:val="1"/>
                <w:bCs w:val="1"/>
                <w:color w:val="auto"/>
              </w:rPr>
              <w:t>Performance</w:t>
            </w: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6"/>
        </w:trPr>
        <w:tc>
          <w:tcPr>
            <w:tcW w:w="500" w:type="dxa"/>
            <w:vAlign w:val="bottom"/>
            <w:tcBorders>
              <w:top w:val="single" w:sz="8" w:color="auto"/>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9"/>
                <w:szCs w:val="9"/>
                <w:color w:val="auto"/>
              </w:rPr>
              <w:t>Net income</w:t>
            </w:r>
          </w:p>
        </w:tc>
        <w:tc>
          <w:tcPr>
            <w:tcW w:w="4220" w:type="dxa"/>
            <w:vAlign w:val="bottom"/>
            <w:tcBorders>
              <w:bottom w:val="single" w:sz="8" w:color="E5F1EE"/>
            </w:tcBorders>
            <w:gridSpan w:val="3"/>
            <w:shd w:val="clear" w:color="auto" w:fill="E5F1EE"/>
          </w:tcPr>
          <w:p>
            <w:pPr>
              <w:spacing w:after="0"/>
              <w:rPr>
                <w:sz w:val="10"/>
                <w:szCs w:val="10"/>
                <w:color w:val="auto"/>
              </w:rPr>
            </w:pPr>
          </w:p>
        </w:tc>
        <w:tc>
          <w:tcPr>
            <w:tcW w:w="220" w:type="dxa"/>
            <w:vAlign w:val="bottom"/>
            <w:tcBorders>
              <w:bottom w:val="single" w:sz="8" w:color="E5F1EE"/>
            </w:tcBorders>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759</w:t>
            </w:r>
          </w:p>
        </w:tc>
        <w:tc>
          <w:tcPr>
            <w:tcW w:w="20" w:type="dxa"/>
            <w:vAlign w:val="bottom"/>
            <w:tcBorders>
              <w:bottom w:val="single" w:sz="8" w:color="E5F1EE"/>
            </w:tcBorders>
            <w:shd w:val="clear" w:color="auto" w:fill="E5F1EE"/>
          </w:tcPr>
          <w:p>
            <w:pPr>
              <w:spacing w:after="0"/>
              <w:rPr>
                <w:sz w:val="10"/>
                <w:szCs w:val="10"/>
                <w:color w:val="auto"/>
              </w:rPr>
            </w:pPr>
          </w:p>
        </w:tc>
        <w:tc>
          <w:tcPr>
            <w:tcW w:w="560" w:type="dxa"/>
            <w:vAlign w:val="bottom"/>
            <w:tcBorders>
              <w:bottom w:val="single" w:sz="8" w:color="E5F1EE"/>
            </w:tcBorders>
            <w:gridSpan w:val="2"/>
            <w:shd w:val="clear" w:color="auto" w:fill="E5F1EE"/>
          </w:tcPr>
          <w:p>
            <w:pPr>
              <w:jc w:val="right"/>
              <w:ind w:right="23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681</w:t>
            </w:r>
          </w:p>
        </w:tc>
        <w:tc>
          <w:tcPr>
            <w:tcW w:w="20" w:type="dxa"/>
            <w:vAlign w:val="bottom"/>
            <w:tcBorders>
              <w:bottom w:val="single" w:sz="8" w:color="E5F1EE"/>
            </w:tcBorders>
            <w:shd w:val="clear" w:color="auto" w:fill="E5F1EE"/>
          </w:tcPr>
          <w:p>
            <w:pPr>
              <w:spacing w:after="0"/>
              <w:rPr>
                <w:sz w:val="10"/>
                <w:szCs w:val="10"/>
                <w:color w:val="auto"/>
              </w:rPr>
            </w:pPr>
          </w:p>
        </w:tc>
        <w:tc>
          <w:tcPr>
            <w:tcW w:w="100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12 %</w:t>
            </w:r>
          </w:p>
        </w:tc>
        <w:tc>
          <w:tcPr>
            <w:tcW w:w="20" w:type="dxa"/>
            <w:vAlign w:val="bottom"/>
            <w:shd w:val="clear" w:color="auto" w:fill="E5F1EE"/>
          </w:tcPr>
          <w:p>
            <w:pPr>
              <w:spacing w:after="0"/>
              <w:rPr>
                <w:sz w:val="10"/>
                <w:szCs w:val="10"/>
                <w:color w:val="auto"/>
              </w:rPr>
            </w:pPr>
          </w:p>
        </w:tc>
        <w:tc>
          <w:tcPr>
            <w:tcW w:w="440" w:type="dxa"/>
            <w:vAlign w:val="bottom"/>
            <w:tcBorders>
              <w:bottom w:val="single" w:sz="8" w:color="E5F1EE"/>
            </w:tcBorders>
            <w:gridSpan w:val="2"/>
            <w:shd w:val="clear" w:color="auto" w:fill="E5F1EE"/>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2,851</w:t>
            </w:r>
          </w:p>
        </w:tc>
        <w:tc>
          <w:tcPr>
            <w:tcW w:w="20" w:type="dxa"/>
            <w:vAlign w:val="bottom"/>
            <w:tcBorders>
              <w:bottom w:val="single" w:sz="8" w:color="E5F1EE"/>
            </w:tcBorders>
            <w:shd w:val="clear" w:color="auto" w:fill="E5F1EE"/>
          </w:tcPr>
          <w:p>
            <w:pPr>
              <w:spacing w:after="0"/>
              <w:rPr>
                <w:sz w:val="10"/>
                <w:szCs w:val="10"/>
                <w:color w:val="auto"/>
              </w:rPr>
            </w:pPr>
          </w:p>
        </w:tc>
        <w:tc>
          <w:tcPr>
            <w:tcW w:w="460" w:type="dxa"/>
            <w:vAlign w:val="bottom"/>
            <w:tcBorders>
              <w:bottom w:val="single" w:sz="8" w:color="E5F1EE"/>
            </w:tcBorders>
            <w:gridSpan w:val="2"/>
            <w:shd w:val="clear" w:color="auto" w:fill="E5F1EE"/>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2,588</w:t>
            </w:r>
          </w:p>
        </w:tc>
        <w:tc>
          <w:tcPr>
            <w:tcW w:w="20" w:type="dxa"/>
            <w:vAlign w:val="bottom"/>
            <w:tcBorders>
              <w:bottom w:val="single" w:sz="8" w:color="E5F1EE"/>
            </w:tcBorders>
            <w:shd w:val="clear" w:color="auto" w:fill="E5F1EE"/>
          </w:tcPr>
          <w:p>
            <w:pPr>
              <w:spacing w:after="0"/>
              <w:rPr>
                <w:sz w:val="10"/>
                <w:szCs w:val="10"/>
                <w:color w:val="auto"/>
              </w:rPr>
            </w:pPr>
          </w:p>
        </w:tc>
        <w:tc>
          <w:tcPr>
            <w:tcW w:w="114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10 %</w:t>
            </w:r>
          </w:p>
        </w:tc>
        <w:tc>
          <w:tcPr>
            <w:tcW w:w="20" w:type="dxa"/>
            <w:vAlign w:val="bottom"/>
            <w:shd w:val="clear" w:color="auto" w:fill="E5F1EE"/>
          </w:tcPr>
          <w:p>
            <w:pPr>
              <w:spacing w:after="0"/>
              <w:rPr>
                <w:sz w:val="10"/>
                <w:szCs w:val="10"/>
                <w:color w:val="auto"/>
              </w:rPr>
            </w:pPr>
          </w:p>
        </w:tc>
      </w:tr>
      <w:tr>
        <w:trPr>
          <w:trHeight w:val="101"/>
        </w:trPr>
        <w:tc>
          <w:tcPr>
            <w:tcW w:w="4720" w:type="dxa"/>
            <w:vAlign w:val="bottom"/>
            <w:gridSpan w:val="4"/>
          </w:tcPr>
          <w:p>
            <w:pPr>
              <w:spacing w:after="0" w:line="101" w:lineRule="exact"/>
              <w:rPr>
                <w:sz w:val="20"/>
                <w:szCs w:val="20"/>
                <w:color w:val="auto"/>
              </w:rPr>
            </w:pPr>
            <w:r>
              <w:rPr>
                <w:rFonts w:ascii="Times New Roman" w:cs="Times New Roman" w:eastAsia="Times New Roman" w:hAnsi="Times New Roman"/>
                <w:sz w:val="9"/>
                <w:szCs w:val="9"/>
                <w:color w:val="auto"/>
              </w:rPr>
              <w:t>Net income available to common shareholders</w:t>
            </w:r>
          </w:p>
        </w:tc>
        <w:tc>
          <w:tcPr>
            <w:tcW w:w="220" w:type="dxa"/>
            <w:vAlign w:val="bottom"/>
          </w:tcPr>
          <w:p>
            <w:pPr>
              <w:spacing w:after="0"/>
              <w:rPr>
                <w:sz w:val="8"/>
                <w:szCs w:val="8"/>
                <w:color w:val="auto"/>
              </w:rPr>
            </w:pPr>
          </w:p>
        </w:tc>
        <w:tc>
          <w:tcPr>
            <w:tcW w:w="7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718</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644</w:t>
            </w:r>
          </w:p>
        </w:tc>
        <w:tc>
          <w:tcPr>
            <w:tcW w:w="20" w:type="dxa"/>
            <w:vAlign w:val="bottom"/>
          </w:tcPr>
          <w:p>
            <w:pPr>
              <w:spacing w:after="0"/>
              <w:rPr>
                <w:sz w:val="8"/>
                <w:szCs w:val="8"/>
                <w:color w:val="auto"/>
              </w:rPr>
            </w:pPr>
          </w:p>
        </w:tc>
        <w:tc>
          <w:tcPr>
            <w:tcW w:w="100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11</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2,699</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2,449</w:t>
            </w:r>
          </w:p>
        </w:tc>
        <w:tc>
          <w:tcPr>
            <w:tcW w:w="20" w:type="dxa"/>
            <w:vAlign w:val="bottom"/>
          </w:tcPr>
          <w:p>
            <w:pPr>
              <w:spacing w:after="0"/>
              <w:rPr>
                <w:sz w:val="8"/>
                <w:szCs w:val="8"/>
                <w:color w:val="auto"/>
              </w:rPr>
            </w:pPr>
          </w:p>
        </w:tc>
        <w:tc>
          <w:tcPr>
            <w:tcW w:w="114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10</w:t>
            </w:r>
          </w:p>
        </w:tc>
        <w:tc>
          <w:tcPr>
            <w:tcW w:w="20" w:type="dxa"/>
            <w:vAlign w:val="bottom"/>
          </w:tcPr>
          <w:p>
            <w:pPr>
              <w:spacing w:after="0"/>
              <w:rPr>
                <w:sz w:val="8"/>
                <w:szCs w:val="8"/>
                <w:color w:val="auto"/>
              </w:rPr>
            </w:pPr>
          </w:p>
        </w:tc>
      </w:tr>
      <w:tr>
        <w:trPr>
          <w:trHeight w:val="131"/>
        </w:trPr>
        <w:tc>
          <w:tcPr>
            <w:tcW w:w="47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Per common share:</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40" w:type="dxa"/>
            <w:vAlign w:val="bottom"/>
            <w:shd w:val="clear" w:color="auto" w:fill="E5F1EE"/>
          </w:tcPr>
          <w:p>
            <w:pPr>
              <w:spacing w:after="0"/>
              <w:rPr>
                <w:sz w:val="11"/>
                <w:szCs w:val="11"/>
                <w:color w:val="auto"/>
              </w:rPr>
            </w:pPr>
          </w:p>
        </w:tc>
        <w:tc>
          <w:tcPr>
            <w:tcW w:w="58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8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r>
      <w:tr>
        <w:trPr>
          <w:trHeight w:val="121"/>
        </w:trPr>
        <w:tc>
          <w:tcPr>
            <w:tcW w:w="472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Basic earnings</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4.71</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3.88</w:t>
            </w:r>
          </w:p>
        </w:tc>
        <w:tc>
          <w:tcPr>
            <w:tcW w:w="20" w:type="dxa"/>
            <w:vAlign w:val="bottom"/>
          </w:tcPr>
          <w:p>
            <w:pPr>
              <w:spacing w:after="0"/>
              <w:rPr>
                <w:sz w:val="10"/>
                <w:szCs w:val="1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21</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17.10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14.71</w:t>
            </w:r>
          </w:p>
        </w:tc>
        <w:tc>
          <w:tcPr>
            <w:tcW w:w="20" w:type="dxa"/>
            <w:vAlign w:val="bottom"/>
          </w:tcPr>
          <w:p>
            <w:pPr>
              <w:spacing w:after="0"/>
              <w:rPr>
                <w:sz w:val="10"/>
                <w:szCs w:val="1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16</w:t>
            </w:r>
          </w:p>
        </w:tc>
        <w:tc>
          <w:tcPr>
            <w:tcW w:w="20" w:type="dxa"/>
            <w:vAlign w:val="bottom"/>
          </w:tcPr>
          <w:p>
            <w:pPr>
              <w:spacing w:after="0"/>
              <w:rPr>
                <w:sz w:val="10"/>
                <w:szCs w:val="10"/>
                <w:color w:val="auto"/>
              </w:rPr>
            </w:pPr>
          </w:p>
        </w:tc>
      </w:tr>
      <w:tr>
        <w:trPr>
          <w:trHeight w:val="131"/>
        </w:trPr>
        <w:tc>
          <w:tcPr>
            <w:tcW w:w="472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Diluted earnings</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4.67</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40" w:type="dxa"/>
            <w:vAlign w:val="bottom"/>
            <w:shd w:val="clear" w:color="auto" w:fill="E5F1EE"/>
          </w:tcPr>
          <w:p>
            <w:pPr>
              <w:spacing w:after="0"/>
              <w:rPr>
                <w:sz w:val="11"/>
                <w:szCs w:val="11"/>
                <w:color w:val="auto"/>
              </w:rPr>
            </w:pPr>
          </w:p>
        </w:tc>
        <w:tc>
          <w:tcPr>
            <w:tcW w:w="5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3.86</w:t>
            </w:r>
          </w:p>
        </w:tc>
        <w:tc>
          <w:tcPr>
            <w:tcW w:w="20" w:type="dxa"/>
            <w:vAlign w:val="bottom"/>
            <w:shd w:val="clear" w:color="auto" w:fill="E5F1EE"/>
          </w:tcPr>
          <w:p>
            <w:pPr>
              <w:spacing w:after="0"/>
              <w:rPr>
                <w:sz w:val="11"/>
                <w:szCs w:val="11"/>
                <w:color w:val="auto"/>
              </w:rPr>
            </w:pPr>
          </w:p>
        </w:tc>
        <w:tc>
          <w:tcPr>
            <w:tcW w:w="100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21</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17.00</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14.64</w:t>
            </w:r>
          </w:p>
        </w:tc>
        <w:tc>
          <w:tcPr>
            <w:tcW w:w="20" w:type="dxa"/>
            <w:vAlign w:val="bottom"/>
            <w:shd w:val="clear" w:color="auto" w:fill="E5F1EE"/>
          </w:tcPr>
          <w:p>
            <w:pPr>
              <w:spacing w:after="0"/>
              <w:rPr>
                <w:sz w:val="11"/>
                <w:szCs w:val="11"/>
                <w:color w:val="auto"/>
              </w:rPr>
            </w:pP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16</w:t>
            </w:r>
          </w:p>
        </w:tc>
        <w:tc>
          <w:tcPr>
            <w:tcW w:w="20" w:type="dxa"/>
            <w:vAlign w:val="bottom"/>
            <w:shd w:val="clear" w:color="auto" w:fill="E5F1EE"/>
          </w:tcPr>
          <w:p>
            <w:pPr>
              <w:spacing w:after="0"/>
              <w:rPr>
                <w:sz w:val="11"/>
                <w:szCs w:val="11"/>
                <w:color w:val="auto"/>
              </w:rPr>
            </w:pPr>
          </w:p>
        </w:tc>
      </w:tr>
      <w:tr>
        <w:trPr>
          <w:trHeight w:val="121"/>
        </w:trPr>
        <w:tc>
          <w:tcPr>
            <w:tcW w:w="472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Cash dividends</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1.35</w:t>
            </w:r>
          </w:p>
        </w:tc>
        <w:tc>
          <w:tcPr>
            <w:tcW w:w="20" w:type="dxa"/>
            <w:vAlign w:val="bottom"/>
          </w:tcPr>
          <w:p>
            <w:pPr>
              <w:spacing w:after="0"/>
              <w:rPr>
                <w:sz w:val="10"/>
                <w:szCs w:val="1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11</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5.70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5.35</w:t>
            </w:r>
          </w:p>
        </w:tc>
        <w:tc>
          <w:tcPr>
            <w:tcW w:w="20" w:type="dxa"/>
            <w:vAlign w:val="bottom"/>
          </w:tcPr>
          <w:p>
            <w:pPr>
              <w:spacing w:after="0"/>
              <w:rPr>
                <w:sz w:val="10"/>
                <w:szCs w:val="1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20" w:type="dxa"/>
            <w:vAlign w:val="bottom"/>
          </w:tcPr>
          <w:p>
            <w:pPr>
              <w:spacing w:after="0"/>
              <w:rPr>
                <w:sz w:val="10"/>
                <w:szCs w:val="10"/>
                <w:color w:val="auto"/>
              </w:rPr>
            </w:pPr>
          </w:p>
        </w:tc>
      </w:tr>
      <w:tr>
        <w:trPr>
          <w:trHeight w:val="131"/>
        </w:trPr>
        <w:tc>
          <w:tcPr>
            <w:tcW w:w="47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Common shares outstanding:</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40" w:type="dxa"/>
            <w:vAlign w:val="bottom"/>
            <w:shd w:val="clear" w:color="auto" w:fill="E5F1EE"/>
          </w:tcPr>
          <w:p>
            <w:pPr>
              <w:spacing w:after="0"/>
              <w:rPr>
                <w:sz w:val="11"/>
                <w:szCs w:val="11"/>
                <w:color w:val="auto"/>
              </w:rPr>
            </w:pPr>
          </w:p>
        </w:tc>
        <w:tc>
          <w:tcPr>
            <w:tcW w:w="58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8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r>
      <w:tr>
        <w:trPr>
          <w:trHeight w:val="121"/>
        </w:trPr>
        <w:tc>
          <w:tcPr>
            <w:tcW w:w="472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Average - diluted (1)</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153,712</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166,969</w:t>
            </w:r>
          </w:p>
        </w:tc>
        <w:tc>
          <w:tcPr>
            <w:tcW w:w="20" w:type="dxa"/>
            <w:vAlign w:val="bottom"/>
          </w:tcPr>
          <w:p>
            <w:pPr>
              <w:spacing w:after="0"/>
              <w:rPr>
                <w:sz w:val="10"/>
                <w:szCs w:val="1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158,791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167,319</w:t>
            </w:r>
          </w:p>
        </w:tc>
        <w:tc>
          <w:tcPr>
            <w:tcW w:w="20" w:type="dxa"/>
            <w:vAlign w:val="bottom"/>
          </w:tcPr>
          <w:p>
            <w:pPr>
              <w:spacing w:after="0"/>
              <w:rPr>
                <w:sz w:val="10"/>
                <w:szCs w:val="1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20" w:type="dxa"/>
            <w:vAlign w:val="bottom"/>
          </w:tcPr>
          <w:p>
            <w:pPr>
              <w:spacing w:after="0"/>
              <w:rPr>
                <w:sz w:val="10"/>
                <w:szCs w:val="10"/>
                <w:color w:val="auto"/>
              </w:rPr>
            </w:pPr>
          </w:p>
        </w:tc>
      </w:tr>
      <w:tr>
        <w:trPr>
          <w:trHeight w:val="131"/>
        </w:trPr>
        <w:tc>
          <w:tcPr>
            <w:tcW w:w="472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Period end (2)</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151,840</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40" w:type="dxa"/>
            <w:vAlign w:val="bottom"/>
            <w:shd w:val="clear" w:color="auto" w:fill="E5F1EE"/>
          </w:tcPr>
          <w:p>
            <w:pPr>
              <w:spacing w:after="0"/>
              <w:rPr>
                <w:sz w:val="11"/>
                <w:szCs w:val="11"/>
                <w:color w:val="auto"/>
              </w:rPr>
            </w:pPr>
          </w:p>
        </w:tc>
        <w:tc>
          <w:tcPr>
            <w:tcW w:w="5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165,526</w:t>
            </w:r>
          </w:p>
        </w:tc>
        <w:tc>
          <w:tcPr>
            <w:tcW w:w="20" w:type="dxa"/>
            <w:vAlign w:val="bottom"/>
            <w:shd w:val="clear" w:color="auto" w:fill="E5F1EE"/>
          </w:tcPr>
          <w:p>
            <w:pPr>
              <w:spacing w:after="0"/>
              <w:rPr>
                <w:sz w:val="11"/>
                <w:szCs w:val="11"/>
                <w:color w:val="auto"/>
              </w:rPr>
            </w:pPr>
          </w:p>
        </w:tc>
        <w:tc>
          <w:tcPr>
            <w:tcW w:w="100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151,840</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165,526</w:t>
            </w:r>
          </w:p>
        </w:tc>
        <w:tc>
          <w:tcPr>
            <w:tcW w:w="20" w:type="dxa"/>
            <w:vAlign w:val="bottom"/>
            <w:shd w:val="clear" w:color="auto" w:fill="E5F1EE"/>
          </w:tcPr>
          <w:p>
            <w:pPr>
              <w:spacing w:after="0"/>
              <w:rPr>
                <w:sz w:val="11"/>
                <w:szCs w:val="11"/>
                <w:color w:val="auto"/>
              </w:rPr>
            </w:pP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20" w:type="dxa"/>
            <w:vAlign w:val="bottom"/>
            <w:shd w:val="clear" w:color="auto" w:fill="E5F1EE"/>
          </w:tcPr>
          <w:p>
            <w:pPr>
              <w:spacing w:after="0"/>
              <w:rPr>
                <w:sz w:val="11"/>
                <w:szCs w:val="11"/>
                <w:color w:val="auto"/>
              </w:rPr>
            </w:pPr>
          </w:p>
        </w:tc>
      </w:tr>
      <w:tr>
        <w:trPr>
          <w:trHeight w:val="116"/>
        </w:trPr>
        <w:tc>
          <w:tcPr>
            <w:tcW w:w="47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Return on (annualized):</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6"/>
        </w:trPr>
        <w:tc>
          <w:tcPr>
            <w:tcW w:w="4720" w:type="dxa"/>
            <w:vAlign w:val="bottom"/>
            <w:tcBorders>
              <w:bottom w:val="single" w:sz="8" w:color="E5F1EE"/>
            </w:tcBorders>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Average total assets</w:t>
            </w:r>
          </w:p>
        </w:tc>
        <w:tc>
          <w:tcPr>
            <w:tcW w:w="220" w:type="dxa"/>
            <w:vAlign w:val="bottom"/>
            <w:tcBorders>
              <w:bottom w:val="single" w:sz="8" w:color="E5F1EE"/>
            </w:tcBorders>
            <w:shd w:val="clear" w:color="auto" w:fill="E5F1EE"/>
          </w:tcPr>
          <w:p>
            <w:pPr>
              <w:spacing w:after="0"/>
              <w:rPr>
                <w:sz w:val="11"/>
                <w:szCs w:val="11"/>
                <w:color w:val="auto"/>
              </w:rPr>
            </w:pPr>
          </w:p>
        </w:tc>
        <w:tc>
          <w:tcPr>
            <w:tcW w:w="7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1.41 %</w:t>
            </w:r>
          </w:p>
        </w:tc>
        <w:tc>
          <w:tcPr>
            <w:tcW w:w="20" w:type="dxa"/>
            <w:vAlign w:val="bottom"/>
            <w:shd w:val="clear" w:color="auto" w:fill="E5F1EE"/>
          </w:tcPr>
          <w:p>
            <w:pPr>
              <w:spacing w:after="0"/>
              <w:rPr>
                <w:sz w:val="11"/>
                <w:szCs w:val="11"/>
                <w:color w:val="auto"/>
              </w:rPr>
            </w:pPr>
          </w:p>
        </w:tc>
        <w:tc>
          <w:tcPr>
            <w:tcW w:w="220" w:type="dxa"/>
            <w:vAlign w:val="bottom"/>
            <w:tcBorders>
              <w:bottom w:val="single" w:sz="8" w:color="E5F1EE"/>
            </w:tcBorders>
            <w:shd w:val="clear" w:color="auto" w:fill="E5F1EE"/>
          </w:tcPr>
          <w:p>
            <w:pPr>
              <w:spacing w:after="0"/>
              <w:rPr>
                <w:sz w:val="11"/>
                <w:szCs w:val="11"/>
                <w:color w:val="auto"/>
              </w:rPr>
            </w:pPr>
          </w:p>
        </w:tc>
        <w:tc>
          <w:tcPr>
            <w:tcW w:w="340" w:type="dxa"/>
            <w:vAlign w:val="bottom"/>
            <w:tcBorders>
              <w:bottom w:val="single" w:sz="8" w:color="E5F1EE"/>
            </w:tcBorders>
            <w:shd w:val="clear" w:color="auto" w:fill="E5F1EE"/>
          </w:tcPr>
          <w:p>
            <w:pPr>
              <w:spacing w:after="0"/>
              <w:rPr>
                <w:sz w:val="11"/>
                <w:szCs w:val="11"/>
                <w:color w:val="auto"/>
              </w:rPr>
            </w:pPr>
          </w:p>
        </w:tc>
        <w:tc>
          <w:tcPr>
            <w:tcW w:w="58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1.28 %</w:t>
            </w:r>
          </w:p>
        </w:tc>
        <w:tc>
          <w:tcPr>
            <w:tcW w:w="20" w:type="dxa"/>
            <w:vAlign w:val="bottom"/>
            <w:shd w:val="clear" w:color="auto" w:fill="E5F1EE"/>
          </w:tcPr>
          <w:p>
            <w:pPr>
              <w:spacing w:after="0"/>
              <w:rPr>
                <w:sz w:val="11"/>
                <w:szCs w:val="11"/>
                <w:color w:val="auto"/>
              </w:rPr>
            </w:pPr>
          </w:p>
        </w:tc>
        <w:tc>
          <w:tcPr>
            <w:tcW w:w="200" w:type="dxa"/>
            <w:vAlign w:val="bottom"/>
            <w:tcBorders>
              <w:bottom w:val="single" w:sz="8" w:color="E5F1EE"/>
            </w:tcBorders>
            <w:shd w:val="clear" w:color="auto" w:fill="E5F1EE"/>
          </w:tcPr>
          <w:p>
            <w:pPr>
              <w:spacing w:after="0"/>
              <w:rPr>
                <w:sz w:val="11"/>
                <w:szCs w:val="11"/>
                <w:color w:val="auto"/>
              </w:rPr>
            </w:pPr>
          </w:p>
        </w:tc>
        <w:tc>
          <w:tcPr>
            <w:tcW w:w="800" w:type="dxa"/>
            <w:vAlign w:val="bottom"/>
            <w:tcBorders>
              <w:bottom w:val="single" w:sz="8" w:color="E5F1EE"/>
            </w:tcBorders>
            <w:shd w:val="clear" w:color="auto" w:fill="E5F1EE"/>
          </w:tcPr>
          <w:p>
            <w:pPr>
              <w:spacing w:after="0"/>
              <w:rPr>
                <w:sz w:val="11"/>
                <w:szCs w:val="11"/>
                <w:color w:val="auto"/>
              </w:rPr>
            </w:pPr>
          </w:p>
        </w:tc>
        <w:tc>
          <w:tcPr>
            <w:tcW w:w="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E5F1EE"/>
            </w:tcBorders>
            <w:shd w:val="clear" w:color="auto" w:fill="E5F1EE"/>
          </w:tcPr>
          <w:p>
            <w:pPr>
              <w:spacing w:after="0"/>
              <w:rPr>
                <w:sz w:val="11"/>
                <w:szCs w:val="11"/>
                <w:color w:val="auto"/>
              </w:rPr>
            </w:pPr>
          </w:p>
        </w:tc>
        <w:tc>
          <w:tcPr>
            <w:tcW w:w="7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1.35 %</w:t>
            </w:r>
          </w:p>
        </w:tc>
        <w:tc>
          <w:tcPr>
            <w:tcW w:w="20" w:type="dxa"/>
            <w:vAlign w:val="bottom"/>
            <w:shd w:val="clear" w:color="auto" w:fill="E5F1EE"/>
          </w:tcPr>
          <w:p>
            <w:pPr>
              <w:spacing w:after="0"/>
              <w:rPr>
                <w:sz w:val="11"/>
                <w:szCs w:val="11"/>
                <w:color w:val="auto"/>
              </w:rPr>
            </w:pPr>
          </w:p>
        </w:tc>
        <w:tc>
          <w:tcPr>
            <w:tcW w:w="200" w:type="dxa"/>
            <w:vAlign w:val="bottom"/>
            <w:tcBorders>
              <w:bottom w:val="single" w:sz="8" w:color="E5F1EE"/>
            </w:tcBorders>
            <w:shd w:val="clear" w:color="auto" w:fill="E5F1EE"/>
          </w:tcPr>
          <w:p>
            <w:pPr>
              <w:spacing w:after="0"/>
              <w:rPr>
                <w:sz w:val="11"/>
                <w:szCs w:val="11"/>
                <w:color w:val="auto"/>
              </w:rPr>
            </w:pPr>
          </w:p>
        </w:tc>
        <w:tc>
          <w:tcPr>
            <w:tcW w:w="260" w:type="dxa"/>
            <w:vAlign w:val="bottom"/>
            <w:tcBorders>
              <w:bottom w:val="single" w:sz="8" w:color="E5F1EE"/>
            </w:tcBorders>
            <w:shd w:val="clear" w:color="auto" w:fill="E5F1EE"/>
          </w:tcPr>
          <w:p>
            <w:pPr>
              <w:spacing w:after="0"/>
              <w:rPr>
                <w:sz w:val="11"/>
                <w:szCs w:val="11"/>
                <w:color w:val="auto"/>
              </w:rPr>
            </w:pPr>
          </w:p>
        </w:tc>
        <w:tc>
          <w:tcPr>
            <w:tcW w:w="66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1.23 %</w:t>
            </w:r>
          </w:p>
        </w:tc>
        <w:tc>
          <w:tcPr>
            <w:tcW w:w="20" w:type="dxa"/>
            <w:vAlign w:val="bottom"/>
            <w:shd w:val="clear" w:color="auto" w:fill="E5F1EE"/>
          </w:tcPr>
          <w:p>
            <w:pPr>
              <w:spacing w:after="0"/>
              <w:rPr>
                <w:sz w:val="11"/>
                <w:szCs w:val="11"/>
                <w:color w:val="auto"/>
              </w:rPr>
            </w:pPr>
          </w:p>
        </w:tc>
        <w:tc>
          <w:tcPr>
            <w:tcW w:w="220" w:type="dxa"/>
            <w:vAlign w:val="bottom"/>
            <w:tcBorders>
              <w:bottom w:val="single" w:sz="8" w:color="E5F1EE"/>
            </w:tcBorders>
            <w:shd w:val="clear" w:color="auto" w:fill="E5F1EE"/>
          </w:tcPr>
          <w:p>
            <w:pPr>
              <w:spacing w:after="0"/>
              <w:rPr>
                <w:sz w:val="11"/>
                <w:szCs w:val="11"/>
                <w:color w:val="auto"/>
              </w:rPr>
            </w:pPr>
          </w:p>
        </w:tc>
        <w:tc>
          <w:tcPr>
            <w:tcW w:w="920" w:type="dxa"/>
            <w:vAlign w:val="bottom"/>
            <w:tcBorders>
              <w:bottom w:val="single" w:sz="8" w:color="E5F1EE"/>
            </w:tcBorders>
            <w:shd w:val="clear" w:color="auto" w:fill="E5F1EE"/>
          </w:tcPr>
          <w:p>
            <w:pPr>
              <w:spacing w:after="0"/>
              <w:rPr>
                <w:sz w:val="11"/>
                <w:szCs w:val="11"/>
                <w:color w:val="auto"/>
              </w:rPr>
            </w:pPr>
          </w:p>
        </w:tc>
        <w:tc>
          <w:tcPr>
            <w:tcW w:w="20" w:type="dxa"/>
            <w:vAlign w:val="bottom"/>
            <w:tcBorders>
              <w:bottom w:val="single" w:sz="8" w:color="E5F1EE"/>
            </w:tcBorders>
            <w:shd w:val="clear" w:color="auto" w:fill="E5F1EE"/>
          </w:tcPr>
          <w:p>
            <w:pPr>
              <w:spacing w:after="0"/>
              <w:rPr>
                <w:sz w:val="11"/>
                <w:szCs w:val="11"/>
                <w:color w:val="auto"/>
              </w:rPr>
            </w:pPr>
          </w:p>
        </w:tc>
      </w:tr>
      <w:tr>
        <w:trPr>
          <w:trHeight w:val="101"/>
        </w:trPr>
        <w:tc>
          <w:tcPr>
            <w:tcW w:w="4720" w:type="dxa"/>
            <w:vAlign w:val="bottom"/>
            <w:gridSpan w:val="4"/>
          </w:tcPr>
          <w:p>
            <w:pPr>
              <w:ind w:left="140"/>
              <w:spacing w:after="0" w:line="101" w:lineRule="exact"/>
              <w:rPr>
                <w:sz w:val="20"/>
                <w:szCs w:val="20"/>
                <w:color w:val="auto"/>
              </w:rPr>
            </w:pPr>
            <w:r>
              <w:rPr>
                <w:rFonts w:ascii="Times New Roman" w:cs="Times New Roman" w:eastAsia="Times New Roman" w:hAnsi="Times New Roman"/>
                <w:sz w:val="9"/>
                <w:szCs w:val="9"/>
                <w:color w:val="auto"/>
              </w:rPr>
              <w:t>Average common shareholders' equity</w:t>
            </w:r>
          </w:p>
        </w:tc>
        <w:tc>
          <w:tcPr>
            <w:tcW w:w="220" w:type="dxa"/>
            <w:vAlign w:val="bottom"/>
          </w:tcPr>
          <w:p>
            <w:pPr>
              <w:spacing w:after="0"/>
              <w:rPr>
                <w:sz w:val="8"/>
                <w:szCs w:val="8"/>
                <w:color w:val="auto"/>
              </w:rPr>
            </w:pPr>
          </w:p>
        </w:tc>
        <w:tc>
          <w:tcPr>
            <w:tcW w:w="7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10.87</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9.75</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10.27</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9.54</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31"/>
        </w:trPr>
        <w:tc>
          <w:tcPr>
            <w:tcW w:w="47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Taxable-equivalent net interest income</w:t>
            </w:r>
          </w:p>
        </w:tc>
        <w:tc>
          <w:tcPr>
            <w:tcW w:w="220" w:type="dxa"/>
            <w:vAlign w:val="bottom"/>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1,790</w:t>
            </w:r>
          </w:p>
        </w:tc>
        <w:tc>
          <w:tcPr>
            <w:tcW w:w="20" w:type="dxa"/>
            <w:vAlign w:val="bottom"/>
            <w:shd w:val="clear" w:color="auto" w:fill="E5F1EE"/>
          </w:tcPr>
          <w:p>
            <w:pPr>
              <w:spacing w:after="0"/>
              <w:rPr>
                <w:sz w:val="11"/>
                <w:szCs w:val="11"/>
                <w:color w:val="auto"/>
              </w:rPr>
            </w:pPr>
          </w:p>
        </w:tc>
        <w:tc>
          <w:tcPr>
            <w:tcW w:w="560" w:type="dxa"/>
            <w:vAlign w:val="bottom"/>
            <w:gridSpan w:val="2"/>
            <w:shd w:val="clear" w:color="auto" w:fill="E5F1EE"/>
          </w:tcPr>
          <w:p>
            <w:pPr>
              <w:jc w:val="right"/>
              <w:ind w:right="23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1,740</w:t>
            </w:r>
          </w:p>
        </w:tc>
        <w:tc>
          <w:tcPr>
            <w:tcW w:w="20" w:type="dxa"/>
            <w:vAlign w:val="bottom"/>
            <w:shd w:val="clear" w:color="auto" w:fill="E5F1EE"/>
          </w:tcPr>
          <w:p>
            <w:pPr>
              <w:spacing w:after="0"/>
              <w:rPr>
                <w:sz w:val="11"/>
                <w:szCs w:val="11"/>
                <w:color w:val="auto"/>
              </w:rPr>
            </w:pPr>
          </w:p>
        </w:tc>
        <w:tc>
          <w:tcPr>
            <w:tcW w:w="100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20" w:type="dxa"/>
            <w:vAlign w:val="bottom"/>
            <w:shd w:val="clear" w:color="auto" w:fill="E5F1EE"/>
          </w:tcPr>
          <w:p>
            <w:pPr>
              <w:spacing w:after="0"/>
              <w:rPr>
                <w:sz w:val="11"/>
                <w:szCs w:val="11"/>
                <w:color w:val="auto"/>
              </w:rPr>
            </w:pPr>
          </w:p>
        </w:tc>
        <w:tc>
          <w:tcPr>
            <w:tcW w:w="440" w:type="dxa"/>
            <w:vAlign w:val="bottom"/>
            <w:gridSpan w:val="2"/>
            <w:shd w:val="clear" w:color="auto" w:fill="E5F1EE"/>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6,992</w:t>
            </w:r>
          </w:p>
        </w:tc>
        <w:tc>
          <w:tcPr>
            <w:tcW w:w="20" w:type="dxa"/>
            <w:vAlign w:val="bottom"/>
            <w:shd w:val="clear" w:color="auto" w:fill="E5F1EE"/>
          </w:tcPr>
          <w:p>
            <w:pPr>
              <w:spacing w:after="0"/>
              <w:rPr>
                <w:sz w:val="11"/>
                <w:szCs w:val="11"/>
                <w:color w:val="auto"/>
              </w:rPr>
            </w:pPr>
          </w:p>
        </w:tc>
        <w:tc>
          <w:tcPr>
            <w:tcW w:w="460" w:type="dxa"/>
            <w:vAlign w:val="bottom"/>
            <w:gridSpan w:val="2"/>
            <w:shd w:val="clear" w:color="auto" w:fill="E5F1EE"/>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6,902</w:t>
            </w:r>
          </w:p>
        </w:tc>
        <w:tc>
          <w:tcPr>
            <w:tcW w:w="20" w:type="dxa"/>
            <w:vAlign w:val="bottom"/>
            <w:shd w:val="clear" w:color="auto" w:fill="E5F1EE"/>
          </w:tcPr>
          <w:p>
            <w:pPr>
              <w:spacing w:after="0"/>
              <w:rPr>
                <w:sz w:val="11"/>
                <w:szCs w:val="11"/>
                <w:color w:val="auto"/>
              </w:rPr>
            </w:pP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0" w:type="dxa"/>
            <w:vAlign w:val="bottom"/>
            <w:shd w:val="clear" w:color="auto" w:fill="E5F1EE"/>
          </w:tcPr>
          <w:p>
            <w:pPr>
              <w:spacing w:after="0"/>
              <w:rPr>
                <w:sz w:val="11"/>
                <w:szCs w:val="11"/>
                <w:color w:val="auto"/>
              </w:rPr>
            </w:pPr>
          </w:p>
        </w:tc>
      </w:tr>
      <w:tr>
        <w:trPr>
          <w:trHeight w:val="121"/>
        </w:trPr>
        <w:tc>
          <w:tcPr>
            <w:tcW w:w="47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Yield on average earning assets</w:t>
            </w:r>
          </w:p>
        </w:tc>
        <w:tc>
          <w:tcPr>
            <w:tcW w:w="220" w:type="dxa"/>
            <w:vAlign w:val="bottom"/>
          </w:tcPr>
          <w:p>
            <w:pPr>
              <w:spacing w:after="0"/>
              <w:rPr>
                <w:sz w:val="10"/>
                <w:szCs w:val="1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5.46 %</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5.60 %</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5.52 %</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5.74 %</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47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Cost of interest-bearing liabilities</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2.51</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40" w:type="dxa"/>
            <w:vAlign w:val="bottom"/>
            <w:shd w:val="clear" w:color="auto" w:fill="E5F1EE"/>
          </w:tcPr>
          <w:p>
            <w:pPr>
              <w:spacing w:after="0"/>
              <w:rPr>
                <w:sz w:val="11"/>
                <w:szCs w:val="11"/>
                <w:color w:val="auto"/>
              </w:rPr>
            </w:pPr>
          </w:p>
        </w:tc>
        <w:tc>
          <w:tcPr>
            <w:tcW w:w="5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2.94</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8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2.66</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3.17</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r>
      <w:tr>
        <w:trPr>
          <w:trHeight w:val="121"/>
        </w:trPr>
        <w:tc>
          <w:tcPr>
            <w:tcW w:w="47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Net interest spread</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2.95</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2.66</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2.86</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2.57</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47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Contribution of interest-free funds</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.74</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40" w:type="dxa"/>
            <w:vAlign w:val="bottom"/>
            <w:shd w:val="clear" w:color="auto" w:fill="E5F1EE"/>
          </w:tcPr>
          <w:p>
            <w:pPr>
              <w:spacing w:after="0"/>
              <w:rPr>
                <w:sz w:val="11"/>
                <w:szCs w:val="11"/>
                <w:color w:val="auto"/>
              </w:rPr>
            </w:pPr>
          </w:p>
        </w:tc>
        <w:tc>
          <w:tcPr>
            <w:tcW w:w="5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.92</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8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.81</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1.01</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r>
      <w:tr>
        <w:trPr>
          <w:trHeight w:val="121"/>
        </w:trPr>
        <w:tc>
          <w:tcPr>
            <w:tcW w:w="47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Net interest margin</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3.69</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3.58</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47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Net charge-offs to average total net loans (annualized)</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.54</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40" w:type="dxa"/>
            <w:vAlign w:val="bottom"/>
            <w:shd w:val="clear" w:color="auto" w:fill="E5F1EE"/>
          </w:tcPr>
          <w:p>
            <w:pPr>
              <w:spacing w:after="0"/>
              <w:rPr>
                <w:sz w:val="11"/>
                <w:szCs w:val="11"/>
                <w:color w:val="auto"/>
              </w:rPr>
            </w:pPr>
          </w:p>
        </w:tc>
        <w:tc>
          <w:tcPr>
            <w:tcW w:w="5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.47</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8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.41</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.41</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r>
      <w:tr>
        <w:trPr>
          <w:trHeight w:val="106"/>
        </w:trPr>
        <w:tc>
          <w:tcPr>
            <w:tcW w:w="940" w:type="dxa"/>
            <w:vAlign w:val="bottom"/>
            <w:tcBorders>
              <w:bottom w:val="single" w:sz="8" w:color="auto"/>
            </w:tcBorders>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w w:val="98"/>
              </w:rPr>
              <w:t>Net operating results (3)</w:t>
            </w:r>
          </w:p>
        </w:tc>
        <w:tc>
          <w:tcPr>
            <w:tcW w:w="3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6"/>
        </w:trPr>
        <w:tc>
          <w:tcPr>
            <w:tcW w:w="47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Net operating income</w:t>
            </w:r>
          </w:p>
        </w:tc>
        <w:tc>
          <w:tcPr>
            <w:tcW w:w="220" w:type="dxa"/>
            <w:vAlign w:val="bottom"/>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767</w:t>
            </w:r>
          </w:p>
        </w:tc>
        <w:tc>
          <w:tcPr>
            <w:tcW w:w="20" w:type="dxa"/>
            <w:vAlign w:val="bottom"/>
            <w:shd w:val="clear" w:color="auto" w:fill="E5F1EE"/>
          </w:tcPr>
          <w:p>
            <w:pPr>
              <w:spacing w:after="0"/>
              <w:rPr>
                <w:sz w:val="10"/>
                <w:szCs w:val="10"/>
                <w:color w:val="auto"/>
              </w:rPr>
            </w:pPr>
          </w:p>
        </w:tc>
        <w:tc>
          <w:tcPr>
            <w:tcW w:w="560" w:type="dxa"/>
            <w:vAlign w:val="bottom"/>
            <w:gridSpan w:val="2"/>
            <w:shd w:val="clear" w:color="auto" w:fill="E5F1EE"/>
          </w:tcPr>
          <w:p>
            <w:pPr>
              <w:jc w:val="right"/>
              <w:ind w:right="23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691</w:t>
            </w:r>
          </w:p>
        </w:tc>
        <w:tc>
          <w:tcPr>
            <w:tcW w:w="20" w:type="dxa"/>
            <w:vAlign w:val="bottom"/>
            <w:shd w:val="clear" w:color="auto" w:fill="E5F1EE"/>
          </w:tcPr>
          <w:p>
            <w:pPr>
              <w:spacing w:after="0"/>
              <w:rPr>
                <w:sz w:val="10"/>
                <w:szCs w:val="10"/>
                <w:color w:val="auto"/>
              </w:rPr>
            </w:pPr>
          </w:p>
        </w:tc>
        <w:tc>
          <w:tcPr>
            <w:tcW w:w="100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11</w:t>
            </w:r>
          </w:p>
        </w:tc>
        <w:tc>
          <w:tcPr>
            <w:tcW w:w="20" w:type="dxa"/>
            <w:vAlign w:val="bottom"/>
            <w:shd w:val="clear" w:color="auto" w:fill="E5F1EE"/>
          </w:tcPr>
          <w:p>
            <w:pPr>
              <w:spacing w:after="0"/>
              <w:rPr>
                <w:sz w:val="10"/>
                <w:szCs w:val="10"/>
                <w:color w:val="auto"/>
              </w:rPr>
            </w:pPr>
          </w:p>
        </w:tc>
        <w:tc>
          <w:tcPr>
            <w:tcW w:w="440" w:type="dxa"/>
            <w:vAlign w:val="bottom"/>
            <w:gridSpan w:val="2"/>
            <w:shd w:val="clear" w:color="auto" w:fill="E5F1EE"/>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2,883</w:t>
            </w:r>
          </w:p>
        </w:tc>
        <w:tc>
          <w:tcPr>
            <w:tcW w:w="20" w:type="dxa"/>
            <w:vAlign w:val="bottom"/>
            <w:shd w:val="clear" w:color="auto" w:fill="E5F1EE"/>
          </w:tcPr>
          <w:p>
            <w:pPr>
              <w:spacing w:after="0"/>
              <w:rPr>
                <w:sz w:val="10"/>
                <w:szCs w:val="10"/>
                <w:color w:val="auto"/>
              </w:rPr>
            </w:pPr>
          </w:p>
        </w:tc>
        <w:tc>
          <w:tcPr>
            <w:tcW w:w="460" w:type="dxa"/>
            <w:vAlign w:val="bottom"/>
            <w:gridSpan w:val="2"/>
            <w:shd w:val="clear" w:color="auto" w:fill="E5F1EE"/>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2,630</w:t>
            </w:r>
          </w:p>
        </w:tc>
        <w:tc>
          <w:tcPr>
            <w:tcW w:w="20" w:type="dxa"/>
            <w:vAlign w:val="bottom"/>
            <w:shd w:val="clear" w:color="auto" w:fill="E5F1EE"/>
          </w:tcPr>
          <w:p>
            <w:pPr>
              <w:spacing w:after="0"/>
              <w:rPr>
                <w:sz w:val="10"/>
                <w:szCs w:val="10"/>
                <w:color w:val="auto"/>
              </w:rPr>
            </w:pP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20" w:type="dxa"/>
            <w:vAlign w:val="bottom"/>
            <w:shd w:val="clear" w:color="auto" w:fill="E5F1EE"/>
          </w:tcPr>
          <w:p>
            <w:pPr>
              <w:spacing w:after="0"/>
              <w:rPr>
                <w:sz w:val="10"/>
                <w:szCs w:val="10"/>
                <w:color w:val="auto"/>
              </w:rPr>
            </w:pPr>
          </w:p>
        </w:tc>
      </w:tr>
      <w:tr>
        <w:trPr>
          <w:trHeight w:val="121"/>
        </w:trPr>
        <w:tc>
          <w:tcPr>
            <w:tcW w:w="47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Diluted net operating earnings per common share</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4.72</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3.92</w:t>
            </w:r>
          </w:p>
        </w:tc>
        <w:tc>
          <w:tcPr>
            <w:tcW w:w="20" w:type="dxa"/>
            <w:vAlign w:val="bottom"/>
          </w:tcPr>
          <w:p>
            <w:pPr>
              <w:spacing w:after="0"/>
              <w:rPr>
                <w:sz w:val="10"/>
                <w:szCs w:val="1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17.20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14.88</w:t>
            </w:r>
          </w:p>
        </w:tc>
        <w:tc>
          <w:tcPr>
            <w:tcW w:w="20" w:type="dxa"/>
            <w:vAlign w:val="bottom"/>
          </w:tcPr>
          <w:p>
            <w:pPr>
              <w:spacing w:after="0"/>
              <w:rPr>
                <w:sz w:val="10"/>
                <w:szCs w:val="1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16</w:t>
            </w:r>
          </w:p>
        </w:tc>
        <w:tc>
          <w:tcPr>
            <w:tcW w:w="20" w:type="dxa"/>
            <w:vAlign w:val="bottom"/>
          </w:tcPr>
          <w:p>
            <w:pPr>
              <w:spacing w:after="0"/>
              <w:rPr>
                <w:sz w:val="10"/>
                <w:szCs w:val="10"/>
                <w:color w:val="auto"/>
              </w:rPr>
            </w:pPr>
          </w:p>
        </w:tc>
      </w:tr>
      <w:tr>
        <w:trPr>
          <w:trHeight w:val="131"/>
        </w:trPr>
        <w:tc>
          <w:tcPr>
            <w:tcW w:w="47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Return on (annualized):</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40" w:type="dxa"/>
            <w:vAlign w:val="bottom"/>
            <w:shd w:val="clear" w:color="auto" w:fill="E5F1EE"/>
          </w:tcPr>
          <w:p>
            <w:pPr>
              <w:spacing w:after="0"/>
              <w:rPr>
                <w:sz w:val="11"/>
                <w:szCs w:val="11"/>
                <w:color w:val="auto"/>
              </w:rPr>
            </w:pPr>
          </w:p>
        </w:tc>
        <w:tc>
          <w:tcPr>
            <w:tcW w:w="58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8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r>
      <w:tr>
        <w:trPr>
          <w:trHeight w:val="121"/>
        </w:trPr>
        <w:tc>
          <w:tcPr>
            <w:tcW w:w="472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Average tangible assets</w:t>
            </w:r>
          </w:p>
        </w:tc>
        <w:tc>
          <w:tcPr>
            <w:tcW w:w="220" w:type="dxa"/>
            <w:vAlign w:val="bottom"/>
          </w:tcPr>
          <w:p>
            <w:pPr>
              <w:spacing w:after="0"/>
              <w:rPr>
                <w:sz w:val="10"/>
                <w:szCs w:val="1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1.49 %</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1.35 %</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1.43 %</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1.30 %</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472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Average tangible common equity</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16.24</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40" w:type="dxa"/>
            <w:vAlign w:val="bottom"/>
            <w:shd w:val="clear" w:color="auto" w:fill="E5F1EE"/>
          </w:tcPr>
          <w:p>
            <w:pPr>
              <w:spacing w:after="0"/>
              <w:rPr>
                <w:sz w:val="11"/>
                <w:szCs w:val="11"/>
                <w:color w:val="auto"/>
              </w:rPr>
            </w:pPr>
          </w:p>
        </w:tc>
        <w:tc>
          <w:tcPr>
            <w:tcW w:w="5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14.66</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8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15.36</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14.54</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r>
      <w:tr>
        <w:trPr>
          <w:trHeight w:val="121"/>
        </w:trPr>
        <w:tc>
          <w:tcPr>
            <w:tcW w:w="47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Efficiency ratio</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55.1</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56.9</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0"/>
        </w:trPr>
        <w:tc>
          <w:tcPr>
            <w:tcW w:w="500" w:type="dxa"/>
            <w:vAlign w:val="bottom"/>
            <w:shd w:val="clear" w:color="auto" w:fill="E5F1EE"/>
          </w:tcPr>
          <w:p>
            <w:pPr>
              <w:spacing w:after="0"/>
              <w:rPr>
                <w:sz w:val="12"/>
                <w:szCs w:val="12"/>
                <w:color w:val="auto"/>
              </w:rPr>
            </w:pPr>
          </w:p>
        </w:tc>
        <w:tc>
          <w:tcPr>
            <w:tcW w:w="400" w:type="dxa"/>
            <w:vAlign w:val="bottom"/>
            <w:shd w:val="clear" w:color="auto" w:fill="E5F1EE"/>
          </w:tcPr>
          <w:p>
            <w:pPr>
              <w:spacing w:after="0"/>
              <w:rPr>
                <w:sz w:val="12"/>
                <w:szCs w:val="12"/>
                <w:color w:val="auto"/>
              </w:rPr>
            </w:pPr>
          </w:p>
        </w:tc>
        <w:tc>
          <w:tcPr>
            <w:tcW w:w="40" w:type="dxa"/>
            <w:vAlign w:val="bottom"/>
            <w:shd w:val="clear" w:color="auto" w:fill="E5F1EE"/>
          </w:tcPr>
          <w:p>
            <w:pPr>
              <w:spacing w:after="0"/>
              <w:rPr>
                <w:sz w:val="12"/>
                <w:szCs w:val="12"/>
                <w:color w:val="auto"/>
              </w:rPr>
            </w:pPr>
          </w:p>
        </w:tc>
        <w:tc>
          <w:tcPr>
            <w:tcW w:w="378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940" w:type="dxa"/>
            <w:vAlign w:val="bottom"/>
            <w:gridSpan w:val="3"/>
            <w:shd w:val="clear" w:color="auto" w:fill="E5F1EE"/>
          </w:tcPr>
          <w:p>
            <w:pPr>
              <w:spacing w:after="0"/>
              <w:rPr>
                <w:sz w:val="12"/>
                <w:szCs w:val="12"/>
                <w:color w:val="auto"/>
              </w:rPr>
            </w:pPr>
          </w:p>
        </w:tc>
        <w:tc>
          <w:tcPr>
            <w:tcW w:w="340" w:type="dxa"/>
            <w:vAlign w:val="bottom"/>
            <w:shd w:val="clear" w:color="auto" w:fill="E5F1EE"/>
          </w:tcPr>
          <w:p>
            <w:pPr>
              <w:spacing w:after="0"/>
              <w:rPr>
                <w:sz w:val="12"/>
                <w:szCs w:val="12"/>
                <w:color w:val="auto"/>
              </w:rPr>
            </w:pPr>
          </w:p>
        </w:tc>
        <w:tc>
          <w:tcPr>
            <w:tcW w:w="580" w:type="dxa"/>
            <w:vAlign w:val="bottom"/>
            <w:shd w:val="clear" w:color="auto" w:fill="E5F1EE"/>
          </w:tcPr>
          <w:p>
            <w:pPr>
              <w:spacing w:after="0"/>
              <w:rPr>
                <w:sz w:val="12"/>
                <w:szCs w:val="12"/>
                <w:color w:val="auto"/>
              </w:rPr>
            </w:pPr>
          </w:p>
        </w:tc>
        <w:tc>
          <w:tcPr>
            <w:tcW w:w="20" w:type="dxa"/>
            <w:vAlign w:val="bottom"/>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800" w:type="dxa"/>
            <w:vAlign w:val="bottom"/>
            <w:shd w:val="clear" w:color="auto" w:fill="E5F1EE"/>
          </w:tcPr>
          <w:p>
            <w:pPr>
              <w:spacing w:after="0"/>
              <w:rPr>
                <w:sz w:val="12"/>
                <w:szCs w:val="12"/>
                <w:color w:val="auto"/>
              </w:rPr>
            </w:pPr>
          </w:p>
        </w:tc>
        <w:tc>
          <w:tcPr>
            <w:tcW w:w="2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700" w:type="dxa"/>
            <w:vAlign w:val="bottom"/>
            <w:shd w:val="clear" w:color="auto" w:fill="E5F1EE"/>
          </w:tcPr>
          <w:p>
            <w:pPr>
              <w:spacing w:after="0"/>
              <w:rPr>
                <w:sz w:val="12"/>
                <w:szCs w:val="12"/>
                <w:color w:val="auto"/>
              </w:rPr>
            </w:pPr>
          </w:p>
        </w:tc>
        <w:tc>
          <w:tcPr>
            <w:tcW w:w="20" w:type="dxa"/>
            <w:vAlign w:val="bottom"/>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260" w:type="dxa"/>
            <w:vAlign w:val="bottom"/>
            <w:shd w:val="clear" w:color="auto" w:fill="E5F1EE"/>
          </w:tcPr>
          <w:p>
            <w:pPr>
              <w:spacing w:after="0"/>
              <w:rPr>
                <w:sz w:val="12"/>
                <w:szCs w:val="12"/>
                <w:color w:val="auto"/>
              </w:rPr>
            </w:pPr>
          </w:p>
        </w:tc>
        <w:tc>
          <w:tcPr>
            <w:tcW w:w="660" w:type="dxa"/>
            <w:vAlign w:val="bottom"/>
            <w:shd w:val="clear" w:color="auto" w:fill="E5F1EE"/>
          </w:tcPr>
          <w:p>
            <w:pPr>
              <w:spacing w:after="0"/>
              <w:rPr>
                <w:sz w:val="12"/>
                <w:szCs w:val="12"/>
                <w:color w:val="auto"/>
              </w:rPr>
            </w:pPr>
          </w:p>
        </w:tc>
        <w:tc>
          <w:tcPr>
            <w:tcW w:w="2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920" w:type="dxa"/>
            <w:vAlign w:val="bottom"/>
            <w:shd w:val="clear" w:color="auto" w:fill="E5F1EE"/>
          </w:tcPr>
          <w:p>
            <w:pPr>
              <w:spacing w:after="0"/>
              <w:rPr>
                <w:sz w:val="12"/>
                <w:szCs w:val="12"/>
                <w:color w:val="auto"/>
              </w:rPr>
            </w:pPr>
          </w:p>
        </w:tc>
        <w:tc>
          <w:tcPr>
            <w:tcW w:w="20" w:type="dxa"/>
            <w:vAlign w:val="bottom"/>
            <w:shd w:val="clear" w:color="auto" w:fill="E5F1EE"/>
          </w:tcPr>
          <w:p>
            <w:pPr>
              <w:spacing w:after="0"/>
              <w:rPr>
                <w:sz w:val="12"/>
                <w:szCs w:val="12"/>
                <w:color w:val="auto"/>
              </w:rPr>
            </w:pPr>
          </w:p>
        </w:tc>
      </w:tr>
      <w:tr>
        <w:trPr>
          <w:trHeight w:val="121"/>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9"/>
                <w:szCs w:val="9"/>
                <w:color w:val="auto"/>
              </w:rPr>
              <w:t>At December 31,</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500" w:type="dxa"/>
            <w:vAlign w:val="bottom"/>
            <w:tcBorders>
              <w:bottom w:val="single" w:sz="8" w:color="auto"/>
            </w:tcBorders>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w w:val="97"/>
              </w:rPr>
              <w:t>Loan quality</w:t>
            </w:r>
          </w:p>
        </w:tc>
        <w:tc>
          <w:tcPr>
            <w:tcW w:w="4220" w:type="dxa"/>
            <w:vAlign w:val="bottom"/>
            <w:tcBorders>
              <w:bottom w:val="single" w:sz="8" w:color="E5F1EE"/>
            </w:tcBorders>
            <w:gridSpan w:val="3"/>
            <w:shd w:val="clear" w:color="auto" w:fill="E5F1EE"/>
          </w:tcPr>
          <w:p>
            <w:pPr>
              <w:spacing w:after="0"/>
              <w:rPr>
                <w:sz w:val="12"/>
                <w:szCs w:val="12"/>
                <w:color w:val="auto"/>
              </w:rPr>
            </w:pPr>
          </w:p>
        </w:tc>
        <w:tc>
          <w:tcPr>
            <w:tcW w:w="220" w:type="dxa"/>
            <w:vAlign w:val="bottom"/>
            <w:tcBorders>
              <w:bottom w:val="single" w:sz="8" w:color="E5F1EE"/>
            </w:tcBorders>
            <w:shd w:val="clear" w:color="auto" w:fill="E5F1EE"/>
          </w:tcPr>
          <w:p>
            <w:pPr>
              <w:spacing w:after="0"/>
              <w:rPr>
                <w:sz w:val="12"/>
                <w:szCs w:val="12"/>
                <w:color w:val="auto"/>
              </w:rPr>
            </w:pPr>
          </w:p>
        </w:tc>
        <w:tc>
          <w:tcPr>
            <w:tcW w:w="700" w:type="dxa"/>
            <w:vAlign w:val="bottom"/>
            <w:tcBorders>
              <w:bottom w:val="single" w:sz="8" w:color="E5F1EE"/>
            </w:tcBorders>
            <w:shd w:val="clear" w:color="auto" w:fill="E5F1EE"/>
          </w:tcPr>
          <w:p>
            <w:pPr>
              <w:jc w:val="right"/>
              <w:ind w:right="315"/>
              <w:spacing w:after="0"/>
              <w:rPr>
                <w:sz w:val="20"/>
                <w:szCs w:val="20"/>
                <w:color w:val="auto"/>
              </w:rPr>
            </w:pPr>
            <w:r>
              <w:rPr>
                <w:rFonts w:ascii="Times New Roman" w:cs="Times New Roman" w:eastAsia="Times New Roman" w:hAnsi="Times New Roman"/>
                <w:sz w:val="9"/>
                <w:szCs w:val="9"/>
                <w:color w:val="auto"/>
              </w:rPr>
              <w:t>2025</w:t>
            </w:r>
          </w:p>
        </w:tc>
        <w:tc>
          <w:tcPr>
            <w:tcW w:w="20" w:type="dxa"/>
            <w:vAlign w:val="bottom"/>
            <w:tcBorders>
              <w:bottom w:val="single" w:sz="8" w:color="E5F1EE"/>
            </w:tcBorders>
            <w:shd w:val="clear" w:color="auto" w:fill="E5F1EE"/>
          </w:tcPr>
          <w:p>
            <w:pPr>
              <w:spacing w:after="0"/>
              <w:rPr>
                <w:sz w:val="12"/>
                <w:szCs w:val="12"/>
                <w:color w:val="auto"/>
              </w:rPr>
            </w:pPr>
          </w:p>
        </w:tc>
        <w:tc>
          <w:tcPr>
            <w:tcW w:w="220" w:type="dxa"/>
            <w:vAlign w:val="bottom"/>
            <w:tcBorders>
              <w:bottom w:val="single" w:sz="8" w:color="E5F1EE"/>
            </w:tcBorders>
            <w:shd w:val="clear" w:color="auto" w:fill="E5F1EE"/>
          </w:tcPr>
          <w:p>
            <w:pPr>
              <w:spacing w:after="0"/>
              <w:rPr>
                <w:sz w:val="12"/>
                <w:szCs w:val="12"/>
                <w:color w:val="auto"/>
              </w:rPr>
            </w:pPr>
          </w:p>
        </w:tc>
        <w:tc>
          <w:tcPr>
            <w:tcW w:w="340" w:type="dxa"/>
            <w:vAlign w:val="bottom"/>
            <w:tcBorders>
              <w:bottom w:val="single" w:sz="8" w:color="E5F1EE"/>
            </w:tcBorders>
            <w:shd w:val="clear" w:color="auto" w:fill="E5F1EE"/>
          </w:tcPr>
          <w:p>
            <w:pPr>
              <w:spacing w:after="0"/>
              <w:rPr>
                <w:sz w:val="12"/>
                <w:szCs w:val="12"/>
                <w:color w:val="auto"/>
              </w:rPr>
            </w:pPr>
          </w:p>
        </w:tc>
        <w:tc>
          <w:tcPr>
            <w:tcW w:w="580" w:type="dxa"/>
            <w:vAlign w:val="bottom"/>
            <w:tcBorders>
              <w:bottom w:val="single" w:sz="8" w:color="E5F1EE"/>
            </w:tcBorders>
            <w:shd w:val="clear" w:color="auto" w:fill="E5F1EE"/>
          </w:tcPr>
          <w:p>
            <w:pPr>
              <w:jc w:val="right"/>
              <w:ind w:right="315"/>
              <w:spacing w:after="0"/>
              <w:rPr>
                <w:sz w:val="20"/>
                <w:szCs w:val="20"/>
                <w:color w:val="auto"/>
              </w:rPr>
            </w:pPr>
            <w:r>
              <w:rPr>
                <w:rFonts w:ascii="Times New Roman" w:cs="Times New Roman" w:eastAsia="Times New Roman" w:hAnsi="Times New Roman"/>
                <w:sz w:val="9"/>
                <w:szCs w:val="9"/>
                <w:color w:val="auto"/>
              </w:rPr>
              <w:t>2024</w:t>
            </w:r>
          </w:p>
        </w:tc>
        <w:tc>
          <w:tcPr>
            <w:tcW w:w="20" w:type="dxa"/>
            <w:vAlign w:val="bottom"/>
            <w:tcBorders>
              <w:bottom w:val="single" w:sz="8" w:color="E5F1EE"/>
            </w:tcBorders>
            <w:shd w:val="clear" w:color="auto" w:fill="E5F1EE"/>
          </w:tcPr>
          <w:p>
            <w:pPr>
              <w:spacing w:after="0"/>
              <w:rPr>
                <w:sz w:val="12"/>
                <w:szCs w:val="12"/>
                <w:color w:val="auto"/>
              </w:rPr>
            </w:pPr>
          </w:p>
        </w:tc>
        <w:tc>
          <w:tcPr>
            <w:tcW w:w="200" w:type="dxa"/>
            <w:vAlign w:val="bottom"/>
            <w:tcBorders>
              <w:bottom w:val="single" w:sz="8" w:color="E5F1EE"/>
            </w:tcBorders>
            <w:shd w:val="clear" w:color="auto" w:fill="E5F1EE"/>
          </w:tcPr>
          <w:p>
            <w:pPr>
              <w:spacing w:after="0"/>
              <w:rPr>
                <w:sz w:val="12"/>
                <w:szCs w:val="12"/>
                <w:color w:val="auto"/>
              </w:rPr>
            </w:pPr>
          </w:p>
        </w:tc>
        <w:tc>
          <w:tcPr>
            <w:tcW w:w="820" w:type="dxa"/>
            <w:vAlign w:val="bottom"/>
            <w:tcBorders>
              <w:bottom w:val="single" w:sz="8" w:color="E5F1EE"/>
            </w:tcBorders>
            <w:gridSpan w:val="2"/>
            <w:shd w:val="clear" w:color="auto" w:fill="E5F1EE"/>
          </w:tcPr>
          <w:p>
            <w:pPr>
              <w:jc w:val="right"/>
              <w:ind w:right="260"/>
              <w:spacing w:after="0"/>
              <w:rPr>
                <w:sz w:val="20"/>
                <w:szCs w:val="20"/>
                <w:color w:val="auto"/>
              </w:rPr>
            </w:pPr>
            <w:r>
              <w:rPr>
                <w:rFonts w:ascii="Times New Roman" w:cs="Times New Roman" w:eastAsia="Times New Roman" w:hAnsi="Times New Roman"/>
                <w:sz w:val="9"/>
                <w:szCs w:val="9"/>
                <w:color w:val="auto"/>
              </w:rPr>
              <w:t>Change</w:t>
            </w:r>
          </w:p>
        </w:tc>
        <w:tc>
          <w:tcPr>
            <w:tcW w:w="220" w:type="dxa"/>
            <w:vAlign w:val="bottom"/>
            <w:tcBorders>
              <w:bottom w:val="single" w:sz="8" w:color="E5F1EE"/>
            </w:tcBorders>
            <w:shd w:val="clear" w:color="auto" w:fill="E5F1EE"/>
          </w:tcPr>
          <w:p>
            <w:pPr>
              <w:spacing w:after="0"/>
              <w:rPr>
                <w:sz w:val="12"/>
                <w:szCs w:val="12"/>
                <w:color w:val="auto"/>
              </w:rPr>
            </w:pPr>
          </w:p>
        </w:tc>
        <w:tc>
          <w:tcPr>
            <w:tcW w:w="220" w:type="dxa"/>
            <w:vAlign w:val="bottom"/>
            <w:tcBorders>
              <w:bottom w:val="single" w:sz="8" w:color="E5F1EE"/>
            </w:tcBorders>
            <w:shd w:val="clear" w:color="auto" w:fill="E5F1EE"/>
          </w:tcPr>
          <w:p>
            <w:pPr>
              <w:spacing w:after="0"/>
              <w:rPr>
                <w:sz w:val="12"/>
                <w:szCs w:val="12"/>
                <w:color w:val="auto"/>
              </w:rPr>
            </w:pPr>
          </w:p>
        </w:tc>
        <w:tc>
          <w:tcPr>
            <w:tcW w:w="700" w:type="dxa"/>
            <w:vAlign w:val="bottom"/>
            <w:tcBorders>
              <w:bottom w:val="single" w:sz="8" w:color="E5F1EE"/>
            </w:tcBorders>
            <w:shd w:val="clear" w:color="auto" w:fill="E5F1EE"/>
          </w:tcPr>
          <w:p>
            <w:pPr>
              <w:spacing w:after="0"/>
              <w:rPr>
                <w:sz w:val="12"/>
                <w:szCs w:val="12"/>
                <w:color w:val="auto"/>
              </w:rPr>
            </w:pPr>
          </w:p>
        </w:tc>
        <w:tc>
          <w:tcPr>
            <w:tcW w:w="20" w:type="dxa"/>
            <w:vAlign w:val="bottom"/>
            <w:tcBorders>
              <w:bottom w:val="single" w:sz="8" w:color="E5F1EE"/>
            </w:tcBorders>
            <w:shd w:val="clear" w:color="auto" w:fill="E5F1EE"/>
          </w:tcPr>
          <w:p>
            <w:pPr>
              <w:spacing w:after="0"/>
              <w:rPr>
                <w:sz w:val="12"/>
                <w:szCs w:val="12"/>
                <w:color w:val="auto"/>
              </w:rPr>
            </w:pPr>
          </w:p>
        </w:tc>
        <w:tc>
          <w:tcPr>
            <w:tcW w:w="200" w:type="dxa"/>
            <w:vAlign w:val="bottom"/>
            <w:tcBorders>
              <w:bottom w:val="single" w:sz="8" w:color="E5F1EE"/>
            </w:tcBorders>
            <w:shd w:val="clear" w:color="auto" w:fill="E5F1EE"/>
          </w:tcPr>
          <w:p>
            <w:pPr>
              <w:spacing w:after="0"/>
              <w:rPr>
                <w:sz w:val="12"/>
                <w:szCs w:val="12"/>
                <w:color w:val="auto"/>
              </w:rPr>
            </w:pPr>
          </w:p>
        </w:tc>
        <w:tc>
          <w:tcPr>
            <w:tcW w:w="260" w:type="dxa"/>
            <w:vAlign w:val="bottom"/>
            <w:tcBorders>
              <w:bottom w:val="single" w:sz="8" w:color="E5F1EE"/>
            </w:tcBorders>
            <w:shd w:val="clear" w:color="auto" w:fill="E5F1EE"/>
          </w:tcPr>
          <w:p>
            <w:pPr>
              <w:spacing w:after="0"/>
              <w:rPr>
                <w:sz w:val="12"/>
                <w:szCs w:val="12"/>
                <w:color w:val="auto"/>
              </w:rPr>
            </w:pPr>
          </w:p>
        </w:tc>
        <w:tc>
          <w:tcPr>
            <w:tcW w:w="660" w:type="dxa"/>
            <w:vAlign w:val="bottom"/>
            <w:tcBorders>
              <w:bottom w:val="single" w:sz="8" w:color="E5F1EE"/>
            </w:tcBorders>
            <w:shd w:val="clear" w:color="auto" w:fill="E5F1EE"/>
          </w:tcPr>
          <w:p>
            <w:pPr>
              <w:spacing w:after="0"/>
              <w:rPr>
                <w:sz w:val="12"/>
                <w:szCs w:val="12"/>
                <w:color w:val="auto"/>
              </w:rPr>
            </w:pPr>
          </w:p>
        </w:tc>
        <w:tc>
          <w:tcPr>
            <w:tcW w:w="20" w:type="dxa"/>
            <w:vAlign w:val="bottom"/>
            <w:tcBorders>
              <w:bottom w:val="single" w:sz="8" w:color="E5F1EE"/>
            </w:tcBorders>
            <w:shd w:val="clear" w:color="auto" w:fill="E5F1EE"/>
          </w:tcPr>
          <w:p>
            <w:pPr>
              <w:spacing w:after="0"/>
              <w:rPr>
                <w:sz w:val="12"/>
                <w:szCs w:val="12"/>
                <w:color w:val="auto"/>
              </w:rPr>
            </w:pPr>
          </w:p>
        </w:tc>
        <w:tc>
          <w:tcPr>
            <w:tcW w:w="220" w:type="dxa"/>
            <w:vAlign w:val="bottom"/>
            <w:tcBorders>
              <w:bottom w:val="single" w:sz="8" w:color="E5F1EE"/>
            </w:tcBorders>
            <w:shd w:val="clear" w:color="auto" w:fill="E5F1EE"/>
          </w:tcPr>
          <w:p>
            <w:pPr>
              <w:spacing w:after="0"/>
              <w:rPr>
                <w:sz w:val="12"/>
                <w:szCs w:val="12"/>
                <w:color w:val="auto"/>
              </w:rPr>
            </w:pPr>
          </w:p>
        </w:tc>
        <w:tc>
          <w:tcPr>
            <w:tcW w:w="920" w:type="dxa"/>
            <w:vAlign w:val="bottom"/>
            <w:tcBorders>
              <w:bottom w:val="single" w:sz="8" w:color="E5F1EE"/>
            </w:tcBorders>
            <w:shd w:val="clear" w:color="auto" w:fill="E5F1EE"/>
          </w:tcPr>
          <w:p>
            <w:pPr>
              <w:spacing w:after="0"/>
              <w:rPr>
                <w:sz w:val="12"/>
                <w:szCs w:val="12"/>
                <w:color w:val="auto"/>
              </w:rPr>
            </w:pPr>
          </w:p>
        </w:tc>
        <w:tc>
          <w:tcPr>
            <w:tcW w:w="20" w:type="dxa"/>
            <w:vAlign w:val="bottom"/>
            <w:tcBorders>
              <w:bottom w:val="single" w:sz="8" w:color="E5F1EE"/>
            </w:tcBorders>
            <w:shd w:val="clear" w:color="auto" w:fill="E5F1EE"/>
          </w:tcPr>
          <w:p>
            <w:pPr>
              <w:spacing w:after="0"/>
              <w:rPr>
                <w:sz w:val="12"/>
                <w:szCs w:val="12"/>
                <w:color w:val="auto"/>
              </w:rPr>
            </w:pPr>
          </w:p>
        </w:tc>
      </w:tr>
      <w:tr>
        <w:trPr>
          <w:trHeight w:val="97"/>
        </w:trPr>
        <w:tc>
          <w:tcPr>
            <w:tcW w:w="4720" w:type="dxa"/>
            <w:vAlign w:val="bottom"/>
            <w:gridSpan w:val="4"/>
          </w:tcPr>
          <w:p>
            <w:pPr>
              <w:spacing w:after="0" w:line="97" w:lineRule="exact"/>
              <w:rPr>
                <w:sz w:val="20"/>
                <w:szCs w:val="20"/>
                <w:color w:val="auto"/>
              </w:rPr>
            </w:pPr>
            <w:r>
              <w:rPr>
                <w:rFonts w:ascii="Times New Roman" w:cs="Times New Roman" w:eastAsia="Times New Roman" w:hAnsi="Times New Roman"/>
                <w:sz w:val="9"/>
                <w:szCs w:val="9"/>
                <w:color w:val="auto"/>
              </w:rPr>
              <w:t>Nonaccrual loans</w:t>
            </w:r>
          </w:p>
        </w:tc>
        <w:tc>
          <w:tcPr>
            <w:tcW w:w="220" w:type="dxa"/>
            <w:vAlign w:val="bottom"/>
            <w:tcBorders>
              <w:top w:val="single" w:sz="8" w:color="auto"/>
            </w:tcBorders>
          </w:tcPr>
          <w:p>
            <w:pPr>
              <w:jc w:val="right"/>
              <w:ind w:right="11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1,252</w:t>
            </w:r>
          </w:p>
        </w:tc>
        <w:tc>
          <w:tcPr>
            <w:tcW w:w="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top w:val="single" w:sz="8" w:color="auto"/>
            </w:tcBorders>
          </w:tcPr>
          <w:p>
            <w:pPr>
              <w:jc w:val="right"/>
              <w:ind w:right="23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1,690</w:t>
            </w:r>
          </w:p>
        </w:tc>
        <w:tc>
          <w:tcPr>
            <w:tcW w:w="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top w:val="single" w:sz="8" w:color="auto"/>
            </w:tcBorders>
            <w:gridSpan w:val="2"/>
          </w:tcPr>
          <w:p>
            <w:pPr>
              <w:jc w:val="right"/>
              <w:ind w:right="20"/>
              <w:spacing w:after="0" w:line="98" w:lineRule="exact"/>
              <w:rPr>
                <w:sz w:val="20"/>
                <w:szCs w:val="20"/>
                <w:color w:val="auto"/>
              </w:rPr>
            </w:pPr>
            <w:r>
              <w:rPr>
                <w:rFonts w:ascii="Times New Roman" w:cs="Times New Roman" w:eastAsia="Times New Roman" w:hAnsi="Times New Roman"/>
                <w:sz w:val="9"/>
                <w:szCs w:val="9"/>
                <w:color w:val="auto"/>
              </w:rPr>
              <w:t>-26 %</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31"/>
        </w:trPr>
        <w:tc>
          <w:tcPr>
            <w:tcW w:w="47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Real estate and other foreclosed assets</w:t>
            </w:r>
          </w:p>
        </w:tc>
        <w:tc>
          <w:tcPr>
            <w:tcW w:w="220" w:type="dxa"/>
            <w:vAlign w:val="bottom"/>
            <w:tcBorders>
              <w:bottom w:val="single" w:sz="8" w:color="auto"/>
            </w:tcBorders>
            <w:shd w:val="clear" w:color="auto" w:fill="E5F1EE"/>
          </w:tcPr>
          <w:p>
            <w:pPr>
              <w:spacing w:after="0"/>
              <w:rPr>
                <w:sz w:val="11"/>
                <w:szCs w:val="11"/>
                <w:color w:val="auto"/>
              </w:rPr>
            </w:pPr>
          </w:p>
        </w:tc>
        <w:tc>
          <w:tcPr>
            <w:tcW w:w="7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35</w:t>
            </w:r>
          </w:p>
        </w:tc>
        <w:tc>
          <w:tcPr>
            <w:tcW w:w="20" w:type="dxa"/>
            <w:vAlign w:val="bottom"/>
            <w:tcBorders>
              <w:bottom w:val="single" w:sz="8" w:color="auto"/>
            </w:tcBorders>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40" w:type="dxa"/>
            <w:vAlign w:val="bottom"/>
            <w:tcBorders>
              <w:bottom w:val="single" w:sz="8" w:color="auto"/>
            </w:tcBorders>
            <w:shd w:val="clear" w:color="auto" w:fill="E5F1EE"/>
          </w:tcPr>
          <w:p>
            <w:pPr>
              <w:spacing w:after="0"/>
              <w:rPr>
                <w:sz w:val="11"/>
                <w:szCs w:val="11"/>
                <w:color w:val="auto"/>
              </w:rPr>
            </w:pPr>
          </w:p>
        </w:tc>
        <w:tc>
          <w:tcPr>
            <w:tcW w:w="5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35</w:t>
            </w:r>
          </w:p>
        </w:tc>
        <w:tc>
          <w:tcPr>
            <w:tcW w:w="20" w:type="dxa"/>
            <w:vAlign w:val="bottom"/>
            <w:tcBorders>
              <w:bottom w:val="single" w:sz="8" w:color="auto"/>
            </w:tcBorders>
            <w:shd w:val="clear" w:color="auto" w:fill="E5F1EE"/>
          </w:tcPr>
          <w:p>
            <w:pPr>
              <w:spacing w:after="0"/>
              <w:rPr>
                <w:sz w:val="11"/>
                <w:szCs w:val="11"/>
                <w:color w:val="auto"/>
              </w:rPr>
            </w:pPr>
          </w:p>
        </w:tc>
        <w:tc>
          <w:tcPr>
            <w:tcW w:w="100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r>
      <w:tr>
        <w:trPr>
          <w:trHeight w:val="147"/>
        </w:trPr>
        <w:tc>
          <w:tcPr>
            <w:tcW w:w="4720" w:type="dxa"/>
            <w:vAlign w:val="bottom"/>
            <w:tcBorders>
              <w:bottom w:val="single" w:sz="8" w:color="E5F1EE"/>
            </w:tcBorders>
            <w:gridSpan w:val="4"/>
          </w:tcPr>
          <w:p>
            <w:pPr>
              <w:spacing w:after="0" w:line="97" w:lineRule="exact"/>
              <w:rPr>
                <w:sz w:val="20"/>
                <w:szCs w:val="20"/>
                <w:color w:val="auto"/>
              </w:rPr>
            </w:pPr>
            <w:r>
              <w:rPr>
                <w:rFonts w:ascii="Times New Roman" w:cs="Times New Roman" w:eastAsia="Times New Roman" w:hAnsi="Times New Roman"/>
                <w:sz w:val="9"/>
                <w:szCs w:val="9"/>
                <w:color w:val="auto"/>
              </w:rPr>
              <w:t>Total nonperforming assets</w:t>
            </w:r>
          </w:p>
        </w:tc>
        <w:tc>
          <w:tcPr>
            <w:tcW w:w="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1,287</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E5F1EE"/>
            </w:tcBorders>
          </w:tcPr>
          <w:p>
            <w:pPr>
              <w:spacing w:after="0"/>
              <w:rPr>
                <w:sz w:val="12"/>
                <w:szCs w:val="12"/>
                <w:color w:val="auto"/>
              </w:rPr>
            </w:pPr>
          </w:p>
        </w:tc>
        <w:tc>
          <w:tcPr>
            <w:tcW w:w="340" w:type="dxa"/>
            <w:vAlign w:val="bottom"/>
            <w:tcBorders>
              <w:bottom w:val="single" w:sz="8" w:color="E5F1EE"/>
            </w:tcBorders>
          </w:tcPr>
          <w:p>
            <w:pPr>
              <w:jc w:val="right"/>
              <w:ind w:right="235"/>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1,725</w:t>
            </w: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9"/>
                <w:szCs w:val="9"/>
                <w:color w:val="auto"/>
              </w:rPr>
              <w:t>-25</w:t>
            </w:r>
          </w:p>
        </w:tc>
        <w:tc>
          <w:tcPr>
            <w:tcW w:w="20" w:type="dxa"/>
            <w:vAlign w:val="bottom"/>
            <w:tcBorders>
              <w:bottom w:val="single" w:sz="8" w:color="E5F1EE"/>
            </w:tcBorders>
          </w:tcPr>
          <w:p>
            <w:pPr>
              <w:spacing w:after="0"/>
              <w:rPr>
                <w:sz w:val="12"/>
                <w:szCs w:val="12"/>
                <w:color w:val="auto"/>
              </w:rPr>
            </w:pPr>
          </w:p>
        </w:tc>
        <w:tc>
          <w:tcPr>
            <w:tcW w:w="220" w:type="dxa"/>
            <w:vAlign w:val="bottom"/>
            <w:tcBorders>
              <w:bottom w:val="single" w:sz="8" w:color="E5F1EE"/>
            </w:tcBorders>
          </w:tcPr>
          <w:p>
            <w:pPr>
              <w:spacing w:after="0"/>
              <w:rPr>
                <w:sz w:val="12"/>
                <w:szCs w:val="12"/>
                <w:color w:val="auto"/>
              </w:rPr>
            </w:pPr>
          </w:p>
        </w:tc>
        <w:tc>
          <w:tcPr>
            <w:tcW w:w="220" w:type="dxa"/>
            <w:vAlign w:val="bottom"/>
            <w:tcBorders>
              <w:bottom w:val="single" w:sz="8" w:color="E5F1EE"/>
            </w:tcBorders>
          </w:tcPr>
          <w:p>
            <w:pPr>
              <w:spacing w:after="0"/>
              <w:rPr>
                <w:sz w:val="12"/>
                <w:szCs w:val="12"/>
                <w:color w:val="auto"/>
              </w:rPr>
            </w:pPr>
          </w:p>
        </w:tc>
        <w:tc>
          <w:tcPr>
            <w:tcW w:w="700" w:type="dxa"/>
            <w:vAlign w:val="bottom"/>
            <w:tcBorders>
              <w:bottom w:val="single" w:sz="8" w:color="E5F1EE"/>
            </w:tcBorders>
          </w:tcPr>
          <w:p>
            <w:pPr>
              <w:spacing w:after="0"/>
              <w:rPr>
                <w:sz w:val="12"/>
                <w:szCs w:val="12"/>
                <w:color w:val="auto"/>
              </w:rPr>
            </w:pPr>
          </w:p>
        </w:tc>
        <w:tc>
          <w:tcPr>
            <w:tcW w:w="20" w:type="dxa"/>
            <w:vAlign w:val="bottom"/>
            <w:tcBorders>
              <w:bottom w:val="single" w:sz="8" w:color="E5F1EE"/>
            </w:tcBorders>
          </w:tcPr>
          <w:p>
            <w:pPr>
              <w:spacing w:after="0"/>
              <w:rPr>
                <w:sz w:val="12"/>
                <w:szCs w:val="12"/>
                <w:color w:val="auto"/>
              </w:rPr>
            </w:pPr>
          </w:p>
        </w:tc>
        <w:tc>
          <w:tcPr>
            <w:tcW w:w="200" w:type="dxa"/>
            <w:vAlign w:val="bottom"/>
            <w:tcBorders>
              <w:bottom w:val="single" w:sz="8" w:color="E5F1EE"/>
            </w:tcBorders>
          </w:tcPr>
          <w:p>
            <w:pPr>
              <w:spacing w:after="0"/>
              <w:rPr>
                <w:sz w:val="12"/>
                <w:szCs w:val="12"/>
                <w:color w:val="auto"/>
              </w:rPr>
            </w:pPr>
          </w:p>
        </w:tc>
        <w:tc>
          <w:tcPr>
            <w:tcW w:w="260" w:type="dxa"/>
            <w:vAlign w:val="bottom"/>
            <w:tcBorders>
              <w:bottom w:val="single" w:sz="8" w:color="E5F1EE"/>
            </w:tcBorders>
          </w:tcPr>
          <w:p>
            <w:pPr>
              <w:spacing w:after="0"/>
              <w:rPr>
                <w:sz w:val="12"/>
                <w:szCs w:val="12"/>
                <w:color w:val="auto"/>
              </w:rPr>
            </w:pPr>
          </w:p>
        </w:tc>
        <w:tc>
          <w:tcPr>
            <w:tcW w:w="660" w:type="dxa"/>
            <w:vAlign w:val="bottom"/>
            <w:tcBorders>
              <w:bottom w:val="single" w:sz="8" w:color="E5F1EE"/>
            </w:tcBorders>
          </w:tcPr>
          <w:p>
            <w:pPr>
              <w:spacing w:after="0"/>
              <w:rPr>
                <w:sz w:val="12"/>
                <w:szCs w:val="12"/>
                <w:color w:val="auto"/>
              </w:rPr>
            </w:pPr>
          </w:p>
        </w:tc>
        <w:tc>
          <w:tcPr>
            <w:tcW w:w="20" w:type="dxa"/>
            <w:vAlign w:val="bottom"/>
            <w:tcBorders>
              <w:bottom w:val="single" w:sz="8" w:color="E5F1EE"/>
            </w:tcBorders>
          </w:tcPr>
          <w:p>
            <w:pPr>
              <w:spacing w:after="0"/>
              <w:rPr>
                <w:sz w:val="12"/>
                <w:szCs w:val="12"/>
                <w:color w:val="auto"/>
              </w:rPr>
            </w:pPr>
          </w:p>
        </w:tc>
        <w:tc>
          <w:tcPr>
            <w:tcW w:w="220" w:type="dxa"/>
            <w:vAlign w:val="bottom"/>
            <w:tcBorders>
              <w:bottom w:val="single" w:sz="8" w:color="E5F1EE"/>
            </w:tcBorders>
          </w:tcPr>
          <w:p>
            <w:pPr>
              <w:spacing w:after="0"/>
              <w:rPr>
                <w:sz w:val="12"/>
                <w:szCs w:val="12"/>
                <w:color w:val="auto"/>
              </w:rPr>
            </w:pPr>
          </w:p>
        </w:tc>
        <w:tc>
          <w:tcPr>
            <w:tcW w:w="920" w:type="dxa"/>
            <w:vAlign w:val="bottom"/>
            <w:tcBorders>
              <w:bottom w:val="single" w:sz="8" w:color="E5F1EE"/>
            </w:tcBorders>
          </w:tcPr>
          <w:p>
            <w:pPr>
              <w:spacing w:after="0"/>
              <w:rPr>
                <w:sz w:val="12"/>
                <w:szCs w:val="12"/>
                <w:color w:val="auto"/>
              </w:rPr>
            </w:pPr>
          </w:p>
        </w:tc>
        <w:tc>
          <w:tcPr>
            <w:tcW w:w="20" w:type="dxa"/>
            <w:vAlign w:val="bottom"/>
            <w:tcBorders>
              <w:bottom w:val="single" w:sz="8" w:color="E5F1EE"/>
            </w:tcBorders>
          </w:tcPr>
          <w:p>
            <w:pPr>
              <w:spacing w:after="0"/>
              <w:rPr>
                <w:sz w:val="12"/>
                <w:szCs w:val="12"/>
                <w:color w:val="auto"/>
              </w:rPr>
            </w:pPr>
          </w:p>
        </w:tc>
      </w:tr>
      <w:tr>
        <w:trPr>
          <w:trHeight w:val="115"/>
        </w:trPr>
        <w:tc>
          <w:tcPr>
            <w:tcW w:w="4720" w:type="dxa"/>
            <w:vAlign w:val="bottom"/>
            <w:tcBorders>
              <w:top w:val="single" w:sz="8" w:color="E5F1EE"/>
            </w:tcBorders>
            <w:gridSpan w:val="4"/>
            <w:shd w:val="clear" w:color="auto" w:fill="E5F1EE"/>
          </w:tcPr>
          <w:p>
            <w:pPr>
              <w:spacing w:after="0" w:line="88" w:lineRule="exact"/>
              <w:rPr>
                <w:sz w:val="20"/>
                <w:szCs w:val="20"/>
                <w:color w:val="auto"/>
              </w:rPr>
            </w:pPr>
            <w:r>
              <w:rPr>
                <w:rFonts w:ascii="Times New Roman" w:cs="Times New Roman" w:eastAsia="Times New Roman" w:hAnsi="Times New Roman"/>
                <w:sz w:val="9"/>
                <w:szCs w:val="9"/>
                <w:color w:val="auto"/>
              </w:rPr>
              <w:t>Accruing loans past due 90 days or more (4)</w:t>
            </w:r>
          </w:p>
        </w:tc>
        <w:tc>
          <w:tcPr>
            <w:tcW w:w="220" w:type="dxa"/>
            <w:vAlign w:val="bottom"/>
            <w:tcBorders>
              <w:top w:val="single" w:sz="8" w:color="auto"/>
            </w:tcBorders>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561</w:t>
            </w:r>
          </w:p>
        </w:tc>
        <w:tc>
          <w:tcPr>
            <w:tcW w:w="20" w:type="dxa"/>
            <w:vAlign w:val="bottom"/>
            <w:tcBorders>
              <w:top w:val="single" w:sz="8" w:color="auto"/>
            </w:tcBorders>
            <w:shd w:val="clear" w:color="auto" w:fill="E5F1EE"/>
          </w:tcPr>
          <w:p>
            <w:pPr>
              <w:spacing w:after="0"/>
              <w:rPr>
                <w:sz w:val="10"/>
                <w:szCs w:val="10"/>
                <w:color w:val="auto"/>
              </w:rPr>
            </w:pPr>
          </w:p>
        </w:tc>
        <w:tc>
          <w:tcPr>
            <w:tcW w:w="220" w:type="dxa"/>
            <w:vAlign w:val="bottom"/>
            <w:tcBorders>
              <w:top w:val="single" w:sz="8" w:color="E5F1EE"/>
            </w:tcBorders>
            <w:shd w:val="clear" w:color="auto" w:fill="E5F1EE"/>
          </w:tcPr>
          <w:p>
            <w:pPr>
              <w:spacing w:after="0"/>
              <w:rPr>
                <w:sz w:val="10"/>
                <w:szCs w:val="10"/>
                <w:color w:val="auto"/>
              </w:rPr>
            </w:pPr>
          </w:p>
        </w:tc>
        <w:tc>
          <w:tcPr>
            <w:tcW w:w="340" w:type="dxa"/>
            <w:vAlign w:val="bottom"/>
            <w:tcBorders>
              <w:top w:val="single" w:sz="8" w:color="auto"/>
            </w:tcBorders>
            <w:shd w:val="clear" w:color="auto" w:fill="E5F1EE"/>
          </w:tcPr>
          <w:p>
            <w:pPr>
              <w:jc w:val="right"/>
              <w:ind w:right="235"/>
              <w:spacing w:after="0"/>
              <w:rPr>
                <w:sz w:val="20"/>
                <w:szCs w:val="20"/>
                <w:color w:val="auto"/>
              </w:rPr>
            </w:pPr>
            <w:r>
              <w:rPr>
                <w:rFonts w:ascii="Times New Roman" w:cs="Times New Roman" w:eastAsia="Times New Roman" w:hAnsi="Times New Roman"/>
                <w:sz w:val="9"/>
                <w:szCs w:val="9"/>
                <w:color w:val="auto"/>
                <w:w w:val="87"/>
              </w:rPr>
              <w:t>$</w:t>
            </w:r>
          </w:p>
        </w:tc>
        <w:tc>
          <w:tcPr>
            <w:tcW w:w="58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338</w:t>
            </w:r>
          </w:p>
        </w:tc>
        <w:tc>
          <w:tcPr>
            <w:tcW w:w="20" w:type="dxa"/>
            <w:vAlign w:val="bottom"/>
            <w:tcBorders>
              <w:top w:val="single" w:sz="8" w:color="auto"/>
            </w:tcBorders>
            <w:shd w:val="clear" w:color="auto" w:fill="E5F1EE"/>
          </w:tcPr>
          <w:p>
            <w:pPr>
              <w:spacing w:after="0"/>
              <w:rPr>
                <w:sz w:val="10"/>
                <w:szCs w:val="10"/>
                <w:color w:val="auto"/>
              </w:rPr>
            </w:pPr>
          </w:p>
        </w:tc>
        <w:tc>
          <w:tcPr>
            <w:tcW w:w="1000" w:type="dxa"/>
            <w:vAlign w:val="bottom"/>
            <w:tcBorders>
              <w:top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66</w:t>
            </w:r>
          </w:p>
        </w:tc>
        <w:tc>
          <w:tcPr>
            <w:tcW w:w="20" w:type="dxa"/>
            <w:vAlign w:val="bottom"/>
            <w:tcBorders>
              <w:top w:val="single" w:sz="8" w:color="E5F1EE"/>
            </w:tcBorders>
            <w:shd w:val="clear" w:color="auto" w:fill="E5F1EE"/>
          </w:tcPr>
          <w:p>
            <w:pPr>
              <w:spacing w:after="0"/>
              <w:rPr>
                <w:sz w:val="10"/>
                <w:szCs w:val="10"/>
                <w:color w:val="auto"/>
              </w:rPr>
            </w:pPr>
          </w:p>
        </w:tc>
        <w:tc>
          <w:tcPr>
            <w:tcW w:w="220" w:type="dxa"/>
            <w:vAlign w:val="bottom"/>
            <w:tcBorders>
              <w:top w:val="single" w:sz="8" w:color="E5F1EE"/>
            </w:tcBorders>
            <w:shd w:val="clear" w:color="auto" w:fill="E5F1EE"/>
          </w:tcPr>
          <w:p>
            <w:pPr>
              <w:spacing w:after="0"/>
              <w:rPr>
                <w:sz w:val="10"/>
                <w:szCs w:val="10"/>
                <w:color w:val="auto"/>
              </w:rPr>
            </w:pPr>
          </w:p>
        </w:tc>
        <w:tc>
          <w:tcPr>
            <w:tcW w:w="220" w:type="dxa"/>
            <w:vAlign w:val="bottom"/>
            <w:tcBorders>
              <w:top w:val="single" w:sz="8" w:color="E5F1EE"/>
            </w:tcBorders>
            <w:shd w:val="clear" w:color="auto" w:fill="E5F1EE"/>
          </w:tcPr>
          <w:p>
            <w:pPr>
              <w:spacing w:after="0"/>
              <w:rPr>
                <w:sz w:val="10"/>
                <w:szCs w:val="10"/>
                <w:color w:val="auto"/>
              </w:rPr>
            </w:pPr>
          </w:p>
        </w:tc>
        <w:tc>
          <w:tcPr>
            <w:tcW w:w="700" w:type="dxa"/>
            <w:vAlign w:val="bottom"/>
            <w:tcBorders>
              <w:top w:val="single" w:sz="8" w:color="E5F1EE"/>
            </w:tcBorders>
            <w:shd w:val="clear" w:color="auto" w:fill="E5F1EE"/>
          </w:tcPr>
          <w:p>
            <w:pPr>
              <w:spacing w:after="0"/>
              <w:rPr>
                <w:sz w:val="10"/>
                <w:szCs w:val="10"/>
                <w:color w:val="auto"/>
              </w:rPr>
            </w:pPr>
          </w:p>
        </w:tc>
        <w:tc>
          <w:tcPr>
            <w:tcW w:w="20" w:type="dxa"/>
            <w:vAlign w:val="bottom"/>
            <w:tcBorders>
              <w:top w:val="single" w:sz="8" w:color="E5F1EE"/>
            </w:tcBorders>
            <w:shd w:val="clear" w:color="auto" w:fill="E5F1EE"/>
          </w:tcPr>
          <w:p>
            <w:pPr>
              <w:spacing w:after="0"/>
              <w:rPr>
                <w:sz w:val="10"/>
                <w:szCs w:val="10"/>
                <w:color w:val="auto"/>
              </w:rPr>
            </w:pPr>
          </w:p>
        </w:tc>
        <w:tc>
          <w:tcPr>
            <w:tcW w:w="200" w:type="dxa"/>
            <w:vAlign w:val="bottom"/>
            <w:tcBorders>
              <w:top w:val="single" w:sz="8" w:color="E5F1EE"/>
            </w:tcBorders>
            <w:shd w:val="clear" w:color="auto" w:fill="E5F1EE"/>
          </w:tcPr>
          <w:p>
            <w:pPr>
              <w:spacing w:after="0"/>
              <w:rPr>
                <w:sz w:val="10"/>
                <w:szCs w:val="10"/>
                <w:color w:val="auto"/>
              </w:rPr>
            </w:pPr>
          </w:p>
        </w:tc>
        <w:tc>
          <w:tcPr>
            <w:tcW w:w="260" w:type="dxa"/>
            <w:vAlign w:val="bottom"/>
            <w:tcBorders>
              <w:top w:val="single" w:sz="8" w:color="E5F1EE"/>
            </w:tcBorders>
            <w:shd w:val="clear" w:color="auto" w:fill="E5F1EE"/>
          </w:tcPr>
          <w:p>
            <w:pPr>
              <w:spacing w:after="0"/>
              <w:rPr>
                <w:sz w:val="10"/>
                <w:szCs w:val="10"/>
                <w:color w:val="auto"/>
              </w:rPr>
            </w:pPr>
          </w:p>
        </w:tc>
        <w:tc>
          <w:tcPr>
            <w:tcW w:w="660" w:type="dxa"/>
            <w:vAlign w:val="bottom"/>
            <w:tcBorders>
              <w:top w:val="single" w:sz="8" w:color="E5F1EE"/>
            </w:tcBorders>
            <w:shd w:val="clear" w:color="auto" w:fill="E5F1EE"/>
          </w:tcPr>
          <w:p>
            <w:pPr>
              <w:spacing w:after="0"/>
              <w:rPr>
                <w:sz w:val="10"/>
                <w:szCs w:val="10"/>
                <w:color w:val="auto"/>
              </w:rPr>
            </w:pPr>
          </w:p>
        </w:tc>
        <w:tc>
          <w:tcPr>
            <w:tcW w:w="20" w:type="dxa"/>
            <w:vAlign w:val="bottom"/>
            <w:tcBorders>
              <w:top w:val="single" w:sz="8" w:color="E5F1EE"/>
            </w:tcBorders>
            <w:shd w:val="clear" w:color="auto" w:fill="E5F1EE"/>
          </w:tcPr>
          <w:p>
            <w:pPr>
              <w:spacing w:after="0"/>
              <w:rPr>
                <w:sz w:val="10"/>
                <w:szCs w:val="10"/>
                <w:color w:val="auto"/>
              </w:rPr>
            </w:pPr>
          </w:p>
        </w:tc>
        <w:tc>
          <w:tcPr>
            <w:tcW w:w="220" w:type="dxa"/>
            <w:vAlign w:val="bottom"/>
            <w:tcBorders>
              <w:top w:val="single" w:sz="8" w:color="E5F1EE"/>
            </w:tcBorders>
            <w:shd w:val="clear" w:color="auto" w:fill="E5F1EE"/>
          </w:tcPr>
          <w:p>
            <w:pPr>
              <w:spacing w:after="0"/>
              <w:rPr>
                <w:sz w:val="10"/>
                <w:szCs w:val="10"/>
                <w:color w:val="auto"/>
              </w:rPr>
            </w:pPr>
          </w:p>
        </w:tc>
        <w:tc>
          <w:tcPr>
            <w:tcW w:w="920" w:type="dxa"/>
            <w:vAlign w:val="bottom"/>
            <w:tcBorders>
              <w:top w:val="single" w:sz="8" w:color="E5F1EE"/>
            </w:tcBorders>
            <w:shd w:val="clear" w:color="auto" w:fill="E5F1EE"/>
          </w:tcPr>
          <w:p>
            <w:pPr>
              <w:spacing w:after="0"/>
              <w:rPr>
                <w:sz w:val="10"/>
                <w:szCs w:val="10"/>
                <w:color w:val="auto"/>
              </w:rPr>
            </w:pPr>
          </w:p>
        </w:tc>
        <w:tc>
          <w:tcPr>
            <w:tcW w:w="20" w:type="dxa"/>
            <w:vAlign w:val="bottom"/>
            <w:tcBorders>
              <w:top w:val="single" w:sz="8" w:color="E5F1EE"/>
            </w:tcBorders>
            <w:shd w:val="clear" w:color="auto" w:fill="E5F1EE"/>
          </w:tcPr>
          <w:p>
            <w:pPr>
              <w:spacing w:after="0"/>
              <w:rPr>
                <w:sz w:val="10"/>
                <w:szCs w:val="10"/>
                <w:color w:val="auto"/>
              </w:rPr>
            </w:pPr>
          </w:p>
        </w:tc>
      </w:tr>
      <w:tr>
        <w:trPr>
          <w:trHeight w:val="121"/>
        </w:trPr>
        <w:tc>
          <w:tcPr>
            <w:tcW w:w="47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Government guaranteed loans included in totals above:</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472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Nonaccrual loans</w:t>
            </w:r>
          </w:p>
        </w:tc>
        <w:tc>
          <w:tcPr>
            <w:tcW w:w="220" w:type="dxa"/>
            <w:vAlign w:val="bottom"/>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83</w:t>
            </w:r>
          </w:p>
        </w:tc>
        <w:tc>
          <w:tcPr>
            <w:tcW w:w="20" w:type="dxa"/>
            <w:vAlign w:val="bottom"/>
            <w:shd w:val="clear" w:color="auto" w:fill="E5F1EE"/>
          </w:tcPr>
          <w:p>
            <w:pPr>
              <w:spacing w:after="0"/>
              <w:rPr>
                <w:sz w:val="11"/>
                <w:szCs w:val="11"/>
                <w:color w:val="auto"/>
              </w:rPr>
            </w:pPr>
          </w:p>
        </w:tc>
        <w:tc>
          <w:tcPr>
            <w:tcW w:w="560" w:type="dxa"/>
            <w:vAlign w:val="bottom"/>
            <w:gridSpan w:val="2"/>
            <w:shd w:val="clear" w:color="auto" w:fill="E5F1EE"/>
          </w:tcPr>
          <w:p>
            <w:pPr>
              <w:jc w:val="right"/>
              <w:ind w:right="23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20" w:type="dxa"/>
            <w:vAlign w:val="bottom"/>
            <w:shd w:val="clear" w:color="auto" w:fill="E5F1EE"/>
          </w:tcPr>
          <w:p>
            <w:pPr>
              <w:spacing w:after="0"/>
              <w:rPr>
                <w:sz w:val="11"/>
                <w:szCs w:val="11"/>
                <w:color w:val="auto"/>
              </w:rPr>
            </w:pPr>
          </w:p>
        </w:tc>
        <w:tc>
          <w:tcPr>
            <w:tcW w:w="100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r>
      <w:tr>
        <w:trPr>
          <w:trHeight w:val="116"/>
        </w:trPr>
        <w:tc>
          <w:tcPr>
            <w:tcW w:w="472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Accruing loans past due 90 days or more</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543</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318</w:t>
            </w:r>
          </w:p>
        </w:tc>
        <w:tc>
          <w:tcPr>
            <w:tcW w:w="20" w:type="dxa"/>
            <w:vAlign w:val="bottom"/>
          </w:tcPr>
          <w:p>
            <w:pPr>
              <w:spacing w:after="0"/>
              <w:rPr>
                <w:sz w:val="10"/>
                <w:szCs w:val="1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71</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6"/>
        </w:trPr>
        <w:tc>
          <w:tcPr>
            <w:tcW w:w="47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Nonaccrual loans to total loans</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.90 %</w:t>
            </w: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40" w:type="dxa"/>
            <w:vAlign w:val="bottom"/>
            <w:shd w:val="clear" w:color="auto" w:fill="E5F1EE"/>
          </w:tcPr>
          <w:p>
            <w:pPr>
              <w:spacing w:after="0"/>
              <w:rPr>
                <w:sz w:val="11"/>
                <w:szCs w:val="11"/>
                <w:color w:val="auto"/>
              </w:rPr>
            </w:pPr>
          </w:p>
        </w:tc>
        <w:tc>
          <w:tcPr>
            <w:tcW w:w="5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1.25 %</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8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6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r>
      <w:tr>
        <w:trPr>
          <w:trHeight w:val="121"/>
        </w:trPr>
        <w:tc>
          <w:tcPr>
            <w:tcW w:w="47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Allowance for loan losses to total loans</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1"/>
        </w:trPr>
        <w:tc>
          <w:tcPr>
            <w:tcW w:w="900" w:type="dxa"/>
            <w:vAlign w:val="bottom"/>
            <w:tcBorders>
              <w:bottom w:val="single" w:sz="8" w:color="auto"/>
            </w:tcBorders>
            <w:gridSpan w:val="2"/>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w w:val="98"/>
              </w:rPr>
              <w:t>Additional information</w:t>
            </w:r>
          </w:p>
        </w:tc>
        <w:tc>
          <w:tcPr>
            <w:tcW w:w="3820" w:type="dxa"/>
            <w:vAlign w:val="bottom"/>
            <w:tcBorders>
              <w:bottom w:val="single" w:sz="8" w:color="E5F1EE"/>
            </w:tcBorders>
            <w:gridSpan w:val="2"/>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700" w:type="dxa"/>
            <w:vAlign w:val="bottom"/>
            <w:tcBorders>
              <w:bottom w:val="single" w:sz="8" w:color="E5F1EE"/>
            </w:tcBorders>
            <w:shd w:val="clear" w:color="auto" w:fill="E5F1EE"/>
          </w:tcPr>
          <w:p>
            <w:pPr>
              <w:spacing w:after="0"/>
              <w:rPr>
                <w:sz w:val="9"/>
                <w:szCs w:val="9"/>
                <w:color w:val="auto"/>
              </w:rPr>
            </w:pPr>
          </w:p>
        </w:tc>
        <w:tc>
          <w:tcPr>
            <w:tcW w:w="20" w:type="dxa"/>
            <w:vAlign w:val="bottom"/>
            <w:tcBorders>
              <w:bottom w:val="single" w:sz="8" w:color="E5F1EE"/>
            </w:tcBorders>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340" w:type="dxa"/>
            <w:vAlign w:val="bottom"/>
            <w:tcBorders>
              <w:bottom w:val="single" w:sz="8" w:color="E5F1EE"/>
            </w:tcBorders>
            <w:shd w:val="clear" w:color="auto" w:fill="E5F1EE"/>
          </w:tcPr>
          <w:p>
            <w:pPr>
              <w:spacing w:after="0"/>
              <w:rPr>
                <w:sz w:val="9"/>
                <w:szCs w:val="9"/>
                <w:color w:val="auto"/>
              </w:rPr>
            </w:pPr>
          </w:p>
        </w:tc>
        <w:tc>
          <w:tcPr>
            <w:tcW w:w="580" w:type="dxa"/>
            <w:vAlign w:val="bottom"/>
            <w:tcBorders>
              <w:bottom w:val="single" w:sz="8" w:color="E5F1EE"/>
            </w:tcBorders>
            <w:shd w:val="clear" w:color="auto" w:fill="E5F1EE"/>
          </w:tcPr>
          <w:p>
            <w:pPr>
              <w:spacing w:after="0"/>
              <w:rPr>
                <w:sz w:val="9"/>
                <w:szCs w:val="9"/>
                <w:color w:val="auto"/>
              </w:rPr>
            </w:pPr>
          </w:p>
        </w:tc>
        <w:tc>
          <w:tcPr>
            <w:tcW w:w="2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800" w:type="dxa"/>
            <w:vAlign w:val="bottom"/>
            <w:tcBorders>
              <w:bottom w:val="single" w:sz="8" w:color="E5F1EE"/>
            </w:tcBorders>
            <w:shd w:val="clear" w:color="auto" w:fill="E5F1EE"/>
          </w:tcPr>
          <w:p>
            <w:pPr>
              <w:spacing w:after="0"/>
              <w:rPr>
                <w:sz w:val="9"/>
                <w:szCs w:val="9"/>
                <w:color w:val="auto"/>
              </w:rPr>
            </w:pPr>
          </w:p>
        </w:tc>
        <w:tc>
          <w:tcPr>
            <w:tcW w:w="20" w:type="dxa"/>
            <w:vAlign w:val="bottom"/>
            <w:tcBorders>
              <w:bottom w:val="single" w:sz="8" w:color="E5F1EE"/>
            </w:tcBorders>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700" w:type="dxa"/>
            <w:vAlign w:val="bottom"/>
            <w:tcBorders>
              <w:bottom w:val="single" w:sz="8" w:color="E5F1EE"/>
            </w:tcBorders>
            <w:shd w:val="clear" w:color="auto" w:fill="E5F1EE"/>
          </w:tcPr>
          <w:p>
            <w:pPr>
              <w:spacing w:after="0"/>
              <w:rPr>
                <w:sz w:val="9"/>
                <w:szCs w:val="9"/>
                <w:color w:val="auto"/>
              </w:rPr>
            </w:pPr>
          </w:p>
        </w:tc>
        <w:tc>
          <w:tcPr>
            <w:tcW w:w="2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260" w:type="dxa"/>
            <w:vAlign w:val="bottom"/>
            <w:tcBorders>
              <w:bottom w:val="single" w:sz="8" w:color="E5F1EE"/>
            </w:tcBorders>
            <w:shd w:val="clear" w:color="auto" w:fill="E5F1EE"/>
          </w:tcPr>
          <w:p>
            <w:pPr>
              <w:spacing w:after="0"/>
              <w:rPr>
                <w:sz w:val="9"/>
                <w:szCs w:val="9"/>
                <w:color w:val="auto"/>
              </w:rPr>
            </w:pPr>
          </w:p>
        </w:tc>
        <w:tc>
          <w:tcPr>
            <w:tcW w:w="660" w:type="dxa"/>
            <w:vAlign w:val="bottom"/>
            <w:tcBorders>
              <w:bottom w:val="single" w:sz="8" w:color="E5F1EE"/>
            </w:tcBorders>
            <w:shd w:val="clear" w:color="auto" w:fill="E5F1EE"/>
          </w:tcPr>
          <w:p>
            <w:pPr>
              <w:spacing w:after="0"/>
              <w:rPr>
                <w:sz w:val="9"/>
                <w:szCs w:val="9"/>
                <w:color w:val="auto"/>
              </w:rPr>
            </w:pPr>
          </w:p>
        </w:tc>
        <w:tc>
          <w:tcPr>
            <w:tcW w:w="20" w:type="dxa"/>
            <w:vAlign w:val="bottom"/>
            <w:tcBorders>
              <w:bottom w:val="single" w:sz="8" w:color="E5F1EE"/>
            </w:tcBorders>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920" w:type="dxa"/>
            <w:vAlign w:val="bottom"/>
            <w:tcBorders>
              <w:bottom w:val="single" w:sz="8" w:color="E5F1EE"/>
            </w:tcBorders>
            <w:shd w:val="clear" w:color="auto" w:fill="E5F1EE"/>
          </w:tcPr>
          <w:p>
            <w:pPr>
              <w:spacing w:after="0"/>
              <w:rPr>
                <w:sz w:val="9"/>
                <w:szCs w:val="9"/>
                <w:color w:val="auto"/>
              </w:rPr>
            </w:pPr>
          </w:p>
        </w:tc>
        <w:tc>
          <w:tcPr>
            <w:tcW w:w="20" w:type="dxa"/>
            <w:vAlign w:val="bottom"/>
            <w:tcBorders>
              <w:bottom w:val="single" w:sz="8" w:color="E5F1EE"/>
            </w:tcBorders>
            <w:shd w:val="clear" w:color="auto" w:fill="E5F1EE"/>
          </w:tcPr>
          <w:p>
            <w:pPr>
              <w:spacing w:after="0"/>
              <w:rPr>
                <w:sz w:val="9"/>
                <w:szCs w:val="9"/>
                <w:color w:val="auto"/>
              </w:rPr>
            </w:pPr>
          </w:p>
        </w:tc>
      </w:tr>
      <w:tr>
        <w:trPr>
          <w:trHeight w:val="121"/>
        </w:trPr>
        <w:tc>
          <w:tcPr>
            <w:tcW w:w="47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Period end common stock price</w:t>
            </w: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201.48</w:t>
            </w:r>
          </w:p>
        </w:tc>
        <w:tc>
          <w:tcPr>
            <w:tcW w:w="20" w:type="dxa"/>
            <w:vAlign w:val="bottom"/>
          </w:tcPr>
          <w:p>
            <w:pPr>
              <w:spacing w:after="0"/>
              <w:rPr>
                <w:sz w:val="10"/>
                <w:szCs w:val="10"/>
                <w:color w:val="auto"/>
              </w:rPr>
            </w:pPr>
          </w:p>
        </w:tc>
        <w:tc>
          <w:tcPr>
            <w:tcW w:w="560" w:type="dxa"/>
            <w:vAlign w:val="bottom"/>
            <w:gridSpan w:val="2"/>
          </w:tcPr>
          <w:p>
            <w:pPr>
              <w:jc w:val="right"/>
              <w:ind w:right="235"/>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188.01</w:t>
            </w:r>
          </w:p>
        </w:tc>
        <w:tc>
          <w:tcPr>
            <w:tcW w:w="20" w:type="dxa"/>
            <w:vAlign w:val="bottom"/>
          </w:tcPr>
          <w:p>
            <w:pPr>
              <w:spacing w:after="0"/>
              <w:rPr>
                <w:sz w:val="10"/>
                <w:szCs w:val="1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4720" w:type="dxa"/>
            <w:vAlign w:val="bottom"/>
            <w:tcBorders>
              <w:bottom w:val="single" w:sz="8" w:color="E5F1EE"/>
            </w:tcBorders>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Domestic banking offices</w:t>
            </w:r>
          </w:p>
        </w:tc>
        <w:tc>
          <w:tcPr>
            <w:tcW w:w="220" w:type="dxa"/>
            <w:vAlign w:val="bottom"/>
            <w:tcBorders>
              <w:bottom w:val="single" w:sz="8" w:color="E5F1EE"/>
            </w:tcBorders>
            <w:shd w:val="clear" w:color="auto" w:fill="E5F1EE"/>
          </w:tcPr>
          <w:p>
            <w:pPr>
              <w:spacing w:after="0"/>
              <w:rPr>
                <w:sz w:val="11"/>
                <w:szCs w:val="11"/>
                <w:color w:val="auto"/>
              </w:rPr>
            </w:pPr>
          </w:p>
        </w:tc>
        <w:tc>
          <w:tcPr>
            <w:tcW w:w="7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942</w:t>
            </w:r>
          </w:p>
        </w:tc>
        <w:tc>
          <w:tcPr>
            <w:tcW w:w="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E5F1EE"/>
            </w:tcBorders>
            <w:shd w:val="clear" w:color="auto" w:fill="E5F1EE"/>
          </w:tcPr>
          <w:p>
            <w:pPr>
              <w:spacing w:after="0"/>
              <w:rPr>
                <w:sz w:val="11"/>
                <w:szCs w:val="11"/>
                <w:color w:val="auto"/>
              </w:rPr>
            </w:pPr>
          </w:p>
        </w:tc>
        <w:tc>
          <w:tcPr>
            <w:tcW w:w="340" w:type="dxa"/>
            <w:vAlign w:val="bottom"/>
            <w:tcBorders>
              <w:bottom w:val="single" w:sz="8" w:color="E5F1EE"/>
            </w:tcBorders>
            <w:shd w:val="clear" w:color="auto" w:fill="E5F1EE"/>
          </w:tcPr>
          <w:p>
            <w:pPr>
              <w:spacing w:after="0"/>
              <w:rPr>
                <w:sz w:val="11"/>
                <w:szCs w:val="11"/>
                <w:color w:val="auto"/>
              </w:rPr>
            </w:pPr>
          </w:p>
        </w:tc>
        <w:tc>
          <w:tcPr>
            <w:tcW w:w="58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955</w:t>
            </w:r>
          </w:p>
        </w:tc>
        <w:tc>
          <w:tcPr>
            <w:tcW w:w="20" w:type="dxa"/>
            <w:vAlign w:val="bottom"/>
            <w:tcBorders>
              <w:bottom w:val="single" w:sz="8" w:color="E5F1EE"/>
            </w:tcBorders>
            <w:shd w:val="clear" w:color="auto" w:fill="E5F1EE"/>
          </w:tcPr>
          <w:p>
            <w:pPr>
              <w:spacing w:after="0"/>
              <w:rPr>
                <w:sz w:val="11"/>
                <w:szCs w:val="11"/>
                <w:color w:val="auto"/>
              </w:rPr>
            </w:pPr>
          </w:p>
        </w:tc>
        <w:tc>
          <w:tcPr>
            <w:tcW w:w="100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0" w:type="dxa"/>
            <w:vAlign w:val="bottom"/>
            <w:shd w:val="clear" w:color="auto" w:fill="E5F1EE"/>
          </w:tcPr>
          <w:p>
            <w:pPr>
              <w:spacing w:after="0"/>
              <w:rPr>
                <w:sz w:val="11"/>
                <w:szCs w:val="11"/>
                <w:color w:val="auto"/>
              </w:rPr>
            </w:pPr>
          </w:p>
        </w:tc>
        <w:tc>
          <w:tcPr>
            <w:tcW w:w="2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E5F1EE"/>
            </w:tcBorders>
            <w:shd w:val="clear" w:color="auto" w:fill="E5F1EE"/>
          </w:tcPr>
          <w:p>
            <w:pPr>
              <w:spacing w:after="0"/>
              <w:rPr>
                <w:sz w:val="11"/>
                <w:szCs w:val="11"/>
                <w:color w:val="auto"/>
              </w:rPr>
            </w:pPr>
          </w:p>
        </w:tc>
        <w:tc>
          <w:tcPr>
            <w:tcW w:w="700" w:type="dxa"/>
            <w:vAlign w:val="bottom"/>
            <w:tcBorders>
              <w:bottom w:val="single" w:sz="8" w:color="E5F1EE"/>
            </w:tcBorders>
            <w:shd w:val="clear" w:color="auto" w:fill="E5F1EE"/>
          </w:tcPr>
          <w:p>
            <w:pPr>
              <w:spacing w:after="0"/>
              <w:rPr>
                <w:sz w:val="11"/>
                <w:szCs w:val="11"/>
                <w:color w:val="auto"/>
              </w:rPr>
            </w:pPr>
          </w:p>
        </w:tc>
        <w:tc>
          <w:tcPr>
            <w:tcW w:w="2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E5F1EE"/>
            </w:tcBorders>
            <w:shd w:val="clear" w:color="auto" w:fill="E5F1EE"/>
          </w:tcPr>
          <w:p>
            <w:pPr>
              <w:spacing w:after="0"/>
              <w:rPr>
                <w:sz w:val="11"/>
                <w:szCs w:val="11"/>
                <w:color w:val="auto"/>
              </w:rPr>
            </w:pPr>
          </w:p>
        </w:tc>
        <w:tc>
          <w:tcPr>
            <w:tcW w:w="260" w:type="dxa"/>
            <w:vAlign w:val="bottom"/>
            <w:tcBorders>
              <w:bottom w:val="single" w:sz="8" w:color="E5F1EE"/>
            </w:tcBorders>
            <w:shd w:val="clear" w:color="auto" w:fill="E5F1EE"/>
          </w:tcPr>
          <w:p>
            <w:pPr>
              <w:spacing w:after="0"/>
              <w:rPr>
                <w:sz w:val="11"/>
                <w:szCs w:val="11"/>
                <w:color w:val="auto"/>
              </w:rPr>
            </w:pPr>
          </w:p>
        </w:tc>
        <w:tc>
          <w:tcPr>
            <w:tcW w:w="660" w:type="dxa"/>
            <w:vAlign w:val="bottom"/>
            <w:tcBorders>
              <w:bottom w:val="single" w:sz="8" w:color="E5F1EE"/>
            </w:tcBorders>
            <w:shd w:val="clear" w:color="auto" w:fill="E5F1EE"/>
          </w:tcPr>
          <w:p>
            <w:pPr>
              <w:spacing w:after="0"/>
              <w:rPr>
                <w:sz w:val="11"/>
                <w:szCs w:val="11"/>
                <w:color w:val="auto"/>
              </w:rPr>
            </w:pPr>
          </w:p>
        </w:tc>
        <w:tc>
          <w:tcPr>
            <w:tcW w:w="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E5F1EE"/>
            </w:tcBorders>
            <w:shd w:val="clear" w:color="auto" w:fill="E5F1EE"/>
          </w:tcPr>
          <w:p>
            <w:pPr>
              <w:spacing w:after="0"/>
              <w:rPr>
                <w:sz w:val="11"/>
                <w:szCs w:val="11"/>
                <w:color w:val="auto"/>
              </w:rPr>
            </w:pPr>
          </w:p>
        </w:tc>
        <w:tc>
          <w:tcPr>
            <w:tcW w:w="920" w:type="dxa"/>
            <w:vAlign w:val="bottom"/>
            <w:tcBorders>
              <w:bottom w:val="single" w:sz="8" w:color="E5F1EE"/>
            </w:tcBorders>
            <w:shd w:val="clear" w:color="auto" w:fill="E5F1EE"/>
          </w:tcPr>
          <w:p>
            <w:pPr>
              <w:spacing w:after="0"/>
              <w:rPr>
                <w:sz w:val="11"/>
                <w:szCs w:val="11"/>
                <w:color w:val="auto"/>
              </w:rPr>
            </w:pPr>
          </w:p>
        </w:tc>
        <w:tc>
          <w:tcPr>
            <w:tcW w:w="20" w:type="dxa"/>
            <w:vAlign w:val="bottom"/>
            <w:tcBorders>
              <w:bottom w:val="single" w:sz="8" w:color="E5F1EE"/>
            </w:tcBorders>
            <w:shd w:val="clear" w:color="auto" w:fill="E5F1EE"/>
          </w:tcPr>
          <w:p>
            <w:pPr>
              <w:spacing w:after="0"/>
              <w:rPr>
                <w:sz w:val="11"/>
                <w:szCs w:val="11"/>
                <w:color w:val="auto"/>
              </w:rPr>
            </w:pPr>
          </w:p>
        </w:tc>
      </w:tr>
      <w:tr>
        <w:trPr>
          <w:trHeight w:val="96"/>
        </w:trPr>
        <w:tc>
          <w:tcPr>
            <w:tcW w:w="4720" w:type="dxa"/>
            <w:vAlign w:val="bottom"/>
            <w:gridSpan w:val="4"/>
          </w:tcPr>
          <w:p>
            <w:pPr>
              <w:spacing w:after="0" w:line="97" w:lineRule="exact"/>
              <w:rPr>
                <w:sz w:val="20"/>
                <w:szCs w:val="20"/>
                <w:color w:val="auto"/>
              </w:rPr>
            </w:pPr>
            <w:r>
              <w:rPr>
                <w:rFonts w:ascii="Times New Roman" w:cs="Times New Roman" w:eastAsia="Times New Roman" w:hAnsi="Times New Roman"/>
                <w:sz w:val="9"/>
                <w:szCs w:val="9"/>
                <w:color w:val="auto"/>
              </w:rPr>
              <w:t>Full time equivalent employees</w:t>
            </w:r>
          </w:p>
        </w:tc>
        <w:tc>
          <w:tcPr>
            <w:tcW w:w="220" w:type="dxa"/>
            <w:vAlign w:val="bottom"/>
          </w:tcPr>
          <w:p>
            <w:pPr>
              <w:spacing w:after="0"/>
              <w:rPr>
                <w:sz w:val="8"/>
                <w:szCs w:val="8"/>
                <w:color w:val="auto"/>
              </w:rPr>
            </w:pPr>
          </w:p>
        </w:tc>
        <w:tc>
          <w:tcPr>
            <w:tcW w:w="7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22,080</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22,101</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36290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29025" cy="571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-1061720</wp:posOffset>
            </wp:positionV>
            <wp:extent cx="11430" cy="80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430" cy="80010"/>
                    </a:xfrm>
                    <a:prstGeom prst="rect">
                      <a:avLst/>
                    </a:prstGeom>
                    <a:noFill/>
                  </pic:spPr>
                </pic:pic>
              </a:graphicData>
            </a:graphic>
          </wp:anchor>
        </w:drawing>
      </w:r>
    </w:p>
    <w:p>
      <w:pPr>
        <w:spacing w:after="0" w:line="305" w:lineRule="exact"/>
        <w:rPr>
          <w:sz w:val="20"/>
          <w:szCs w:val="20"/>
          <w:color w:val="auto"/>
        </w:rPr>
      </w:pPr>
    </w:p>
    <w:p>
      <w:pPr>
        <w:ind w:left="108" w:hanging="108"/>
        <w:spacing w:after="0"/>
        <w:tabs>
          <w:tab w:leader="none" w:pos="108"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Includes common stock equivalents.</w:t>
      </w:r>
    </w:p>
    <w:p>
      <w:pPr>
        <w:ind w:left="108" w:hanging="108"/>
        <w:spacing w:after="0" w:line="187" w:lineRule="auto"/>
        <w:tabs>
          <w:tab w:leader="none" w:pos="108"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Includes common stock issuable under deferred compensation plans.</w:t>
      </w:r>
    </w:p>
    <w:p>
      <w:pPr>
        <w:ind w:left="108" w:hanging="108"/>
        <w:spacing w:after="0" w:line="211" w:lineRule="auto"/>
        <w:tabs>
          <w:tab w:leader="none" w:pos="108"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Excludes amortization and balances related to goodwill and core deposit and other intangible assets and merger-related expenses which, except in the calculation of the efficiency ratio, are net of applicable income tax effects. Reconciliations of net income with net operating income appear on page 17.</w:t>
      </w:r>
    </w:p>
    <w:p>
      <w:pPr>
        <w:ind w:left="108" w:hanging="108"/>
        <w:spacing w:after="0"/>
        <w:tabs>
          <w:tab w:leader="none" w:pos="108"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Predominantly government-guaranteed residential real estate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8"/>
          </w:cols>
          <w:pgMar w:left="292" w:top="332" w:right="299" w:bottom="1440" w:gutter="0" w:footer="0" w:header="0"/>
        </w:sectPr>
      </w:pPr>
    </w:p>
    <w:bookmarkStart w:id="13" w:name="page14"/>
    <w:bookmarkEnd w:id="13"/>
    <w:tbl>
      <w:tblPr>
        <w:tblLayout w:type="fixed"/>
        <w:tblInd w:w="8" w:type="dxa"/>
        <w:tblCellMar>
          <w:top w:w="0" w:type="dxa"/>
          <w:left w:w="0" w:type="dxa"/>
          <w:bottom w:w="0" w:type="dxa"/>
          <w:right w:w="0" w:type="dxa"/>
        </w:tblCellMar>
      </w:tblPr>
      <w:tr>
        <w:trPr>
          <w:trHeight w:val="333"/>
        </w:trPr>
        <w:tc>
          <w:tcPr>
            <w:tcW w:w="500" w:type="dxa"/>
            <w:vAlign w:val="bottom"/>
            <w:shd w:val="clear" w:color="auto" w:fill="007856"/>
          </w:tcPr>
          <w:p>
            <w:pPr>
              <w:spacing w:after="0"/>
              <w:rPr>
                <w:sz w:val="24"/>
                <w:szCs w:val="24"/>
                <w:color w:val="auto"/>
              </w:rPr>
            </w:pPr>
          </w:p>
        </w:tc>
        <w:tc>
          <w:tcPr>
            <w:tcW w:w="400" w:type="dxa"/>
            <w:vAlign w:val="bottom"/>
            <w:shd w:val="clear" w:color="auto" w:fill="007856"/>
          </w:tcPr>
          <w:p>
            <w:pPr>
              <w:spacing w:after="0"/>
              <w:rPr>
                <w:sz w:val="24"/>
                <w:szCs w:val="24"/>
                <w:color w:val="auto"/>
              </w:rPr>
            </w:pPr>
          </w:p>
        </w:tc>
        <w:tc>
          <w:tcPr>
            <w:tcW w:w="40" w:type="dxa"/>
            <w:vAlign w:val="bottom"/>
            <w:shd w:val="clear" w:color="auto" w:fill="007856"/>
          </w:tcPr>
          <w:p>
            <w:pPr>
              <w:spacing w:after="0"/>
              <w:rPr>
                <w:sz w:val="24"/>
                <w:szCs w:val="24"/>
                <w:color w:val="auto"/>
              </w:rPr>
            </w:pPr>
          </w:p>
        </w:tc>
        <w:tc>
          <w:tcPr>
            <w:tcW w:w="3800" w:type="dxa"/>
            <w:vAlign w:val="bottom"/>
            <w:shd w:val="clear" w:color="auto" w:fill="007856"/>
          </w:tcPr>
          <w:p>
            <w:pPr>
              <w:spacing w:after="0"/>
              <w:rPr>
                <w:sz w:val="24"/>
                <w:szCs w:val="24"/>
                <w:color w:val="auto"/>
              </w:rPr>
            </w:pPr>
          </w:p>
        </w:tc>
        <w:tc>
          <w:tcPr>
            <w:tcW w:w="180" w:type="dxa"/>
            <w:vAlign w:val="bottom"/>
            <w:shd w:val="clear" w:color="auto" w:fill="007856"/>
          </w:tcPr>
          <w:p>
            <w:pPr>
              <w:spacing w:after="0"/>
              <w:rPr>
                <w:sz w:val="24"/>
                <w:szCs w:val="24"/>
                <w:color w:val="auto"/>
              </w:rPr>
            </w:pPr>
          </w:p>
        </w:tc>
        <w:tc>
          <w:tcPr>
            <w:tcW w:w="94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180" w:type="dxa"/>
            <w:vAlign w:val="bottom"/>
            <w:shd w:val="clear" w:color="auto" w:fill="007856"/>
          </w:tcPr>
          <w:p>
            <w:pPr>
              <w:spacing w:after="0"/>
              <w:rPr>
                <w:sz w:val="24"/>
                <w:szCs w:val="24"/>
                <w:color w:val="auto"/>
              </w:rPr>
            </w:pPr>
          </w:p>
        </w:tc>
        <w:tc>
          <w:tcPr>
            <w:tcW w:w="940" w:type="dxa"/>
            <w:vAlign w:val="bottom"/>
            <w:shd w:val="clear" w:color="auto" w:fill="007856"/>
          </w:tcPr>
          <w:p>
            <w:pPr>
              <w:spacing w:after="0"/>
              <w:rPr>
                <w:sz w:val="24"/>
                <w:szCs w:val="24"/>
                <w:color w:val="auto"/>
              </w:rPr>
            </w:pPr>
          </w:p>
        </w:tc>
        <w:tc>
          <w:tcPr>
            <w:tcW w:w="2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120" w:type="dxa"/>
            <w:vAlign w:val="bottom"/>
            <w:shd w:val="clear" w:color="auto" w:fill="007856"/>
          </w:tcPr>
          <w:p>
            <w:pPr>
              <w:spacing w:after="0"/>
              <w:rPr>
                <w:sz w:val="24"/>
                <w:szCs w:val="24"/>
                <w:color w:val="auto"/>
              </w:rPr>
            </w:pPr>
          </w:p>
        </w:tc>
        <w:tc>
          <w:tcPr>
            <w:tcW w:w="1000" w:type="dxa"/>
            <w:vAlign w:val="bottom"/>
            <w:shd w:val="clear" w:color="auto" w:fill="007856"/>
          </w:tcPr>
          <w:p>
            <w:pPr>
              <w:spacing w:after="0"/>
              <w:rPr>
                <w:sz w:val="24"/>
                <w:szCs w:val="24"/>
                <w:color w:val="auto"/>
              </w:rPr>
            </w:pPr>
          </w:p>
        </w:tc>
        <w:tc>
          <w:tcPr>
            <w:tcW w:w="2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2320" w:type="dxa"/>
            <w:vAlign w:val="bottom"/>
            <w:gridSpan w:val="6"/>
            <w:shd w:val="clear" w:color="auto" w:fill="007856"/>
          </w:tcPr>
          <w:p>
            <w:pPr>
              <w:ind w:left="740"/>
              <w:spacing w:after="0"/>
              <w:rPr>
                <w:sz w:val="20"/>
                <w:szCs w:val="20"/>
                <w:color w:val="auto"/>
              </w:rPr>
            </w:pPr>
            <w:r>
              <w:rPr>
                <w:rFonts w:ascii="Times New Roman" w:cs="Times New Roman" w:eastAsia="Times New Roman" w:hAnsi="Times New Roman"/>
                <w:sz w:val="12"/>
                <w:szCs w:val="12"/>
                <w:b w:val="1"/>
                <w:bCs w:val="1"/>
                <w:color w:val="FFFFFF"/>
              </w:rPr>
              <w:t>Fourth Quarter 2025 Results</w:t>
            </w:r>
          </w:p>
        </w:tc>
        <w:tc>
          <w:tcPr>
            <w:tcW w:w="0" w:type="dxa"/>
            <w:vAlign w:val="bottom"/>
          </w:tcPr>
          <w:p>
            <w:pPr>
              <w:spacing w:after="0"/>
              <w:rPr>
                <w:sz w:val="1"/>
                <w:szCs w:val="1"/>
                <w:color w:val="auto"/>
              </w:rPr>
            </w:pPr>
          </w:p>
        </w:tc>
      </w:tr>
      <w:tr>
        <w:trPr>
          <w:trHeight w:val="738"/>
        </w:trPr>
        <w:tc>
          <w:tcPr>
            <w:tcW w:w="47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Financial Highlights, Five Quarter Trend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9"/>
                <w:szCs w:val="9"/>
                <w:color w:val="auto"/>
                <w:w w:val="99"/>
              </w:rPr>
              <w:t>Three Months Ended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center"/>
              <w:ind w:right="115"/>
              <w:spacing w:after="0"/>
              <w:rPr>
                <w:sz w:val="20"/>
                <w:szCs w:val="20"/>
                <w:color w:val="auto"/>
              </w:rPr>
            </w:pPr>
            <w:r>
              <w:rPr>
                <w:rFonts w:ascii="Times New Roman" w:cs="Times New Roman" w:eastAsia="Times New Roman" w:hAnsi="Times New Roman"/>
                <w:sz w:val="9"/>
                <w:szCs w:val="9"/>
                <w:color w:val="auto"/>
                <w:w w:val="98"/>
              </w:rPr>
              <w:t>December 31,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color w:val="auto"/>
                <w:w w:val="99"/>
              </w:rPr>
              <w:t>September 30,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color w:val="auto"/>
                <w:w w:val="99"/>
              </w:rPr>
              <w:t>June 30,</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color w:val="auto"/>
              </w:rPr>
              <w:t>March 31,</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center"/>
              <w:ind w:right="155"/>
              <w:spacing w:after="0"/>
              <w:rPr>
                <w:sz w:val="20"/>
                <w:szCs w:val="20"/>
                <w:color w:val="auto"/>
              </w:rPr>
            </w:pPr>
            <w:r>
              <w:rPr>
                <w:rFonts w:ascii="Times New Roman" w:cs="Times New Roman" w:eastAsia="Times New Roman" w:hAnsi="Times New Roman"/>
                <w:sz w:val="9"/>
                <w:szCs w:val="9"/>
                <w:color w:val="auto"/>
                <w:w w:val="98"/>
              </w:rPr>
              <w:t>December 31,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(Dollars in millions, except per share, shares in thousands)</w:t>
            </w: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9"/>
                <w:szCs w:val="9"/>
                <w:color w:val="auto"/>
                <w:w w:val="99"/>
              </w:rPr>
              <w:t>2025</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9"/>
                <w:szCs w:val="9"/>
                <w:color w:val="auto"/>
                <w:w w:val="99"/>
              </w:rPr>
              <w:t>2025</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9"/>
                <w:szCs w:val="9"/>
                <w:color w:val="auto"/>
                <w:w w:val="99"/>
              </w:rPr>
              <w:t>2025</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9"/>
                <w:szCs w:val="9"/>
                <w:color w:val="auto"/>
                <w:w w:val="99"/>
              </w:rPr>
              <w:t>2025</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9"/>
                <w:szCs w:val="9"/>
                <w:color w:val="auto"/>
                <w:w w:val="99"/>
              </w:rPr>
              <w:t>2024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740" w:type="dxa"/>
            <w:vAlign w:val="bottom"/>
            <w:gridSpan w:val="4"/>
          </w:tcPr>
          <w:p>
            <w:pPr>
              <w:spacing w:after="0" w:line="89" w:lineRule="exact"/>
              <w:rPr>
                <w:sz w:val="20"/>
                <w:szCs w:val="20"/>
                <w:color w:val="auto"/>
              </w:rPr>
            </w:pPr>
            <w:r>
              <w:rPr>
                <w:rFonts w:ascii="Times New Roman" w:cs="Times New Roman" w:eastAsia="Times New Roman" w:hAnsi="Times New Roman"/>
                <w:sz w:val="9"/>
                <w:szCs w:val="9"/>
                <w:b w:val="1"/>
                <w:bCs w:val="1"/>
                <w:color w:val="auto"/>
              </w:rPr>
              <w:t>Performance</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00" w:type="dxa"/>
            <w:vAlign w:val="bottom"/>
            <w:tcBorders>
              <w:top w:val="single" w:sz="8" w:color="auto"/>
            </w:tcBorders>
            <w:shd w:val="clear" w:color="auto" w:fill="E5F1EE"/>
          </w:tcPr>
          <w:p>
            <w:pPr>
              <w:spacing w:after="0"/>
              <w:rPr>
                <w:sz w:val="20"/>
                <w:szCs w:val="20"/>
                <w:color w:val="auto"/>
              </w:rPr>
            </w:pPr>
            <w:r>
              <w:rPr>
                <w:rFonts w:ascii="Times New Roman" w:cs="Times New Roman" w:eastAsia="Times New Roman" w:hAnsi="Times New Roman"/>
                <w:sz w:val="9"/>
                <w:szCs w:val="9"/>
                <w:color w:val="auto"/>
              </w:rPr>
              <w:t>Net income</w:t>
            </w:r>
          </w:p>
        </w:tc>
        <w:tc>
          <w:tcPr>
            <w:tcW w:w="4240" w:type="dxa"/>
            <w:vAlign w:val="bottom"/>
            <w:gridSpan w:val="3"/>
            <w:shd w:val="clear" w:color="auto" w:fill="E5F1EE"/>
          </w:tcPr>
          <w:p>
            <w:pPr>
              <w:spacing w:after="0"/>
              <w:rPr>
                <w:sz w:val="10"/>
                <w:szCs w:val="10"/>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759</w:t>
            </w:r>
          </w:p>
        </w:tc>
        <w:tc>
          <w:tcPr>
            <w:tcW w:w="400" w:type="dxa"/>
            <w:vAlign w:val="bottom"/>
            <w:gridSpan w:val="2"/>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792</w:t>
            </w:r>
          </w:p>
        </w:tc>
        <w:tc>
          <w:tcPr>
            <w:tcW w:w="20" w:type="dxa"/>
            <w:vAlign w:val="bottom"/>
            <w:shd w:val="clear" w:color="auto" w:fill="E5F1EE"/>
          </w:tcPr>
          <w:p>
            <w:pPr>
              <w:spacing w:after="0"/>
              <w:rPr>
                <w:sz w:val="10"/>
                <w:szCs w:val="10"/>
                <w:color w:val="auto"/>
              </w:rPr>
            </w:pPr>
          </w:p>
        </w:tc>
        <w:tc>
          <w:tcPr>
            <w:tcW w:w="320" w:type="dxa"/>
            <w:vAlign w:val="bottom"/>
            <w:gridSpan w:val="2"/>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716</w:t>
            </w:r>
          </w:p>
        </w:tc>
        <w:tc>
          <w:tcPr>
            <w:tcW w:w="20" w:type="dxa"/>
            <w:vAlign w:val="bottom"/>
            <w:shd w:val="clear" w:color="auto" w:fill="E5F1EE"/>
          </w:tcPr>
          <w:p>
            <w:pPr>
              <w:spacing w:after="0"/>
              <w:rPr>
                <w:sz w:val="10"/>
                <w:szCs w:val="10"/>
                <w:color w:val="auto"/>
              </w:rPr>
            </w:pPr>
          </w:p>
        </w:tc>
        <w:tc>
          <w:tcPr>
            <w:tcW w:w="420" w:type="dxa"/>
            <w:vAlign w:val="bottom"/>
            <w:gridSpan w:val="2"/>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584</w:t>
            </w:r>
          </w:p>
        </w:tc>
        <w:tc>
          <w:tcPr>
            <w:tcW w:w="20" w:type="dxa"/>
            <w:vAlign w:val="bottom"/>
            <w:shd w:val="clear" w:color="auto" w:fill="E5F1EE"/>
          </w:tcPr>
          <w:p>
            <w:pPr>
              <w:spacing w:after="0"/>
              <w:rPr>
                <w:sz w:val="10"/>
                <w:szCs w:val="10"/>
                <w:color w:val="auto"/>
              </w:rPr>
            </w:pPr>
          </w:p>
        </w:tc>
        <w:tc>
          <w:tcPr>
            <w:tcW w:w="400" w:type="dxa"/>
            <w:vAlign w:val="bottom"/>
            <w:gridSpan w:val="2"/>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681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Net income available to common shareholders</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718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754</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679</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Per common share:</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Basic earnings</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4.85</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4.26</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Diluted earnings</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4.67</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4.82</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4.24</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3.32</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3.86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Cash dividends</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1.35</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1.35</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Common shares outstanding:</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Average - diluted (1)</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153,712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156,553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160,005</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165,047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166,969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Period end (2)</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151,840</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154,518</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156,532</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162,552</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165,526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Return on (annualized):</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740" w:type="dxa"/>
            <w:vAlign w:val="bottom"/>
            <w:tcBorders>
              <w:bottom w:val="single" w:sz="8" w:color="E5F1EE"/>
            </w:tcBorders>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Average total assets</w:t>
            </w:r>
          </w:p>
        </w:tc>
        <w:tc>
          <w:tcPr>
            <w:tcW w:w="180" w:type="dxa"/>
            <w:vAlign w:val="bottom"/>
            <w:tcBorders>
              <w:bottom w:val="single" w:sz="8" w:color="E5F1EE"/>
            </w:tcBorders>
            <w:shd w:val="clear" w:color="auto" w:fill="E5F1EE"/>
          </w:tcPr>
          <w:p>
            <w:pPr>
              <w:spacing w:after="0"/>
              <w:rPr>
                <w:sz w:val="11"/>
                <w:szCs w:val="11"/>
                <w:color w:val="auto"/>
              </w:rPr>
            </w:pPr>
          </w:p>
        </w:tc>
        <w:tc>
          <w:tcPr>
            <w:tcW w:w="9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1.41 %</w:t>
            </w:r>
          </w:p>
        </w:tc>
        <w:tc>
          <w:tcPr>
            <w:tcW w:w="220" w:type="dxa"/>
            <w:vAlign w:val="bottom"/>
            <w:tcBorders>
              <w:bottom w:val="single" w:sz="8" w:color="E5F1EE"/>
            </w:tcBorders>
            <w:shd w:val="clear" w:color="auto" w:fill="E5F1EE"/>
          </w:tcPr>
          <w:p>
            <w:pPr>
              <w:spacing w:after="0"/>
              <w:rPr>
                <w:sz w:val="11"/>
                <w:szCs w:val="11"/>
                <w:color w:val="auto"/>
              </w:rPr>
            </w:pPr>
          </w:p>
        </w:tc>
        <w:tc>
          <w:tcPr>
            <w:tcW w:w="180" w:type="dxa"/>
            <w:vAlign w:val="bottom"/>
            <w:tcBorders>
              <w:bottom w:val="single" w:sz="8" w:color="E5F1EE"/>
            </w:tcBorders>
            <w:shd w:val="clear" w:color="auto" w:fill="E5F1EE"/>
          </w:tcPr>
          <w:p>
            <w:pPr>
              <w:spacing w:after="0"/>
              <w:rPr>
                <w:sz w:val="11"/>
                <w:szCs w:val="11"/>
                <w:color w:val="auto"/>
              </w:rPr>
            </w:pPr>
          </w:p>
        </w:tc>
        <w:tc>
          <w:tcPr>
            <w:tcW w:w="9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1.49 %</w:t>
            </w:r>
          </w:p>
        </w:tc>
        <w:tc>
          <w:tcPr>
            <w:tcW w:w="20" w:type="dxa"/>
            <w:vAlign w:val="bottom"/>
            <w:shd w:val="clear" w:color="auto" w:fill="E5F1EE"/>
          </w:tcPr>
          <w:p>
            <w:pPr>
              <w:spacing w:after="0"/>
              <w:rPr>
                <w:sz w:val="11"/>
                <w:szCs w:val="11"/>
                <w:color w:val="auto"/>
              </w:rPr>
            </w:pPr>
          </w:p>
        </w:tc>
        <w:tc>
          <w:tcPr>
            <w:tcW w:w="200" w:type="dxa"/>
            <w:vAlign w:val="bottom"/>
            <w:tcBorders>
              <w:bottom w:val="single" w:sz="8" w:color="E5F1EE"/>
            </w:tcBorders>
            <w:shd w:val="clear" w:color="auto" w:fill="E5F1EE"/>
          </w:tcPr>
          <w:p>
            <w:pPr>
              <w:spacing w:after="0"/>
              <w:rPr>
                <w:sz w:val="11"/>
                <w:szCs w:val="11"/>
                <w:color w:val="auto"/>
              </w:rPr>
            </w:pPr>
          </w:p>
        </w:tc>
        <w:tc>
          <w:tcPr>
            <w:tcW w:w="120" w:type="dxa"/>
            <w:vAlign w:val="bottom"/>
            <w:tcBorders>
              <w:bottom w:val="single" w:sz="8" w:color="E5F1EE"/>
            </w:tcBorders>
            <w:shd w:val="clear" w:color="auto" w:fill="E5F1EE"/>
          </w:tcPr>
          <w:p>
            <w:pPr>
              <w:spacing w:after="0"/>
              <w:rPr>
                <w:sz w:val="11"/>
                <w:szCs w:val="11"/>
                <w:color w:val="auto"/>
              </w:rPr>
            </w:pPr>
          </w:p>
        </w:tc>
        <w:tc>
          <w:tcPr>
            <w:tcW w:w="10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1.37 %</w:t>
            </w:r>
          </w:p>
        </w:tc>
        <w:tc>
          <w:tcPr>
            <w:tcW w:w="20" w:type="dxa"/>
            <w:vAlign w:val="bottom"/>
            <w:shd w:val="clear" w:color="auto" w:fill="E5F1EE"/>
          </w:tcPr>
          <w:p>
            <w:pPr>
              <w:spacing w:after="0"/>
              <w:rPr>
                <w:sz w:val="11"/>
                <w:szCs w:val="11"/>
                <w:color w:val="auto"/>
              </w:rPr>
            </w:pPr>
          </w:p>
        </w:tc>
        <w:tc>
          <w:tcPr>
            <w:tcW w:w="20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E5F1EE"/>
            </w:tcBorders>
            <w:shd w:val="clear" w:color="auto" w:fill="E5F1EE"/>
          </w:tcPr>
          <w:p>
            <w:pPr>
              <w:spacing w:after="0"/>
              <w:rPr>
                <w:sz w:val="11"/>
                <w:szCs w:val="11"/>
                <w:color w:val="auto"/>
              </w:rPr>
            </w:pPr>
          </w:p>
        </w:tc>
        <w:tc>
          <w:tcPr>
            <w:tcW w:w="9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1.14 %</w:t>
            </w:r>
          </w:p>
        </w:tc>
        <w:tc>
          <w:tcPr>
            <w:tcW w:w="20" w:type="dxa"/>
            <w:vAlign w:val="bottom"/>
            <w:shd w:val="clear" w:color="auto" w:fill="E5F1EE"/>
          </w:tcPr>
          <w:p>
            <w:pPr>
              <w:spacing w:after="0"/>
              <w:rPr>
                <w:sz w:val="11"/>
                <w:szCs w:val="11"/>
                <w:color w:val="auto"/>
              </w:rPr>
            </w:pPr>
          </w:p>
        </w:tc>
        <w:tc>
          <w:tcPr>
            <w:tcW w:w="20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E5F1EE"/>
            </w:tcBorders>
            <w:shd w:val="clear" w:color="auto" w:fill="E5F1EE"/>
          </w:tcPr>
          <w:p>
            <w:pPr>
              <w:spacing w:after="0"/>
              <w:rPr>
                <w:sz w:val="11"/>
                <w:szCs w:val="11"/>
                <w:color w:val="auto"/>
              </w:rPr>
            </w:pPr>
          </w:p>
        </w:tc>
        <w:tc>
          <w:tcPr>
            <w:tcW w:w="940" w:type="dxa"/>
            <w:vAlign w:val="bottom"/>
            <w:tcBorders>
              <w:bottom w:val="single" w:sz="8" w:color="E5F1EE"/>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1.28 %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740" w:type="dxa"/>
            <w:vAlign w:val="bottom"/>
            <w:gridSpan w:val="4"/>
          </w:tcPr>
          <w:p>
            <w:pPr>
              <w:ind w:left="140"/>
              <w:spacing w:after="0" w:line="101" w:lineRule="exact"/>
              <w:rPr>
                <w:sz w:val="20"/>
                <w:szCs w:val="20"/>
                <w:color w:val="auto"/>
              </w:rPr>
            </w:pPr>
            <w:r>
              <w:rPr>
                <w:rFonts w:ascii="Times New Roman" w:cs="Times New Roman" w:eastAsia="Times New Roman" w:hAnsi="Times New Roman"/>
                <w:sz w:val="9"/>
                <w:szCs w:val="9"/>
                <w:color w:val="auto"/>
              </w:rPr>
              <w:t>Average common shareholders' equity</w:t>
            </w:r>
          </w:p>
        </w:tc>
        <w:tc>
          <w:tcPr>
            <w:tcW w:w="180" w:type="dxa"/>
            <w:vAlign w:val="bottom"/>
          </w:tcPr>
          <w:p>
            <w:pPr>
              <w:spacing w:after="0"/>
              <w:rPr>
                <w:sz w:val="8"/>
                <w:szCs w:val="8"/>
                <w:color w:val="auto"/>
              </w:rPr>
            </w:pPr>
          </w:p>
        </w:tc>
        <w:tc>
          <w:tcPr>
            <w:tcW w:w="9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10.87</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11.45</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10.39</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8.36</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9.75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Taxable-equivalent net interest income</w:t>
            </w: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1,790</w:t>
            </w:r>
          </w:p>
        </w:tc>
        <w:tc>
          <w:tcPr>
            <w:tcW w:w="400" w:type="dxa"/>
            <w:vAlign w:val="bottom"/>
            <w:gridSpan w:val="2"/>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1,773</w:t>
            </w:r>
          </w:p>
        </w:tc>
        <w:tc>
          <w:tcPr>
            <w:tcW w:w="20" w:type="dxa"/>
            <w:vAlign w:val="bottom"/>
            <w:shd w:val="clear" w:color="auto" w:fill="E5F1EE"/>
          </w:tcPr>
          <w:p>
            <w:pPr>
              <w:spacing w:after="0"/>
              <w:rPr>
                <w:sz w:val="11"/>
                <w:szCs w:val="11"/>
                <w:color w:val="auto"/>
              </w:rPr>
            </w:pPr>
          </w:p>
        </w:tc>
        <w:tc>
          <w:tcPr>
            <w:tcW w:w="320" w:type="dxa"/>
            <w:vAlign w:val="bottom"/>
            <w:gridSpan w:val="2"/>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1,722</w:t>
            </w:r>
          </w:p>
        </w:tc>
        <w:tc>
          <w:tcPr>
            <w:tcW w:w="20" w:type="dxa"/>
            <w:vAlign w:val="bottom"/>
            <w:shd w:val="clear" w:color="auto" w:fill="E5F1EE"/>
          </w:tcPr>
          <w:p>
            <w:pPr>
              <w:spacing w:after="0"/>
              <w:rPr>
                <w:sz w:val="11"/>
                <w:szCs w:val="11"/>
                <w:color w:val="auto"/>
              </w:rPr>
            </w:pPr>
          </w:p>
        </w:tc>
        <w:tc>
          <w:tcPr>
            <w:tcW w:w="420" w:type="dxa"/>
            <w:vAlign w:val="bottom"/>
            <w:gridSpan w:val="2"/>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1,707</w:t>
            </w:r>
          </w:p>
        </w:tc>
        <w:tc>
          <w:tcPr>
            <w:tcW w:w="20" w:type="dxa"/>
            <w:vAlign w:val="bottom"/>
            <w:shd w:val="clear" w:color="auto" w:fill="E5F1EE"/>
          </w:tcPr>
          <w:p>
            <w:pPr>
              <w:spacing w:after="0"/>
              <w:rPr>
                <w:sz w:val="11"/>
                <w:szCs w:val="11"/>
                <w:color w:val="auto"/>
              </w:rPr>
            </w:pPr>
          </w:p>
        </w:tc>
        <w:tc>
          <w:tcPr>
            <w:tcW w:w="400" w:type="dxa"/>
            <w:vAlign w:val="bottom"/>
            <w:gridSpan w:val="2"/>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1,740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Yield on average earning assets</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5.46 %</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5.59 %</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5.51 %</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5.52 %</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5.60 %</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Cost of interest-bearing liabilities</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2.51</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2.71</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2.71</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2.70</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Net interest spread</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Contribution of interest-free funds</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.74</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.80</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.82</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Net interest margin</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3.66</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Net charge-offs to average total net loans (annualized)</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.54</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.42</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.32</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.34</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940" w:type="dxa"/>
            <w:vAlign w:val="bottom"/>
            <w:tcBorders>
              <w:bottom w:val="single" w:sz="8" w:color="auto"/>
            </w:tcBorders>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w w:val="98"/>
              </w:rPr>
              <w:t>Net operating results (3)</w:t>
            </w:r>
          </w:p>
        </w:tc>
        <w:tc>
          <w:tcPr>
            <w:tcW w:w="3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74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Net operating income</w:t>
            </w: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767</w:t>
            </w:r>
          </w:p>
        </w:tc>
        <w:tc>
          <w:tcPr>
            <w:tcW w:w="400" w:type="dxa"/>
            <w:vAlign w:val="bottom"/>
            <w:gridSpan w:val="2"/>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798</w:t>
            </w:r>
          </w:p>
        </w:tc>
        <w:tc>
          <w:tcPr>
            <w:tcW w:w="20" w:type="dxa"/>
            <w:vAlign w:val="bottom"/>
            <w:shd w:val="clear" w:color="auto" w:fill="E5F1EE"/>
          </w:tcPr>
          <w:p>
            <w:pPr>
              <w:spacing w:after="0"/>
              <w:rPr>
                <w:sz w:val="10"/>
                <w:szCs w:val="10"/>
                <w:color w:val="auto"/>
              </w:rPr>
            </w:pPr>
          </w:p>
        </w:tc>
        <w:tc>
          <w:tcPr>
            <w:tcW w:w="320" w:type="dxa"/>
            <w:vAlign w:val="bottom"/>
            <w:gridSpan w:val="2"/>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724</w:t>
            </w:r>
          </w:p>
        </w:tc>
        <w:tc>
          <w:tcPr>
            <w:tcW w:w="20" w:type="dxa"/>
            <w:vAlign w:val="bottom"/>
            <w:shd w:val="clear" w:color="auto" w:fill="E5F1EE"/>
          </w:tcPr>
          <w:p>
            <w:pPr>
              <w:spacing w:after="0"/>
              <w:rPr>
                <w:sz w:val="10"/>
                <w:szCs w:val="10"/>
                <w:color w:val="auto"/>
              </w:rPr>
            </w:pPr>
          </w:p>
        </w:tc>
        <w:tc>
          <w:tcPr>
            <w:tcW w:w="420" w:type="dxa"/>
            <w:vAlign w:val="bottom"/>
            <w:gridSpan w:val="2"/>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594</w:t>
            </w:r>
          </w:p>
        </w:tc>
        <w:tc>
          <w:tcPr>
            <w:tcW w:w="20" w:type="dxa"/>
            <w:vAlign w:val="bottom"/>
            <w:shd w:val="clear" w:color="auto" w:fill="E5F1EE"/>
          </w:tcPr>
          <w:p>
            <w:pPr>
              <w:spacing w:after="0"/>
              <w:rPr>
                <w:sz w:val="10"/>
                <w:szCs w:val="10"/>
                <w:color w:val="auto"/>
              </w:rPr>
            </w:pPr>
          </w:p>
        </w:tc>
        <w:tc>
          <w:tcPr>
            <w:tcW w:w="400" w:type="dxa"/>
            <w:vAlign w:val="bottom"/>
            <w:gridSpan w:val="2"/>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Diluted net operating earnings per common share</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Return on (annualized):</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Average tangible assets</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1.49 %</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1.56 %</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1.44 %</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1.21 %</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1.35 %</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Average tangible common equity</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16.24</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17.13</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15.54</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12.53</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14.66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Efficiency ratio</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53.6</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60.5</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500" w:type="dxa"/>
            <w:vAlign w:val="bottom"/>
            <w:shd w:val="clear" w:color="auto" w:fill="E5F1EE"/>
          </w:tcPr>
          <w:p>
            <w:pPr>
              <w:spacing w:after="0"/>
              <w:rPr>
                <w:sz w:val="12"/>
                <w:szCs w:val="12"/>
                <w:color w:val="auto"/>
              </w:rPr>
            </w:pPr>
          </w:p>
        </w:tc>
        <w:tc>
          <w:tcPr>
            <w:tcW w:w="400" w:type="dxa"/>
            <w:vAlign w:val="bottom"/>
            <w:shd w:val="clear" w:color="auto" w:fill="E5F1EE"/>
          </w:tcPr>
          <w:p>
            <w:pPr>
              <w:spacing w:after="0"/>
              <w:rPr>
                <w:sz w:val="12"/>
                <w:szCs w:val="12"/>
                <w:color w:val="auto"/>
              </w:rPr>
            </w:pPr>
          </w:p>
        </w:tc>
        <w:tc>
          <w:tcPr>
            <w:tcW w:w="40" w:type="dxa"/>
            <w:vAlign w:val="bottom"/>
            <w:shd w:val="clear" w:color="auto" w:fill="E5F1EE"/>
          </w:tcPr>
          <w:p>
            <w:pPr>
              <w:spacing w:after="0"/>
              <w:rPr>
                <w:sz w:val="12"/>
                <w:szCs w:val="12"/>
                <w:color w:val="auto"/>
              </w:rPr>
            </w:pPr>
          </w:p>
        </w:tc>
        <w:tc>
          <w:tcPr>
            <w:tcW w:w="380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94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960" w:type="dxa"/>
            <w:vAlign w:val="bottom"/>
            <w:gridSpan w:val="2"/>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120" w:type="dxa"/>
            <w:vAlign w:val="bottom"/>
            <w:shd w:val="clear" w:color="auto" w:fill="E5F1EE"/>
          </w:tcPr>
          <w:p>
            <w:pPr>
              <w:spacing w:after="0"/>
              <w:rPr>
                <w:sz w:val="12"/>
                <w:szCs w:val="12"/>
                <w:color w:val="auto"/>
              </w:rPr>
            </w:pPr>
          </w:p>
        </w:tc>
        <w:tc>
          <w:tcPr>
            <w:tcW w:w="1020" w:type="dxa"/>
            <w:vAlign w:val="bottom"/>
            <w:gridSpan w:val="2"/>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920" w:type="dxa"/>
            <w:vAlign w:val="bottom"/>
            <w:gridSpan w:val="2"/>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940" w:type="dxa"/>
            <w:vAlign w:val="bottom"/>
            <w:tcBorders>
              <w:right w:val="single" w:sz="8" w:color="E5F1EE"/>
            </w:tcBorders>
            <w:shd w:val="clear" w:color="auto" w:fill="E5F1EE"/>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15"/>
              <w:spacing w:after="0"/>
              <w:rPr>
                <w:sz w:val="20"/>
                <w:szCs w:val="20"/>
                <w:color w:val="auto"/>
              </w:rPr>
            </w:pPr>
            <w:r>
              <w:rPr>
                <w:rFonts w:ascii="Times New Roman" w:cs="Times New Roman" w:eastAsia="Times New Roman" w:hAnsi="Times New Roman"/>
                <w:sz w:val="9"/>
                <w:szCs w:val="9"/>
                <w:color w:val="auto"/>
                <w:w w:val="98"/>
              </w:rPr>
              <w:t>December 31,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color w:val="auto"/>
                <w:w w:val="99"/>
              </w:rPr>
              <w:t>September 30,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color w:val="auto"/>
                <w:w w:val="99"/>
              </w:rPr>
              <w:t>June 30,</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color w:val="auto"/>
              </w:rPr>
              <w:t>March 31,</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55"/>
              <w:spacing w:after="0"/>
              <w:rPr>
                <w:sz w:val="20"/>
                <w:szCs w:val="20"/>
                <w:color w:val="auto"/>
              </w:rPr>
            </w:pPr>
            <w:r>
              <w:rPr>
                <w:rFonts w:ascii="Times New Roman" w:cs="Times New Roman" w:eastAsia="Times New Roman" w:hAnsi="Times New Roman"/>
                <w:sz w:val="9"/>
                <w:szCs w:val="9"/>
                <w:color w:val="auto"/>
                <w:w w:val="98"/>
              </w:rPr>
              <w:t>December 31,</w:t>
            </w: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00" w:type="dxa"/>
            <w:vAlign w:val="bottom"/>
            <w:tcBorders>
              <w:bottom w:val="single" w:sz="8" w:color="auto"/>
            </w:tcBorders>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w w:val="97"/>
              </w:rPr>
              <w:t>Loan quality</w:t>
            </w:r>
          </w:p>
        </w:tc>
        <w:tc>
          <w:tcPr>
            <w:tcW w:w="4240" w:type="dxa"/>
            <w:vAlign w:val="bottom"/>
            <w:tcBorders>
              <w:bottom w:val="single" w:sz="8" w:color="E5F1EE"/>
            </w:tcBorders>
            <w:gridSpan w:val="3"/>
            <w:shd w:val="clear" w:color="auto" w:fill="E5F1EE"/>
          </w:tcPr>
          <w:p>
            <w:pPr>
              <w:spacing w:after="0"/>
              <w:rPr>
                <w:sz w:val="12"/>
                <w:szCs w:val="12"/>
                <w:color w:val="auto"/>
              </w:rPr>
            </w:pPr>
          </w:p>
        </w:tc>
        <w:tc>
          <w:tcPr>
            <w:tcW w:w="180" w:type="dxa"/>
            <w:vAlign w:val="bottom"/>
            <w:tcBorders>
              <w:bottom w:val="single" w:sz="8" w:color="E5F1EE"/>
            </w:tcBorders>
            <w:shd w:val="clear" w:color="auto" w:fill="E5F1EE"/>
          </w:tcPr>
          <w:p>
            <w:pPr>
              <w:spacing w:after="0"/>
              <w:rPr>
                <w:sz w:val="12"/>
                <w:szCs w:val="12"/>
                <w:color w:val="auto"/>
              </w:rPr>
            </w:pPr>
          </w:p>
        </w:tc>
        <w:tc>
          <w:tcPr>
            <w:tcW w:w="940" w:type="dxa"/>
            <w:vAlign w:val="bottom"/>
            <w:tcBorders>
              <w:bottom w:val="single" w:sz="8" w:color="E5F1EE"/>
            </w:tcBorders>
            <w:shd w:val="clear" w:color="auto" w:fill="E5F1EE"/>
          </w:tcPr>
          <w:p>
            <w:pPr>
              <w:jc w:val="center"/>
              <w:ind w:right="115"/>
              <w:spacing w:after="0"/>
              <w:rPr>
                <w:sz w:val="20"/>
                <w:szCs w:val="20"/>
                <w:color w:val="auto"/>
              </w:rPr>
            </w:pPr>
            <w:r>
              <w:rPr>
                <w:rFonts w:ascii="Times New Roman" w:cs="Times New Roman" w:eastAsia="Times New Roman" w:hAnsi="Times New Roman"/>
                <w:sz w:val="9"/>
                <w:szCs w:val="9"/>
                <w:color w:val="auto"/>
                <w:w w:val="99"/>
              </w:rPr>
              <w:t>2025</w:t>
            </w:r>
          </w:p>
        </w:tc>
        <w:tc>
          <w:tcPr>
            <w:tcW w:w="220" w:type="dxa"/>
            <w:vAlign w:val="bottom"/>
            <w:tcBorders>
              <w:bottom w:val="single" w:sz="8" w:color="E5F1EE"/>
            </w:tcBorders>
            <w:shd w:val="clear" w:color="auto" w:fill="E5F1EE"/>
          </w:tcPr>
          <w:p>
            <w:pPr>
              <w:spacing w:after="0"/>
              <w:rPr>
                <w:sz w:val="12"/>
                <w:szCs w:val="12"/>
                <w:color w:val="auto"/>
              </w:rPr>
            </w:pPr>
          </w:p>
        </w:tc>
        <w:tc>
          <w:tcPr>
            <w:tcW w:w="180" w:type="dxa"/>
            <w:vAlign w:val="bottom"/>
            <w:tcBorders>
              <w:bottom w:val="single" w:sz="8" w:color="E5F1EE"/>
            </w:tcBorders>
            <w:shd w:val="clear" w:color="auto" w:fill="E5F1EE"/>
          </w:tcPr>
          <w:p>
            <w:pPr>
              <w:spacing w:after="0"/>
              <w:rPr>
                <w:sz w:val="12"/>
                <w:szCs w:val="12"/>
                <w:color w:val="auto"/>
              </w:rPr>
            </w:pPr>
          </w:p>
        </w:tc>
        <w:tc>
          <w:tcPr>
            <w:tcW w:w="940" w:type="dxa"/>
            <w:vAlign w:val="bottom"/>
            <w:tcBorders>
              <w:bottom w:val="single" w:sz="8" w:color="E5F1EE"/>
            </w:tcBorders>
            <w:shd w:val="clear" w:color="auto" w:fill="E5F1EE"/>
          </w:tcPr>
          <w:p>
            <w:pPr>
              <w:jc w:val="center"/>
              <w:ind w:right="115"/>
              <w:spacing w:after="0"/>
              <w:rPr>
                <w:sz w:val="20"/>
                <w:szCs w:val="20"/>
                <w:color w:val="auto"/>
              </w:rPr>
            </w:pPr>
            <w:r>
              <w:rPr>
                <w:rFonts w:ascii="Times New Roman" w:cs="Times New Roman" w:eastAsia="Times New Roman" w:hAnsi="Times New Roman"/>
                <w:sz w:val="9"/>
                <w:szCs w:val="9"/>
                <w:color w:val="auto"/>
                <w:w w:val="99"/>
              </w:rPr>
              <w:t>2025</w:t>
            </w:r>
          </w:p>
        </w:tc>
        <w:tc>
          <w:tcPr>
            <w:tcW w:w="20" w:type="dxa"/>
            <w:vAlign w:val="bottom"/>
            <w:tcBorders>
              <w:bottom w:val="single" w:sz="8" w:color="E5F1EE"/>
            </w:tcBorders>
            <w:shd w:val="clear" w:color="auto" w:fill="E5F1EE"/>
          </w:tcPr>
          <w:p>
            <w:pPr>
              <w:spacing w:after="0"/>
              <w:rPr>
                <w:sz w:val="12"/>
                <w:szCs w:val="12"/>
                <w:color w:val="auto"/>
              </w:rPr>
            </w:pPr>
          </w:p>
        </w:tc>
        <w:tc>
          <w:tcPr>
            <w:tcW w:w="200" w:type="dxa"/>
            <w:vAlign w:val="bottom"/>
            <w:tcBorders>
              <w:bottom w:val="single" w:sz="8" w:color="E5F1EE"/>
            </w:tcBorders>
            <w:shd w:val="clear" w:color="auto" w:fill="E5F1EE"/>
          </w:tcPr>
          <w:p>
            <w:pPr>
              <w:spacing w:after="0"/>
              <w:rPr>
                <w:sz w:val="12"/>
                <w:szCs w:val="12"/>
                <w:color w:val="auto"/>
              </w:rPr>
            </w:pPr>
          </w:p>
        </w:tc>
        <w:tc>
          <w:tcPr>
            <w:tcW w:w="120" w:type="dxa"/>
            <w:vAlign w:val="bottom"/>
            <w:tcBorders>
              <w:bottom w:val="single" w:sz="8" w:color="E5F1EE"/>
            </w:tcBorders>
            <w:shd w:val="clear" w:color="auto" w:fill="E5F1EE"/>
          </w:tcPr>
          <w:p>
            <w:pPr>
              <w:spacing w:after="0"/>
              <w:rPr>
                <w:sz w:val="12"/>
                <w:szCs w:val="12"/>
                <w:color w:val="auto"/>
              </w:rPr>
            </w:pPr>
          </w:p>
        </w:tc>
        <w:tc>
          <w:tcPr>
            <w:tcW w:w="1000" w:type="dxa"/>
            <w:vAlign w:val="bottom"/>
            <w:tcBorders>
              <w:bottom w:val="single" w:sz="8" w:color="E5F1EE"/>
            </w:tcBorders>
            <w:shd w:val="clear" w:color="auto" w:fill="E5F1EE"/>
          </w:tcPr>
          <w:p>
            <w:pPr>
              <w:jc w:val="center"/>
              <w:ind w:right="55"/>
              <w:spacing w:after="0"/>
              <w:rPr>
                <w:sz w:val="20"/>
                <w:szCs w:val="20"/>
                <w:color w:val="auto"/>
              </w:rPr>
            </w:pPr>
            <w:r>
              <w:rPr>
                <w:rFonts w:ascii="Times New Roman" w:cs="Times New Roman" w:eastAsia="Times New Roman" w:hAnsi="Times New Roman"/>
                <w:sz w:val="9"/>
                <w:szCs w:val="9"/>
                <w:color w:val="auto"/>
                <w:w w:val="99"/>
              </w:rPr>
              <w:t>2025</w:t>
            </w:r>
          </w:p>
        </w:tc>
        <w:tc>
          <w:tcPr>
            <w:tcW w:w="20" w:type="dxa"/>
            <w:vAlign w:val="bottom"/>
            <w:tcBorders>
              <w:bottom w:val="single" w:sz="8" w:color="E5F1EE"/>
            </w:tcBorders>
            <w:shd w:val="clear" w:color="auto" w:fill="E5F1EE"/>
          </w:tcPr>
          <w:p>
            <w:pPr>
              <w:spacing w:after="0"/>
              <w:rPr>
                <w:sz w:val="12"/>
                <w:szCs w:val="12"/>
                <w:color w:val="auto"/>
              </w:rPr>
            </w:pPr>
          </w:p>
        </w:tc>
        <w:tc>
          <w:tcPr>
            <w:tcW w:w="200" w:type="dxa"/>
            <w:vAlign w:val="bottom"/>
            <w:tcBorders>
              <w:bottom w:val="single" w:sz="8" w:color="E5F1EE"/>
            </w:tcBorders>
            <w:shd w:val="clear" w:color="auto" w:fill="E5F1EE"/>
          </w:tcPr>
          <w:p>
            <w:pPr>
              <w:spacing w:after="0"/>
              <w:rPr>
                <w:sz w:val="12"/>
                <w:szCs w:val="12"/>
                <w:color w:val="auto"/>
              </w:rPr>
            </w:pPr>
          </w:p>
        </w:tc>
        <w:tc>
          <w:tcPr>
            <w:tcW w:w="220" w:type="dxa"/>
            <w:vAlign w:val="bottom"/>
            <w:tcBorders>
              <w:bottom w:val="single" w:sz="8" w:color="E5F1EE"/>
            </w:tcBorders>
            <w:shd w:val="clear" w:color="auto" w:fill="E5F1EE"/>
          </w:tcPr>
          <w:p>
            <w:pPr>
              <w:spacing w:after="0"/>
              <w:rPr>
                <w:sz w:val="12"/>
                <w:szCs w:val="12"/>
                <w:color w:val="auto"/>
              </w:rPr>
            </w:pPr>
          </w:p>
        </w:tc>
        <w:tc>
          <w:tcPr>
            <w:tcW w:w="900" w:type="dxa"/>
            <w:vAlign w:val="bottom"/>
            <w:tcBorders>
              <w:bottom w:val="single" w:sz="8" w:color="E5F1EE"/>
            </w:tcBorders>
            <w:shd w:val="clear" w:color="auto" w:fill="E5F1EE"/>
          </w:tcPr>
          <w:p>
            <w:pPr>
              <w:jc w:val="center"/>
              <w:ind w:right="155"/>
              <w:spacing w:after="0"/>
              <w:rPr>
                <w:sz w:val="20"/>
                <w:szCs w:val="20"/>
                <w:color w:val="auto"/>
              </w:rPr>
            </w:pPr>
            <w:r>
              <w:rPr>
                <w:rFonts w:ascii="Times New Roman" w:cs="Times New Roman" w:eastAsia="Times New Roman" w:hAnsi="Times New Roman"/>
                <w:sz w:val="9"/>
                <w:szCs w:val="9"/>
                <w:color w:val="auto"/>
                <w:w w:val="99"/>
              </w:rPr>
              <w:t>2025</w:t>
            </w:r>
          </w:p>
        </w:tc>
        <w:tc>
          <w:tcPr>
            <w:tcW w:w="20" w:type="dxa"/>
            <w:vAlign w:val="bottom"/>
            <w:tcBorders>
              <w:bottom w:val="single" w:sz="8" w:color="E5F1EE"/>
            </w:tcBorders>
            <w:shd w:val="clear" w:color="auto" w:fill="E5F1EE"/>
          </w:tcPr>
          <w:p>
            <w:pPr>
              <w:spacing w:after="0"/>
              <w:rPr>
                <w:sz w:val="12"/>
                <w:szCs w:val="12"/>
                <w:color w:val="auto"/>
              </w:rPr>
            </w:pPr>
          </w:p>
        </w:tc>
        <w:tc>
          <w:tcPr>
            <w:tcW w:w="200" w:type="dxa"/>
            <w:vAlign w:val="bottom"/>
            <w:tcBorders>
              <w:bottom w:val="single" w:sz="8" w:color="E5F1EE"/>
            </w:tcBorders>
            <w:shd w:val="clear" w:color="auto" w:fill="E5F1EE"/>
          </w:tcPr>
          <w:p>
            <w:pPr>
              <w:spacing w:after="0"/>
              <w:rPr>
                <w:sz w:val="12"/>
                <w:szCs w:val="12"/>
                <w:color w:val="auto"/>
              </w:rPr>
            </w:pPr>
          </w:p>
        </w:tc>
        <w:tc>
          <w:tcPr>
            <w:tcW w:w="200" w:type="dxa"/>
            <w:vAlign w:val="bottom"/>
            <w:tcBorders>
              <w:bottom w:val="single" w:sz="8" w:color="E5F1EE"/>
            </w:tcBorders>
            <w:shd w:val="clear" w:color="auto" w:fill="E5F1EE"/>
          </w:tcPr>
          <w:p>
            <w:pPr>
              <w:spacing w:after="0"/>
              <w:rPr>
                <w:sz w:val="12"/>
                <w:szCs w:val="12"/>
                <w:color w:val="auto"/>
              </w:rPr>
            </w:pPr>
          </w:p>
        </w:tc>
        <w:tc>
          <w:tcPr>
            <w:tcW w:w="940" w:type="dxa"/>
            <w:vAlign w:val="bottom"/>
            <w:tcBorders>
              <w:bottom w:val="single" w:sz="8" w:color="E5F1EE"/>
              <w:right w:val="single" w:sz="8" w:color="E5F1EE"/>
            </w:tcBorders>
            <w:shd w:val="clear" w:color="auto" w:fill="E5F1EE"/>
          </w:tcPr>
          <w:p>
            <w:pPr>
              <w:jc w:val="center"/>
              <w:ind w:right="155"/>
              <w:spacing w:after="0"/>
              <w:rPr>
                <w:sz w:val="20"/>
                <w:szCs w:val="20"/>
                <w:color w:val="auto"/>
              </w:rPr>
            </w:pPr>
            <w:r>
              <w:rPr>
                <w:rFonts w:ascii="Times New Roman" w:cs="Times New Roman" w:eastAsia="Times New Roman" w:hAnsi="Times New Roman"/>
                <w:sz w:val="9"/>
                <w:szCs w:val="9"/>
                <w:color w:val="auto"/>
                <w:w w:val="99"/>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4740" w:type="dxa"/>
            <w:vAlign w:val="bottom"/>
            <w:gridSpan w:val="4"/>
          </w:tcPr>
          <w:p>
            <w:pPr>
              <w:spacing w:after="0" w:line="97" w:lineRule="exact"/>
              <w:rPr>
                <w:sz w:val="20"/>
                <w:szCs w:val="20"/>
                <w:color w:val="auto"/>
              </w:rPr>
            </w:pPr>
            <w:r>
              <w:rPr>
                <w:rFonts w:ascii="Times New Roman" w:cs="Times New Roman" w:eastAsia="Times New Roman" w:hAnsi="Times New Roman"/>
                <w:sz w:val="9"/>
                <w:szCs w:val="9"/>
                <w:color w:val="auto"/>
              </w:rPr>
              <w:t>Nonaccrual loans</w:t>
            </w:r>
          </w:p>
        </w:tc>
        <w:tc>
          <w:tcPr>
            <w:tcW w:w="180" w:type="dxa"/>
            <w:vAlign w:val="bottom"/>
            <w:tcBorders>
              <w:top w:val="single" w:sz="8" w:color="auto"/>
            </w:tcBorders>
          </w:tcPr>
          <w:p>
            <w:pPr>
              <w:jc w:val="right"/>
              <w:ind w:right="7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94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1,252</w:t>
            </w:r>
          </w:p>
        </w:tc>
        <w:tc>
          <w:tcPr>
            <w:tcW w:w="220" w:type="dxa"/>
            <w:vAlign w:val="bottom"/>
          </w:tcPr>
          <w:p>
            <w:pPr>
              <w:spacing w:after="0"/>
              <w:rPr>
                <w:sz w:val="8"/>
                <w:szCs w:val="8"/>
                <w:color w:val="auto"/>
              </w:rPr>
            </w:pPr>
          </w:p>
        </w:tc>
        <w:tc>
          <w:tcPr>
            <w:tcW w:w="180" w:type="dxa"/>
            <w:vAlign w:val="bottom"/>
            <w:tcBorders>
              <w:top w:val="single" w:sz="8" w:color="auto"/>
            </w:tcBorders>
          </w:tcPr>
          <w:p>
            <w:pPr>
              <w:jc w:val="right"/>
              <w:ind w:right="7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94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1,512</w:t>
            </w:r>
          </w:p>
        </w:tc>
        <w:tc>
          <w:tcPr>
            <w:tcW w:w="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jc w:val="right"/>
              <w:ind w:right="1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10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1,573</w:t>
            </w:r>
          </w:p>
        </w:tc>
        <w:tc>
          <w:tcPr>
            <w:tcW w:w="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top w:val="single" w:sz="8" w:color="auto"/>
            </w:tcBorders>
          </w:tcPr>
          <w:p>
            <w:pPr>
              <w:jc w:val="right"/>
              <w:ind w:right="11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9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1,540</w:t>
            </w:r>
          </w:p>
        </w:tc>
        <w:tc>
          <w:tcPr>
            <w:tcW w:w="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top w:val="single" w:sz="8" w:color="auto"/>
            </w:tcBorders>
          </w:tcPr>
          <w:p>
            <w:pPr>
              <w:jc w:val="right"/>
              <w:ind w:right="9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94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1,690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Real estate and other foreclosed assets</w:t>
            </w:r>
          </w:p>
        </w:tc>
        <w:tc>
          <w:tcPr>
            <w:tcW w:w="180" w:type="dxa"/>
            <w:vAlign w:val="bottom"/>
            <w:tcBorders>
              <w:bottom w:val="single" w:sz="8" w:color="auto"/>
            </w:tcBorders>
            <w:shd w:val="clear" w:color="auto" w:fill="E5F1EE"/>
          </w:tcPr>
          <w:p>
            <w:pPr>
              <w:spacing w:after="0"/>
              <w:rPr>
                <w:sz w:val="11"/>
                <w:szCs w:val="11"/>
                <w:color w:val="auto"/>
              </w:rPr>
            </w:pPr>
          </w:p>
        </w:tc>
        <w:tc>
          <w:tcPr>
            <w:tcW w:w="9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35</w:t>
            </w:r>
          </w:p>
        </w:tc>
        <w:tc>
          <w:tcPr>
            <w:tcW w:w="220" w:type="dxa"/>
            <w:vAlign w:val="bottom"/>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spacing w:after="0"/>
              <w:rPr>
                <w:sz w:val="11"/>
                <w:szCs w:val="11"/>
                <w:color w:val="auto"/>
              </w:rPr>
            </w:pPr>
          </w:p>
        </w:tc>
        <w:tc>
          <w:tcPr>
            <w:tcW w:w="9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37</w:t>
            </w:r>
          </w:p>
        </w:tc>
        <w:tc>
          <w:tcPr>
            <w:tcW w:w="20" w:type="dxa"/>
            <w:vAlign w:val="bottom"/>
            <w:tcBorders>
              <w:bottom w:val="single" w:sz="8" w:color="auto"/>
            </w:tcBorders>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tcBorders>
              <w:bottom w:val="single" w:sz="8" w:color="auto"/>
            </w:tcBorders>
            <w:shd w:val="clear" w:color="auto" w:fill="E5F1EE"/>
          </w:tcPr>
          <w:p>
            <w:pPr>
              <w:spacing w:after="0"/>
              <w:rPr>
                <w:sz w:val="11"/>
                <w:szCs w:val="11"/>
                <w:color w:val="auto"/>
              </w:rPr>
            </w:pPr>
          </w:p>
        </w:tc>
        <w:tc>
          <w:tcPr>
            <w:tcW w:w="10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30</w:t>
            </w:r>
          </w:p>
        </w:tc>
        <w:tc>
          <w:tcPr>
            <w:tcW w:w="20" w:type="dxa"/>
            <w:vAlign w:val="bottom"/>
            <w:tcBorders>
              <w:bottom w:val="single" w:sz="8" w:color="auto"/>
            </w:tcBorders>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spacing w:after="0"/>
              <w:rPr>
                <w:sz w:val="11"/>
                <w:szCs w:val="11"/>
                <w:color w:val="auto"/>
              </w:rPr>
            </w:pPr>
          </w:p>
        </w:tc>
        <w:tc>
          <w:tcPr>
            <w:tcW w:w="9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34</w:t>
            </w:r>
          </w:p>
        </w:tc>
        <w:tc>
          <w:tcPr>
            <w:tcW w:w="20" w:type="dxa"/>
            <w:vAlign w:val="bottom"/>
            <w:tcBorders>
              <w:bottom w:val="single" w:sz="8" w:color="auto"/>
            </w:tcBorders>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spacing w:after="0"/>
              <w:rPr>
                <w:sz w:val="11"/>
                <w:szCs w:val="11"/>
                <w:color w:val="auto"/>
              </w:rPr>
            </w:pPr>
          </w:p>
        </w:tc>
        <w:tc>
          <w:tcPr>
            <w:tcW w:w="940" w:type="dxa"/>
            <w:vAlign w:val="bottom"/>
            <w:tcBorders>
              <w:bottom w:val="single" w:sz="8" w:color="auto"/>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740" w:type="dxa"/>
            <w:vAlign w:val="bottom"/>
            <w:tcBorders>
              <w:bottom w:val="single" w:sz="8" w:color="E5F1EE"/>
            </w:tcBorders>
            <w:gridSpan w:val="4"/>
          </w:tcPr>
          <w:p>
            <w:pPr>
              <w:spacing w:after="0" w:line="97" w:lineRule="exact"/>
              <w:rPr>
                <w:sz w:val="20"/>
                <w:szCs w:val="20"/>
                <w:color w:val="auto"/>
              </w:rPr>
            </w:pPr>
            <w:r>
              <w:rPr>
                <w:rFonts w:ascii="Times New Roman" w:cs="Times New Roman" w:eastAsia="Times New Roman" w:hAnsi="Times New Roman"/>
                <w:sz w:val="9"/>
                <w:szCs w:val="9"/>
                <w:color w:val="auto"/>
              </w:rPr>
              <w:t>Total nonperforming assets</w:t>
            </w:r>
          </w:p>
        </w:tc>
        <w:tc>
          <w:tcPr>
            <w:tcW w:w="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1,287</w:t>
            </w:r>
          </w:p>
        </w:tc>
        <w:tc>
          <w:tcPr>
            <w:tcW w:w="220" w:type="dxa"/>
            <w:vAlign w:val="bottom"/>
            <w:tcBorders>
              <w:bottom w:val="single" w:sz="8" w:color="E5F1EE"/>
            </w:tcBorders>
          </w:tcPr>
          <w:p>
            <w:pPr>
              <w:spacing w:after="0"/>
              <w:rPr>
                <w:sz w:val="11"/>
                <w:szCs w:val="11"/>
                <w:color w:val="auto"/>
              </w:rPr>
            </w:pPr>
          </w:p>
        </w:tc>
        <w:tc>
          <w:tcPr>
            <w:tcW w:w="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1,549</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E5F1EE"/>
            </w:tcBorders>
          </w:tcPr>
          <w:p>
            <w:pPr>
              <w:spacing w:after="0"/>
              <w:rPr>
                <w:sz w:val="11"/>
                <w:szCs w:val="11"/>
                <w:color w:val="auto"/>
              </w:rPr>
            </w:pPr>
          </w:p>
        </w:tc>
        <w:tc>
          <w:tcPr>
            <w:tcW w:w="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1,603</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E5F1EE"/>
            </w:tcBorders>
          </w:tcPr>
          <w:p>
            <w:pPr>
              <w:spacing w:after="0"/>
              <w:rPr>
                <w:sz w:val="11"/>
                <w:szCs w:val="11"/>
                <w:color w:val="auto"/>
              </w:rPr>
            </w:pPr>
          </w:p>
        </w:tc>
        <w:tc>
          <w:tcPr>
            <w:tcW w:w="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1,574</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E5F1EE"/>
            </w:tcBorders>
          </w:tcPr>
          <w:p>
            <w:pPr>
              <w:spacing w:after="0"/>
              <w:rPr>
                <w:sz w:val="11"/>
                <w:szCs w:val="11"/>
                <w:color w:val="auto"/>
              </w:rPr>
            </w:pPr>
          </w:p>
        </w:tc>
        <w:tc>
          <w:tcPr>
            <w:tcW w:w="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740" w:type="dxa"/>
            <w:vAlign w:val="bottom"/>
            <w:gridSpan w:val="4"/>
            <w:shd w:val="clear" w:color="auto" w:fill="E5F1EE"/>
          </w:tcPr>
          <w:p>
            <w:pPr>
              <w:spacing w:after="0" w:line="97" w:lineRule="exact"/>
              <w:rPr>
                <w:sz w:val="20"/>
                <w:szCs w:val="20"/>
                <w:color w:val="auto"/>
              </w:rPr>
            </w:pPr>
            <w:r>
              <w:rPr>
                <w:rFonts w:ascii="Times New Roman" w:cs="Times New Roman" w:eastAsia="Times New Roman" w:hAnsi="Times New Roman"/>
                <w:sz w:val="9"/>
                <w:szCs w:val="9"/>
                <w:color w:val="auto"/>
              </w:rPr>
              <w:t>Accruing loans past due 90 days or more (4)</w:t>
            </w: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561</w:t>
            </w:r>
          </w:p>
        </w:tc>
        <w:tc>
          <w:tcPr>
            <w:tcW w:w="220" w:type="dxa"/>
            <w:vAlign w:val="bottom"/>
            <w:shd w:val="clear" w:color="auto" w:fill="E5F1EE"/>
          </w:tcPr>
          <w:p>
            <w:pPr>
              <w:spacing w:after="0"/>
              <w:rPr>
                <w:sz w:val="10"/>
                <w:szCs w:val="10"/>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432</w:t>
            </w:r>
          </w:p>
        </w:tc>
        <w:tc>
          <w:tcPr>
            <w:tcW w:w="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120" w:type="dxa"/>
            <w:vAlign w:val="bottom"/>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496</w:t>
            </w:r>
          </w:p>
        </w:tc>
        <w:tc>
          <w:tcPr>
            <w:tcW w:w="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220" w:type="dxa"/>
            <w:vAlign w:val="bottom"/>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384</w:t>
            </w:r>
          </w:p>
        </w:tc>
        <w:tc>
          <w:tcPr>
            <w:tcW w:w="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200" w:type="dxa"/>
            <w:vAlign w:val="bottom"/>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338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Government guaranteed loans included in totals above:</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Nonaccrual loans</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83</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71</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75</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74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Accruing loans past due 90 days or more</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450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318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74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Nonaccrual loans to total loans</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.90 %</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1.10 %</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1.16 %</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1.14 %</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1.25 %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Allowance for loan losses to total loans</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900" w:type="dxa"/>
            <w:vAlign w:val="bottom"/>
            <w:tcBorders>
              <w:bottom w:val="single" w:sz="8" w:color="auto"/>
            </w:tcBorders>
            <w:gridSpan w:val="2"/>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w w:val="98"/>
              </w:rPr>
              <w:t>Additional information</w:t>
            </w:r>
          </w:p>
        </w:tc>
        <w:tc>
          <w:tcPr>
            <w:tcW w:w="3840" w:type="dxa"/>
            <w:vAlign w:val="bottom"/>
            <w:tcBorders>
              <w:bottom w:val="single" w:sz="8" w:color="E5F1EE"/>
            </w:tcBorders>
            <w:gridSpan w:val="2"/>
            <w:shd w:val="clear" w:color="auto" w:fill="E5F1EE"/>
          </w:tcPr>
          <w:p>
            <w:pPr>
              <w:spacing w:after="0"/>
              <w:rPr>
                <w:sz w:val="9"/>
                <w:szCs w:val="9"/>
                <w:color w:val="auto"/>
              </w:rPr>
            </w:pPr>
          </w:p>
        </w:tc>
        <w:tc>
          <w:tcPr>
            <w:tcW w:w="180" w:type="dxa"/>
            <w:vAlign w:val="bottom"/>
            <w:tcBorders>
              <w:bottom w:val="single" w:sz="8" w:color="E5F1EE"/>
            </w:tcBorders>
            <w:shd w:val="clear" w:color="auto" w:fill="E5F1EE"/>
          </w:tcPr>
          <w:p>
            <w:pPr>
              <w:spacing w:after="0"/>
              <w:rPr>
                <w:sz w:val="9"/>
                <w:szCs w:val="9"/>
                <w:color w:val="auto"/>
              </w:rPr>
            </w:pPr>
          </w:p>
        </w:tc>
        <w:tc>
          <w:tcPr>
            <w:tcW w:w="940" w:type="dxa"/>
            <w:vAlign w:val="bottom"/>
            <w:tcBorders>
              <w:bottom w:val="single" w:sz="8" w:color="E5F1EE"/>
            </w:tcBorders>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180" w:type="dxa"/>
            <w:vAlign w:val="bottom"/>
            <w:tcBorders>
              <w:bottom w:val="single" w:sz="8" w:color="E5F1EE"/>
            </w:tcBorders>
            <w:shd w:val="clear" w:color="auto" w:fill="E5F1EE"/>
          </w:tcPr>
          <w:p>
            <w:pPr>
              <w:spacing w:after="0"/>
              <w:rPr>
                <w:sz w:val="9"/>
                <w:szCs w:val="9"/>
                <w:color w:val="auto"/>
              </w:rPr>
            </w:pPr>
          </w:p>
        </w:tc>
        <w:tc>
          <w:tcPr>
            <w:tcW w:w="940" w:type="dxa"/>
            <w:vAlign w:val="bottom"/>
            <w:tcBorders>
              <w:bottom w:val="single" w:sz="8" w:color="E5F1EE"/>
            </w:tcBorders>
            <w:shd w:val="clear" w:color="auto" w:fill="E5F1EE"/>
          </w:tcPr>
          <w:p>
            <w:pPr>
              <w:spacing w:after="0"/>
              <w:rPr>
                <w:sz w:val="9"/>
                <w:szCs w:val="9"/>
                <w:color w:val="auto"/>
              </w:rPr>
            </w:pPr>
          </w:p>
        </w:tc>
        <w:tc>
          <w:tcPr>
            <w:tcW w:w="2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120" w:type="dxa"/>
            <w:vAlign w:val="bottom"/>
            <w:tcBorders>
              <w:bottom w:val="single" w:sz="8" w:color="E5F1EE"/>
            </w:tcBorders>
            <w:shd w:val="clear" w:color="auto" w:fill="E5F1EE"/>
          </w:tcPr>
          <w:p>
            <w:pPr>
              <w:spacing w:after="0"/>
              <w:rPr>
                <w:sz w:val="9"/>
                <w:szCs w:val="9"/>
                <w:color w:val="auto"/>
              </w:rPr>
            </w:pPr>
          </w:p>
        </w:tc>
        <w:tc>
          <w:tcPr>
            <w:tcW w:w="1000" w:type="dxa"/>
            <w:vAlign w:val="bottom"/>
            <w:tcBorders>
              <w:bottom w:val="single" w:sz="8" w:color="E5F1EE"/>
            </w:tcBorders>
            <w:shd w:val="clear" w:color="auto" w:fill="E5F1EE"/>
          </w:tcPr>
          <w:p>
            <w:pPr>
              <w:spacing w:after="0"/>
              <w:rPr>
                <w:sz w:val="9"/>
                <w:szCs w:val="9"/>
                <w:color w:val="auto"/>
              </w:rPr>
            </w:pPr>
          </w:p>
        </w:tc>
        <w:tc>
          <w:tcPr>
            <w:tcW w:w="2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900" w:type="dxa"/>
            <w:vAlign w:val="bottom"/>
            <w:tcBorders>
              <w:bottom w:val="single" w:sz="8" w:color="E5F1EE"/>
            </w:tcBorders>
            <w:shd w:val="clear" w:color="auto" w:fill="E5F1EE"/>
          </w:tcPr>
          <w:p>
            <w:pPr>
              <w:spacing w:after="0"/>
              <w:rPr>
                <w:sz w:val="9"/>
                <w:szCs w:val="9"/>
                <w:color w:val="auto"/>
              </w:rPr>
            </w:pPr>
          </w:p>
        </w:tc>
        <w:tc>
          <w:tcPr>
            <w:tcW w:w="2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940" w:type="dxa"/>
            <w:vAlign w:val="bottom"/>
            <w:tcBorders>
              <w:bottom w:val="single" w:sz="8" w:color="E5F1EE"/>
              <w:right w:val="single" w:sz="8" w:color="E5F1EE"/>
            </w:tcBorders>
            <w:shd w:val="clear" w:color="auto" w:fill="E5F1E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Period end common stock price</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201.48</w:t>
            </w:r>
          </w:p>
        </w:tc>
        <w:tc>
          <w:tcPr>
            <w:tcW w:w="400" w:type="dxa"/>
            <w:vAlign w:val="bottom"/>
            <w:gridSpan w:val="2"/>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197.62</w:t>
            </w:r>
          </w:p>
        </w:tc>
        <w:tc>
          <w:tcPr>
            <w:tcW w:w="20" w:type="dxa"/>
            <w:vAlign w:val="bottom"/>
          </w:tcPr>
          <w:p>
            <w:pPr>
              <w:spacing w:after="0"/>
              <w:rPr>
                <w:sz w:val="10"/>
                <w:szCs w:val="10"/>
                <w:color w:val="auto"/>
              </w:rPr>
            </w:pP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193.99</w:t>
            </w:r>
          </w:p>
        </w:tc>
        <w:tc>
          <w:tcPr>
            <w:tcW w:w="20" w:type="dxa"/>
            <w:vAlign w:val="bottom"/>
          </w:tcPr>
          <w:p>
            <w:pPr>
              <w:spacing w:after="0"/>
              <w:rPr>
                <w:sz w:val="10"/>
                <w:szCs w:val="10"/>
                <w:color w:val="auto"/>
              </w:rPr>
            </w:pP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178.75</w:t>
            </w:r>
          </w:p>
        </w:tc>
        <w:tc>
          <w:tcPr>
            <w:tcW w:w="20" w:type="dxa"/>
            <w:vAlign w:val="bottom"/>
          </w:tcPr>
          <w:p>
            <w:pPr>
              <w:spacing w:after="0"/>
              <w:rPr>
                <w:sz w:val="10"/>
                <w:szCs w:val="10"/>
                <w:color w:val="auto"/>
              </w:rPr>
            </w:pP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188.01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4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Domestic banking offices</w:t>
            </w: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942</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942</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941</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955</w:t>
            </w:r>
          </w:p>
        </w:tc>
        <w:tc>
          <w:tcPr>
            <w:tcW w:w="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40" w:type="dxa"/>
            <w:vAlign w:val="bottom"/>
            <w:tcBorders>
              <w:right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955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74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Full time equivalent employees</w:t>
            </w: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22,080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22,383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22,590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22,291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22,101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147447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160655</wp:posOffset>
            </wp:positionV>
            <wp:extent cx="362902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9025" cy="5715"/>
                    </a:xfrm>
                    <a:prstGeom prst="rect">
                      <a:avLst/>
                    </a:prstGeom>
                    <a:noFill/>
                  </pic:spPr>
                </pic:pic>
              </a:graphicData>
            </a:graphic>
          </wp:anchor>
        </w:drawing>
      </w:r>
    </w:p>
    <w:p>
      <w:pPr>
        <w:spacing w:after="0" w:line="308" w:lineRule="exact"/>
        <w:rPr>
          <w:sz w:val="20"/>
          <w:szCs w:val="20"/>
          <w:color w:val="auto"/>
        </w:rPr>
      </w:pPr>
    </w:p>
    <w:p>
      <w:pPr>
        <w:ind w:left="108" w:hanging="108"/>
        <w:spacing w:after="0"/>
        <w:tabs>
          <w:tab w:leader="none" w:pos="108" w:val="left"/>
        </w:tabs>
        <w:numPr>
          <w:ilvl w:val="0"/>
          <w:numId w:val="1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Includes common stock equivalents.</w:t>
      </w:r>
    </w:p>
    <w:p>
      <w:pPr>
        <w:spacing w:after="0" w:line="6" w:lineRule="exact"/>
        <w:rPr>
          <w:rFonts w:ascii="Times New Roman" w:cs="Times New Roman" w:eastAsia="Times New Roman" w:hAnsi="Times New Roman"/>
          <w:sz w:val="8"/>
          <w:szCs w:val="8"/>
          <w:color w:val="auto"/>
        </w:rPr>
      </w:pPr>
    </w:p>
    <w:p>
      <w:pPr>
        <w:ind w:left="108" w:hanging="108"/>
        <w:spacing w:after="0" w:line="211" w:lineRule="auto"/>
        <w:tabs>
          <w:tab w:leader="none" w:pos="108" w:val="left"/>
        </w:tabs>
        <w:numPr>
          <w:ilvl w:val="0"/>
          <w:numId w:val="1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Includes common stock issuable under deferred compensation plans.</w:t>
      </w:r>
    </w:p>
    <w:p>
      <w:pPr>
        <w:ind w:left="108" w:hanging="108"/>
        <w:spacing w:after="0"/>
        <w:tabs>
          <w:tab w:leader="none" w:pos="108" w:val="left"/>
        </w:tabs>
        <w:numPr>
          <w:ilvl w:val="0"/>
          <w:numId w:val="1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Excludes amortization and balances related to goodwill and core deposit and other intangible assets and merger-related expenses which, except in the calculation of the efficiency ratio, are net of applicable income tax effects. Reconciliations of net income with net operating income appear on page 18.</w:t>
      </w:r>
    </w:p>
    <w:p>
      <w:pPr>
        <w:ind w:left="108" w:hanging="108"/>
        <w:spacing w:after="0" w:line="223" w:lineRule="auto"/>
        <w:tabs>
          <w:tab w:leader="none" w:pos="108" w:val="left"/>
        </w:tabs>
        <w:numPr>
          <w:ilvl w:val="0"/>
          <w:numId w:val="1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Predominantly government-guaranteed residential real estate loans</w:t>
      </w:r>
      <w:r>
        <w:rPr>
          <w:rFonts w:ascii="Times New Roman" w:cs="Times New Roman" w:eastAsia="Times New Roman" w:hAnsi="Times New Roman"/>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8"/>
          </w:cols>
          <w:pgMar w:left="292" w:top="158" w:right="299" w:bottom="1440" w:gutter="0" w:footer="0" w:header="0"/>
        </w:sectPr>
      </w:pPr>
    </w:p>
    <w:bookmarkStart w:id="14" w:name="page15"/>
    <w:bookmarkEnd w:id="14"/>
    <w:p>
      <w:pPr>
        <w:ind w:left="972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Condensed Consolidated Statement of Income</w:t>
            </w:r>
          </w:p>
        </w:tc>
        <w:tc>
          <w:tcPr>
            <w:tcW w:w="220" w:type="dxa"/>
            <w:vAlign w:val="bottom"/>
          </w:tcPr>
          <w:p>
            <w:pPr>
              <w:spacing w:after="0"/>
              <w:rPr>
                <w:sz w:val="13"/>
                <w:szCs w:val="13"/>
                <w:color w:val="auto"/>
              </w:rPr>
            </w:pPr>
          </w:p>
        </w:tc>
        <w:tc>
          <w:tcPr>
            <w:tcW w:w="186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2"/>
                <w:szCs w:val="12"/>
                <w:color w:val="auto"/>
              </w:rPr>
              <w:t>Three Months Ended</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Year Ended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December 31,</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December 31,</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0" w:type="dxa"/>
            <w:vAlign w:val="bottom"/>
            <w:tcBorders>
              <w:bottom w:val="single" w:sz="8" w:color="E5F1EE"/>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Borders>
              <w:bottom w:val="single" w:sz="8" w:color="E5F1EE"/>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rPr>
              <w:t>2024</w:t>
            </w:r>
          </w:p>
        </w:tc>
        <w:tc>
          <w:tcPr>
            <w:tcW w:w="220" w:type="dxa"/>
            <w:vAlign w:val="bottom"/>
            <w:tcBorders>
              <w:bottom w:val="single" w:sz="8" w:color="E5F1EE"/>
            </w:tcBorders>
          </w:tcPr>
          <w:p>
            <w:pPr>
              <w:spacing w:after="0"/>
              <w:rPr>
                <w:sz w:val="12"/>
                <w:szCs w:val="12"/>
                <w:color w:val="auto"/>
              </w:rPr>
            </w:pPr>
          </w:p>
        </w:tc>
        <w:tc>
          <w:tcPr>
            <w:tcW w:w="9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2"/>
                <w:szCs w:val="12"/>
                <w:color w:val="auto"/>
              </w:rPr>
              <w:t>Change</w:t>
            </w:r>
          </w:p>
        </w:tc>
        <w:tc>
          <w:tcPr>
            <w:tcW w:w="220" w:type="dxa"/>
            <w:vAlign w:val="bottom"/>
            <w:tcBorders>
              <w:bottom w:val="single" w:sz="8" w:color="E5F1EE"/>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rPr>
              <w:t>2025</w:t>
            </w:r>
          </w:p>
        </w:tc>
        <w:tc>
          <w:tcPr>
            <w:tcW w:w="200" w:type="dxa"/>
            <w:vAlign w:val="bottom"/>
            <w:tcBorders>
              <w:bottom w:val="single" w:sz="8" w:color="E5F1EE"/>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rPr>
              <w:t>2024</w:t>
            </w:r>
          </w:p>
        </w:tc>
        <w:tc>
          <w:tcPr>
            <w:tcW w:w="220" w:type="dxa"/>
            <w:vAlign w:val="bottom"/>
            <w:tcBorders>
              <w:bottom w:val="single" w:sz="8" w:color="E5F1EE"/>
            </w:tcBorders>
          </w:tcPr>
          <w:p>
            <w:pPr>
              <w:spacing w:after="0"/>
              <w:rPr>
                <w:sz w:val="12"/>
                <w:szCs w:val="12"/>
                <w:color w:val="auto"/>
              </w:rPr>
            </w:pPr>
          </w:p>
        </w:tc>
        <w:tc>
          <w:tcPr>
            <w:tcW w:w="9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2"/>
                <w:szCs w:val="12"/>
                <w:color w:val="auto"/>
              </w:rPr>
              <w:t>Change</w:t>
            </w:r>
          </w:p>
        </w:tc>
        <w:tc>
          <w:tcPr>
            <w:tcW w:w="0" w:type="dxa"/>
            <w:vAlign w:val="bottom"/>
          </w:tcPr>
          <w:p>
            <w:pPr>
              <w:spacing w:after="0"/>
              <w:rPr>
                <w:sz w:val="1"/>
                <w:szCs w:val="1"/>
                <w:color w:val="auto"/>
              </w:rPr>
            </w:pPr>
          </w:p>
        </w:tc>
      </w:tr>
      <w:tr>
        <w:trPr>
          <w:trHeight w:val="142"/>
        </w:trPr>
        <w:tc>
          <w:tcPr>
            <w:tcW w:w="4600" w:type="dxa"/>
            <w:vAlign w:val="bottom"/>
            <w:tcBorders>
              <w:bottom w:val="single" w:sz="8" w:color="E5F1EE"/>
            </w:tcBorders>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Interest income</w:t>
            </w:r>
          </w:p>
        </w:tc>
        <w:tc>
          <w:tcPr>
            <w:tcW w:w="220" w:type="dxa"/>
            <w:vAlign w:val="bottom"/>
            <w:tcBorders>
              <w:bottom w:val="single" w:sz="8" w:color="E5F1EE"/>
            </w:tcBorders>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2,637</w:t>
            </w:r>
          </w:p>
        </w:tc>
        <w:tc>
          <w:tcPr>
            <w:tcW w:w="220" w:type="dxa"/>
            <w:vAlign w:val="bottom"/>
            <w:tcBorders>
              <w:bottom w:val="single" w:sz="8" w:color="E5F1EE"/>
            </w:tcBorders>
            <w:shd w:val="clear" w:color="auto" w:fill="E5F1EE"/>
          </w:tcPr>
          <w:p>
            <w:pPr>
              <w:spacing w:after="0"/>
              <w:rPr>
                <w:sz w:val="12"/>
                <w:szCs w:val="12"/>
                <w:color w:val="auto"/>
              </w:rPr>
            </w:pPr>
          </w:p>
        </w:tc>
        <w:tc>
          <w:tcPr>
            <w:tcW w:w="280" w:type="dxa"/>
            <w:vAlign w:val="bottom"/>
            <w:tcBorders>
              <w:bottom w:val="single" w:sz="8" w:color="E5F1EE"/>
            </w:tcBorders>
            <w:shd w:val="clear" w:color="auto" w:fill="E5F1EE"/>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2,707</w:t>
            </w:r>
          </w:p>
        </w:tc>
        <w:tc>
          <w:tcPr>
            <w:tcW w:w="220" w:type="dxa"/>
            <w:vAlign w:val="bottom"/>
            <w:tcBorders>
              <w:bottom w:val="single" w:sz="8" w:color="E5F1EE"/>
            </w:tcBorders>
            <w:shd w:val="clear" w:color="auto" w:fill="E5F1EE"/>
          </w:tcPr>
          <w:p>
            <w:pPr>
              <w:spacing w:after="0"/>
              <w:rPr>
                <w:sz w:val="12"/>
                <w:szCs w:val="12"/>
                <w:color w:val="auto"/>
              </w:rPr>
            </w:pPr>
          </w:p>
        </w:tc>
        <w:tc>
          <w:tcPr>
            <w:tcW w:w="9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20" w:type="dxa"/>
            <w:vAlign w:val="bottom"/>
            <w:shd w:val="clear" w:color="auto" w:fill="E5F1EE"/>
          </w:tcPr>
          <w:p>
            <w:pPr>
              <w:spacing w:after="0"/>
              <w:rPr>
                <w:sz w:val="12"/>
                <w:szCs w:val="12"/>
                <w:color w:val="auto"/>
              </w:rPr>
            </w:pPr>
          </w:p>
        </w:tc>
        <w:tc>
          <w:tcPr>
            <w:tcW w:w="220" w:type="dxa"/>
            <w:vAlign w:val="bottom"/>
            <w:tcBorders>
              <w:bottom w:val="single" w:sz="8" w:color="E5F1EE"/>
            </w:tcBorders>
            <w:shd w:val="clear" w:color="auto" w:fill="E5F1EE"/>
          </w:tcPr>
          <w:p>
            <w:pPr>
              <w:spacing w:after="0"/>
              <w:rPr>
                <w:sz w:val="12"/>
                <w:szCs w:val="12"/>
                <w:color w:val="auto"/>
              </w:rPr>
            </w:pPr>
          </w:p>
        </w:tc>
        <w:tc>
          <w:tcPr>
            <w:tcW w:w="200" w:type="dxa"/>
            <w:vAlign w:val="bottom"/>
            <w:tcBorders>
              <w:bottom w:val="single" w:sz="8" w:color="E5F1EE"/>
            </w:tcBorders>
            <w:shd w:val="clear" w:color="auto" w:fill="E5F1EE"/>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10,486</w:t>
            </w:r>
          </w:p>
        </w:tc>
        <w:tc>
          <w:tcPr>
            <w:tcW w:w="200" w:type="dxa"/>
            <w:vAlign w:val="bottom"/>
            <w:tcBorders>
              <w:bottom w:val="single" w:sz="8" w:color="E5F1EE"/>
            </w:tcBorders>
            <w:shd w:val="clear" w:color="auto" w:fill="E5F1EE"/>
          </w:tcPr>
          <w:p>
            <w:pPr>
              <w:spacing w:after="0"/>
              <w:rPr>
                <w:sz w:val="12"/>
                <w:szCs w:val="12"/>
                <w:color w:val="auto"/>
              </w:rPr>
            </w:pPr>
          </w:p>
        </w:tc>
        <w:tc>
          <w:tcPr>
            <w:tcW w:w="300" w:type="dxa"/>
            <w:vAlign w:val="bottom"/>
            <w:tcBorders>
              <w:bottom w:val="single" w:sz="8" w:color="E5F1EE"/>
            </w:tcBorders>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11,026</w:t>
            </w:r>
          </w:p>
        </w:tc>
        <w:tc>
          <w:tcPr>
            <w:tcW w:w="220" w:type="dxa"/>
            <w:vAlign w:val="bottom"/>
            <w:tcBorders>
              <w:bottom w:val="single" w:sz="8" w:color="E5F1EE"/>
            </w:tcBorders>
            <w:shd w:val="clear" w:color="auto" w:fill="E5F1EE"/>
          </w:tcPr>
          <w:p>
            <w:pPr>
              <w:spacing w:after="0"/>
              <w:rPr>
                <w:sz w:val="12"/>
                <w:szCs w:val="12"/>
                <w:color w:val="auto"/>
              </w:rPr>
            </w:pPr>
          </w:p>
        </w:tc>
        <w:tc>
          <w:tcPr>
            <w:tcW w:w="9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20" w:type="dxa"/>
            <w:vAlign w:val="bottom"/>
            <w:shd w:val="clear" w:color="auto" w:fill="E5F1E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600" w:type="dxa"/>
            <w:vAlign w:val="bottom"/>
            <w:tcBorders>
              <w:bottom w:val="single" w:sz="8" w:color="E5F1EE"/>
            </w:tcBorders>
          </w:tcPr>
          <w:p>
            <w:pPr>
              <w:spacing w:after="0" w:line="133" w:lineRule="exact"/>
              <w:rPr>
                <w:sz w:val="20"/>
                <w:szCs w:val="20"/>
                <w:color w:val="auto"/>
              </w:rPr>
            </w:pPr>
            <w:r>
              <w:rPr>
                <w:rFonts w:ascii="Times New Roman" w:cs="Times New Roman" w:eastAsia="Times New Roman" w:hAnsi="Times New Roman"/>
                <w:sz w:val="12"/>
                <w:szCs w:val="12"/>
                <w:color w:val="auto"/>
              </w:rPr>
              <w:t>Interest expense</w:t>
            </w: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858</w:t>
            </w:r>
          </w:p>
        </w:tc>
        <w:tc>
          <w:tcPr>
            <w:tcW w:w="220" w:type="dxa"/>
            <w:vAlign w:val="bottom"/>
            <w:tcBorders>
              <w:bottom w:val="single" w:sz="8" w:color="E5F1EE"/>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979</w:t>
            </w:r>
          </w:p>
        </w:tc>
        <w:tc>
          <w:tcPr>
            <w:tcW w:w="1140" w:type="dxa"/>
            <w:vAlign w:val="bottom"/>
            <w:tcBorders>
              <w:bottom w:val="single" w:sz="8" w:color="E5F1EE"/>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20" w:type="dxa"/>
            <w:vAlign w:val="bottom"/>
            <w:tcBorders>
              <w:bottom w:val="single" w:sz="8" w:color="E5F1EE"/>
            </w:tcBorders>
          </w:tcPr>
          <w:p>
            <w:pPr>
              <w:spacing w:after="0"/>
              <w:rPr>
                <w:sz w:val="11"/>
                <w:szCs w:val="11"/>
                <w:color w:val="auto"/>
              </w:rPr>
            </w:pPr>
          </w:p>
        </w:tc>
        <w:tc>
          <w:tcPr>
            <w:tcW w:w="220" w:type="dxa"/>
            <w:vAlign w:val="bottom"/>
            <w:tcBorders>
              <w:bottom w:val="single" w:sz="8" w:color="E5F1EE"/>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3,538</w:t>
            </w:r>
          </w:p>
        </w:tc>
        <w:tc>
          <w:tcPr>
            <w:tcW w:w="200" w:type="dxa"/>
            <w:vAlign w:val="bottom"/>
            <w:tcBorders>
              <w:bottom w:val="single" w:sz="8" w:color="E5F1EE"/>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4,174</w:t>
            </w:r>
          </w:p>
        </w:tc>
        <w:tc>
          <w:tcPr>
            <w:tcW w:w="1140" w:type="dxa"/>
            <w:vAlign w:val="bottom"/>
            <w:tcBorders>
              <w:bottom w:val="single" w:sz="8" w:color="E5F1EE"/>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20" w:type="dxa"/>
            <w:vAlign w:val="bottom"/>
            <w:tcBorders>
              <w:bottom w:val="single" w:sz="8" w:color="E5F1EE"/>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0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Net interest income</w:t>
            </w:r>
          </w:p>
        </w:tc>
        <w:tc>
          <w:tcPr>
            <w:tcW w:w="220" w:type="dxa"/>
            <w:vAlign w:val="bottom"/>
            <w:shd w:val="clear" w:color="auto" w:fill="E5F1EE"/>
          </w:tcPr>
          <w:p>
            <w:pPr>
              <w:spacing w:after="0"/>
              <w:rPr>
                <w:sz w:val="12"/>
                <w:szCs w:val="12"/>
                <w:color w:val="auto"/>
              </w:rPr>
            </w:pPr>
          </w:p>
        </w:tc>
        <w:tc>
          <w:tcPr>
            <w:tcW w:w="7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1,779</w:t>
            </w:r>
          </w:p>
        </w:tc>
        <w:tc>
          <w:tcPr>
            <w:tcW w:w="220" w:type="dxa"/>
            <w:vAlign w:val="bottom"/>
            <w:shd w:val="clear" w:color="auto" w:fill="E5F1EE"/>
          </w:tcPr>
          <w:p>
            <w:pPr>
              <w:spacing w:after="0"/>
              <w:rPr>
                <w:sz w:val="12"/>
                <w:szCs w:val="12"/>
                <w:color w:val="auto"/>
              </w:rPr>
            </w:pPr>
          </w:p>
        </w:tc>
        <w:tc>
          <w:tcPr>
            <w:tcW w:w="280" w:type="dxa"/>
            <w:vAlign w:val="bottom"/>
            <w:shd w:val="clear" w:color="auto" w:fill="E5F1EE"/>
          </w:tcPr>
          <w:p>
            <w:pPr>
              <w:spacing w:after="0"/>
              <w:rPr>
                <w:sz w:val="12"/>
                <w:szCs w:val="12"/>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1,728</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7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6,948</w:t>
            </w:r>
          </w:p>
        </w:tc>
        <w:tc>
          <w:tcPr>
            <w:tcW w:w="200" w:type="dxa"/>
            <w:vAlign w:val="bottom"/>
            <w:shd w:val="clear" w:color="auto" w:fill="E5F1EE"/>
          </w:tcPr>
          <w:p>
            <w:pPr>
              <w:spacing w:after="0"/>
              <w:rPr>
                <w:sz w:val="12"/>
                <w:szCs w:val="12"/>
                <w:color w:val="auto"/>
              </w:rPr>
            </w:pPr>
          </w:p>
        </w:tc>
        <w:tc>
          <w:tcPr>
            <w:tcW w:w="300" w:type="dxa"/>
            <w:vAlign w:val="bottom"/>
            <w:shd w:val="clear" w:color="auto" w:fill="E5F1EE"/>
          </w:tcPr>
          <w:p>
            <w:pPr>
              <w:spacing w:after="0"/>
              <w:rPr>
                <w:sz w:val="12"/>
                <w:szCs w:val="12"/>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6,852</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E5F1E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2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1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tcBorders>
              <w:bottom w:val="single" w:sz="8" w:color="E5F1EE"/>
            </w:tcBorders>
          </w:tcPr>
          <w:p>
            <w:pPr>
              <w:spacing w:after="0"/>
              <w:rPr>
                <w:sz w:val="13"/>
                <w:szCs w:val="13"/>
                <w:color w:val="auto"/>
              </w:rPr>
            </w:pPr>
          </w:p>
        </w:tc>
        <w:tc>
          <w:tcPr>
            <w:tcW w:w="22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200" w:type="dxa"/>
            <w:vAlign w:val="bottom"/>
            <w:tcBorders>
              <w:bottom w:val="single" w:sz="8" w:color="E5F1EE"/>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610</w:t>
            </w:r>
          </w:p>
        </w:tc>
        <w:tc>
          <w:tcPr>
            <w:tcW w:w="11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tcBorders>
              <w:bottom w:val="single" w:sz="8" w:color="E5F1EE"/>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Net interest income after provision for credit losses</w:t>
            </w:r>
          </w:p>
        </w:tc>
        <w:tc>
          <w:tcPr>
            <w:tcW w:w="220" w:type="dxa"/>
            <w:vAlign w:val="bottom"/>
            <w:tcBorders>
              <w:bottom w:val="single" w:sz="8" w:color="auto"/>
            </w:tcBorders>
            <w:shd w:val="clear" w:color="auto" w:fill="E5F1EE"/>
          </w:tcPr>
          <w:p>
            <w:pPr>
              <w:spacing w:after="0"/>
              <w:rPr>
                <w:sz w:val="12"/>
                <w:szCs w:val="12"/>
                <w:color w:val="auto"/>
              </w:rPr>
            </w:pPr>
          </w:p>
        </w:tc>
        <w:tc>
          <w:tcPr>
            <w:tcW w:w="7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1,654</w:t>
            </w:r>
          </w:p>
        </w:tc>
        <w:tc>
          <w:tcPr>
            <w:tcW w:w="220" w:type="dxa"/>
            <w:vAlign w:val="bottom"/>
            <w:shd w:val="clear" w:color="auto" w:fill="E5F1EE"/>
          </w:tcPr>
          <w:p>
            <w:pPr>
              <w:spacing w:after="0"/>
              <w:rPr>
                <w:sz w:val="12"/>
                <w:szCs w:val="12"/>
                <w:color w:val="auto"/>
              </w:rPr>
            </w:pPr>
          </w:p>
        </w:tc>
        <w:tc>
          <w:tcPr>
            <w:tcW w:w="280" w:type="dxa"/>
            <w:vAlign w:val="bottom"/>
            <w:tcBorders>
              <w:bottom w:val="single" w:sz="8" w:color="auto"/>
            </w:tcBorders>
            <w:shd w:val="clear" w:color="auto" w:fill="E5F1EE"/>
          </w:tcPr>
          <w:p>
            <w:pPr>
              <w:spacing w:after="0"/>
              <w:rPr>
                <w:sz w:val="12"/>
                <w:szCs w:val="12"/>
                <w:color w:val="auto"/>
              </w:rPr>
            </w:pPr>
          </w:p>
        </w:tc>
        <w:tc>
          <w:tcPr>
            <w:tcW w:w="6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1,588</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200" w:type="dxa"/>
            <w:vAlign w:val="bottom"/>
            <w:tcBorders>
              <w:bottom w:val="single" w:sz="8" w:color="auto"/>
            </w:tcBorders>
            <w:shd w:val="clear" w:color="auto" w:fill="E5F1EE"/>
          </w:tcPr>
          <w:p>
            <w:pPr>
              <w:spacing w:after="0"/>
              <w:rPr>
                <w:sz w:val="12"/>
                <w:szCs w:val="12"/>
                <w:color w:val="auto"/>
              </w:rPr>
            </w:pPr>
          </w:p>
        </w:tc>
        <w:tc>
          <w:tcPr>
            <w:tcW w:w="7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6,443</w:t>
            </w:r>
          </w:p>
        </w:tc>
        <w:tc>
          <w:tcPr>
            <w:tcW w:w="200" w:type="dxa"/>
            <w:vAlign w:val="bottom"/>
            <w:shd w:val="clear" w:color="auto" w:fill="E5F1EE"/>
          </w:tcPr>
          <w:p>
            <w:pPr>
              <w:spacing w:after="0"/>
              <w:rPr>
                <w:sz w:val="12"/>
                <w:szCs w:val="12"/>
                <w:color w:val="auto"/>
              </w:rPr>
            </w:pPr>
          </w:p>
        </w:tc>
        <w:tc>
          <w:tcPr>
            <w:tcW w:w="300" w:type="dxa"/>
            <w:vAlign w:val="bottom"/>
            <w:tcBorders>
              <w:bottom w:val="single" w:sz="8" w:color="auto"/>
            </w:tcBorders>
            <w:shd w:val="clear" w:color="auto" w:fill="E5F1EE"/>
          </w:tcPr>
          <w:p>
            <w:pPr>
              <w:spacing w:after="0"/>
              <w:rPr>
                <w:sz w:val="12"/>
                <w:szCs w:val="12"/>
                <w:color w:val="auto"/>
              </w:rPr>
            </w:pPr>
          </w:p>
        </w:tc>
        <w:tc>
          <w:tcPr>
            <w:tcW w:w="6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6,242</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E5F1E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income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Mortgage banking revenues</w:t>
            </w:r>
          </w:p>
        </w:tc>
        <w:tc>
          <w:tcPr>
            <w:tcW w:w="220" w:type="dxa"/>
            <w:vAlign w:val="bottom"/>
            <w:shd w:val="clear" w:color="auto" w:fill="E5F1EE"/>
          </w:tcPr>
          <w:p>
            <w:pPr>
              <w:spacing w:after="0"/>
              <w:rPr>
                <w:sz w:val="13"/>
                <w:szCs w:val="13"/>
                <w:color w:val="auto"/>
              </w:rPr>
            </w:pPr>
          </w:p>
        </w:tc>
        <w:tc>
          <w:tcPr>
            <w:tcW w:w="7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7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20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Service charges on deposit accounts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Trust income</w:t>
            </w:r>
          </w:p>
        </w:tc>
        <w:tc>
          <w:tcPr>
            <w:tcW w:w="220" w:type="dxa"/>
            <w:vAlign w:val="bottom"/>
            <w:shd w:val="clear" w:color="auto" w:fill="E5F1EE"/>
          </w:tcPr>
          <w:p>
            <w:pPr>
              <w:spacing w:after="0"/>
              <w:rPr>
                <w:sz w:val="13"/>
                <w:szCs w:val="13"/>
                <w:color w:val="auto"/>
              </w:rPr>
            </w:pPr>
          </w:p>
        </w:tc>
        <w:tc>
          <w:tcPr>
            <w:tcW w:w="7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7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724</w:t>
            </w:r>
          </w:p>
        </w:tc>
        <w:tc>
          <w:tcPr>
            <w:tcW w:w="20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675</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Brokerage services income</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600" w:type="dxa"/>
            <w:vAlign w:val="bottom"/>
            <w:shd w:val="clear" w:color="auto" w:fill="E5F1EE"/>
          </w:tcPr>
          <w:p>
            <w:pPr>
              <w:ind w:left="140"/>
              <w:spacing w:after="0" w:line="117" w:lineRule="exact"/>
              <w:rPr>
                <w:sz w:val="20"/>
                <w:szCs w:val="20"/>
                <w:color w:val="auto"/>
              </w:rPr>
            </w:pPr>
            <w:r>
              <w:rPr>
                <w:rFonts w:ascii="Times New Roman" w:cs="Times New Roman" w:eastAsia="Times New Roman" w:hAnsi="Times New Roman"/>
                <w:sz w:val="12"/>
                <w:szCs w:val="12"/>
                <w:color w:val="auto"/>
              </w:rPr>
              <w:t>Trading account and other non-hedging</w:t>
            </w:r>
          </w:p>
        </w:tc>
        <w:tc>
          <w:tcPr>
            <w:tcW w:w="220" w:type="dxa"/>
            <w:vAlign w:val="bottom"/>
            <w:shd w:val="clear" w:color="auto" w:fill="E5F1EE"/>
          </w:tcPr>
          <w:p>
            <w:pPr>
              <w:spacing w:after="0"/>
              <w:rPr>
                <w:sz w:val="10"/>
                <w:szCs w:val="10"/>
                <w:color w:val="auto"/>
              </w:rPr>
            </w:pPr>
          </w:p>
        </w:tc>
        <w:tc>
          <w:tcPr>
            <w:tcW w:w="72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280" w:type="dxa"/>
            <w:vAlign w:val="bottom"/>
            <w:shd w:val="clear" w:color="auto" w:fill="E5F1EE"/>
          </w:tcPr>
          <w:p>
            <w:pPr>
              <w:spacing w:after="0"/>
              <w:rPr>
                <w:sz w:val="10"/>
                <w:szCs w:val="10"/>
                <w:color w:val="auto"/>
              </w:rPr>
            </w:pPr>
          </w:p>
        </w:tc>
        <w:tc>
          <w:tcPr>
            <w:tcW w:w="64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9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74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64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9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derivative gains</w:t>
            </w:r>
          </w:p>
        </w:tc>
        <w:tc>
          <w:tcPr>
            <w:tcW w:w="220" w:type="dxa"/>
            <w:vAlign w:val="bottom"/>
            <w:shd w:val="clear" w:color="auto" w:fill="E5F1EE"/>
          </w:tcPr>
          <w:p>
            <w:pPr>
              <w:spacing w:after="0"/>
              <w:rPr>
                <w:sz w:val="14"/>
                <w:szCs w:val="14"/>
                <w:color w:val="auto"/>
              </w:rPr>
            </w:pPr>
          </w:p>
        </w:tc>
        <w:tc>
          <w:tcPr>
            <w:tcW w:w="7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20" w:type="dxa"/>
            <w:vAlign w:val="bottom"/>
            <w:shd w:val="clear" w:color="auto" w:fill="E5F1EE"/>
          </w:tcPr>
          <w:p>
            <w:pPr>
              <w:spacing w:after="0"/>
              <w:rPr>
                <w:sz w:val="14"/>
                <w:szCs w:val="14"/>
                <w:color w:val="auto"/>
              </w:rPr>
            </w:pPr>
          </w:p>
        </w:tc>
        <w:tc>
          <w:tcPr>
            <w:tcW w:w="280" w:type="dxa"/>
            <w:vAlign w:val="bottom"/>
            <w:shd w:val="clear" w:color="auto" w:fill="E5F1EE"/>
          </w:tcPr>
          <w:p>
            <w:pPr>
              <w:spacing w:after="0"/>
              <w:rPr>
                <w:sz w:val="14"/>
                <w:szCs w:val="14"/>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0" w:type="dxa"/>
            <w:vAlign w:val="bottom"/>
            <w:shd w:val="clear" w:color="auto" w:fill="E5F1EE"/>
          </w:tcPr>
          <w:p>
            <w:pPr>
              <w:spacing w:after="0"/>
              <w:rPr>
                <w:sz w:val="14"/>
                <w:szCs w:val="14"/>
                <w:color w:val="auto"/>
              </w:rPr>
            </w:pPr>
          </w:p>
        </w:tc>
        <w:tc>
          <w:tcPr>
            <w:tcW w:w="220" w:type="dxa"/>
            <w:vAlign w:val="bottom"/>
            <w:shd w:val="clear" w:color="auto" w:fill="E5F1EE"/>
          </w:tcPr>
          <w:p>
            <w:pPr>
              <w:spacing w:after="0"/>
              <w:rPr>
                <w:sz w:val="14"/>
                <w:szCs w:val="14"/>
                <w:color w:val="auto"/>
              </w:rPr>
            </w:pPr>
          </w:p>
        </w:tc>
        <w:tc>
          <w:tcPr>
            <w:tcW w:w="200" w:type="dxa"/>
            <w:vAlign w:val="bottom"/>
            <w:shd w:val="clear" w:color="auto" w:fill="E5F1EE"/>
          </w:tcPr>
          <w:p>
            <w:pPr>
              <w:spacing w:after="0"/>
              <w:rPr>
                <w:sz w:val="14"/>
                <w:szCs w:val="14"/>
                <w:color w:val="auto"/>
              </w:rPr>
            </w:pPr>
          </w:p>
        </w:tc>
        <w:tc>
          <w:tcPr>
            <w:tcW w:w="7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200" w:type="dxa"/>
            <w:vAlign w:val="bottom"/>
            <w:shd w:val="clear" w:color="auto" w:fill="E5F1EE"/>
          </w:tcPr>
          <w:p>
            <w:pPr>
              <w:spacing w:after="0"/>
              <w:rPr>
                <w:sz w:val="14"/>
                <w:szCs w:val="14"/>
                <w:color w:val="auto"/>
              </w:rPr>
            </w:pPr>
          </w:p>
        </w:tc>
        <w:tc>
          <w:tcPr>
            <w:tcW w:w="300" w:type="dxa"/>
            <w:vAlign w:val="bottom"/>
            <w:shd w:val="clear" w:color="auto" w:fill="E5F1EE"/>
          </w:tcPr>
          <w:p>
            <w:pPr>
              <w:spacing w:after="0"/>
              <w:rPr>
                <w:sz w:val="14"/>
                <w:szCs w:val="14"/>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20" w:type="dxa"/>
            <w:vAlign w:val="bottom"/>
            <w:shd w:val="clear" w:color="auto" w:fill="E5F1E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Gain (loss) on bank investment securities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Other revenues from operations</w:t>
            </w:r>
          </w:p>
        </w:tc>
        <w:tc>
          <w:tcPr>
            <w:tcW w:w="220" w:type="dxa"/>
            <w:vAlign w:val="bottom"/>
            <w:tcBorders>
              <w:bottom w:val="single" w:sz="8" w:color="auto"/>
            </w:tcBorders>
            <w:shd w:val="clear" w:color="auto" w:fill="E5F1EE"/>
          </w:tcPr>
          <w:p>
            <w:pPr>
              <w:spacing w:after="0"/>
              <w:rPr>
                <w:sz w:val="13"/>
                <w:szCs w:val="13"/>
                <w:color w:val="auto"/>
              </w:rPr>
            </w:pPr>
          </w:p>
        </w:tc>
        <w:tc>
          <w:tcPr>
            <w:tcW w:w="7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20" w:type="dxa"/>
            <w:vAlign w:val="bottom"/>
            <w:shd w:val="clear" w:color="auto" w:fill="E5F1EE"/>
          </w:tcPr>
          <w:p>
            <w:pPr>
              <w:spacing w:after="0"/>
              <w:rPr>
                <w:sz w:val="13"/>
                <w:szCs w:val="13"/>
                <w:color w:val="auto"/>
              </w:rPr>
            </w:pPr>
          </w:p>
        </w:tc>
        <w:tc>
          <w:tcPr>
            <w:tcW w:w="280" w:type="dxa"/>
            <w:vAlign w:val="bottom"/>
            <w:tcBorders>
              <w:bottom w:val="single" w:sz="8" w:color="auto"/>
            </w:tcBorders>
            <w:shd w:val="clear" w:color="auto" w:fill="E5F1EE"/>
          </w:tcPr>
          <w:p>
            <w:pPr>
              <w:spacing w:after="0"/>
              <w:rPr>
                <w:sz w:val="13"/>
                <w:szCs w:val="13"/>
                <w:color w:val="auto"/>
              </w:rPr>
            </w:pPr>
          </w:p>
        </w:tc>
        <w:tc>
          <w:tcPr>
            <w:tcW w:w="6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spacing w:after="0"/>
              <w:rPr>
                <w:sz w:val="13"/>
                <w:szCs w:val="13"/>
                <w:color w:val="auto"/>
              </w:rPr>
            </w:pPr>
          </w:p>
        </w:tc>
        <w:tc>
          <w:tcPr>
            <w:tcW w:w="7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726</w:t>
            </w:r>
          </w:p>
        </w:tc>
        <w:tc>
          <w:tcPr>
            <w:tcW w:w="200" w:type="dxa"/>
            <w:vAlign w:val="bottom"/>
            <w:shd w:val="clear" w:color="auto" w:fill="E5F1EE"/>
          </w:tcPr>
          <w:p>
            <w:pPr>
              <w:spacing w:after="0"/>
              <w:rPr>
                <w:sz w:val="13"/>
                <w:szCs w:val="13"/>
                <w:color w:val="auto"/>
              </w:rPr>
            </w:pPr>
          </w:p>
        </w:tc>
        <w:tc>
          <w:tcPr>
            <w:tcW w:w="300" w:type="dxa"/>
            <w:vAlign w:val="bottom"/>
            <w:tcBorders>
              <w:bottom w:val="single" w:sz="8" w:color="auto"/>
            </w:tcBorders>
            <w:shd w:val="clear" w:color="auto" w:fill="E5F1EE"/>
          </w:tcPr>
          <w:p>
            <w:pPr>
              <w:spacing w:after="0"/>
              <w:rPr>
                <w:sz w:val="13"/>
                <w:szCs w:val="13"/>
                <w:color w:val="auto"/>
              </w:rPr>
            </w:pPr>
          </w:p>
        </w:tc>
        <w:tc>
          <w:tcPr>
            <w:tcW w:w="6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0" w:type="dxa"/>
            <w:vAlign w:val="bottom"/>
            <w:tcBorders>
              <w:bottom w:val="single" w:sz="8" w:color="E5F1EE"/>
            </w:tcBorders>
          </w:tcPr>
          <w:p>
            <w:pPr>
              <w:spacing w:after="0" w:line="135" w:lineRule="exact"/>
              <w:rPr>
                <w:sz w:val="20"/>
                <w:szCs w:val="20"/>
                <w:color w:val="auto"/>
              </w:rPr>
            </w:pPr>
            <w:r>
              <w:rPr>
                <w:rFonts w:ascii="Times New Roman" w:cs="Times New Roman" w:eastAsia="Times New Roman" w:hAnsi="Times New Roman"/>
                <w:sz w:val="12"/>
                <w:szCs w:val="12"/>
                <w:color w:val="auto"/>
              </w:rPr>
              <w:t>Total other income</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220" w:type="dxa"/>
            <w:vAlign w:val="bottom"/>
            <w:tcBorders>
              <w:bottom w:val="single" w:sz="8" w:color="E5F1EE"/>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657</w:t>
            </w:r>
          </w:p>
        </w:tc>
        <w:tc>
          <w:tcPr>
            <w:tcW w:w="11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tcBorders>
              <w:bottom w:val="single" w:sz="8" w:color="E5F1EE"/>
            </w:tcBorders>
          </w:tcPr>
          <w:p>
            <w:pPr>
              <w:spacing w:after="0"/>
              <w:rPr>
                <w:sz w:val="12"/>
                <w:szCs w:val="12"/>
                <w:color w:val="auto"/>
              </w:rPr>
            </w:pPr>
          </w:p>
        </w:tc>
        <w:tc>
          <w:tcPr>
            <w:tcW w:w="220" w:type="dxa"/>
            <w:vAlign w:val="bottom"/>
            <w:tcBorders>
              <w:bottom w:val="single" w:sz="8" w:color="E5F1EE"/>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2,742</w:t>
            </w:r>
          </w:p>
        </w:tc>
        <w:tc>
          <w:tcPr>
            <w:tcW w:w="200" w:type="dxa"/>
            <w:vAlign w:val="bottom"/>
            <w:tcBorders>
              <w:bottom w:val="single" w:sz="8" w:color="E5F1EE"/>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2,427</w:t>
            </w:r>
          </w:p>
        </w:tc>
        <w:tc>
          <w:tcPr>
            <w:tcW w:w="11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tcBorders>
              <w:bottom w:val="single" w:sz="8" w:color="E5F1EE"/>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600" w:type="dxa"/>
            <w:vAlign w:val="bottom"/>
            <w:shd w:val="clear" w:color="auto" w:fill="E5F1EE"/>
          </w:tcPr>
          <w:p>
            <w:pPr>
              <w:spacing w:after="0" w:line="133" w:lineRule="exact"/>
              <w:rPr>
                <w:sz w:val="20"/>
                <w:szCs w:val="20"/>
                <w:color w:val="auto"/>
              </w:rPr>
            </w:pPr>
            <w:r>
              <w:rPr>
                <w:rFonts w:ascii="Times New Roman" w:cs="Times New Roman" w:eastAsia="Times New Roman" w:hAnsi="Times New Roman"/>
                <w:sz w:val="12"/>
                <w:szCs w:val="12"/>
                <w:color w:val="auto"/>
              </w:rPr>
              <w:t>Other expense</w:t>
            </w:r>
          </w:p>
        </w:tc>
        <w:tc>
          <w:tcPr>
            <w:tcW w:w="220" w:type="dxa"/>
            <w:vAlign w:val="bottom"/>
            <w:shd w:val="clear" w:color="auto" w:fill="E5F1EE"/>
          </w:tcPr>
          <w:p>
            <w:pPr>
              <w:spacing w:after="0"/>
              <w:rPr>
                <w:sz w:val="11"/>
                <w:szCs w:val="11"/>
                <w:color w:val="auto"/>
              </w:rPr>
            </w:pPr>
          </w:p>
        </w:tc>
        <w:tc>
          <w:tcPr>
            <w:tcW w:w="7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80" w:type="dxa"/>
            <w:vAlign w:val="bottom"/>
            <w:shd w:val="clear" w:color="auto" w:fill="E5F1EE"/>
          </w:tcPr>
          <w:p>
            <w:pPr>
              <w:spacing w:after="0"/>
              <w:rPr>
                <w:sz w:val="11"/>
                <w:szCs w:val="11"/>
                <w:color w:val="auto"/>
              </w:rPr>
            </w:pPr>
          </w:p>
        </w:tc>
        <w:tc>
          <w:tcPr>
            <w:tcW w:w="64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74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00" w:type="dxa"/>
            <w:vAlign w:val="bottom"/>
            <w:shd w:val="clear" w:color="auto" w:fill="E5F1EE"/>
          </w:tcPr>
          <w:p>
            <w:pPr>
              <w:spacing w:after="0"/>
              <w:rPr>
                <w:sz w:val="11"/>
                <w:szCs w:val="11"/>
                <w:color w:val="auto"/>
              </w:rPr>
            </w:pPr>
          </w:p>
        </w:tc>
        <w:tc>
          <w:tcPr>
            <w:tcW w:w="64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Salaries and employee benefits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3,342</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Equipment and net occupancy</w:t>
            </w:r>
          </w:p>
        </w:tc>
        <w:tc>
          <w:tcPr>
            <w:tcW w:w="220" w:type="dxa"/>
            <w:vAlign w:val="bottom"/>
            <w:shd w:val="clear" w:color="auto" w:fill="E5F1EE"/>
          </w:tcPr>
          <w:p>
            <w:pPr>
              <w:spacing w:after="0"/>
              <w:rPr>
                <w:sz w:val="13"/>
                <w:szCs w:val="13"/>
                <w:color w:val="auto"/>
              </w:rPr>
            </w:pPr>
          </w:p>
        </w:tc>
        <w:tc>
          <w:tcPr>
            <w:tcW w:w="7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220" w:type="dxa"/>
            <w:vAlign w:val="bottom"/>
            <w:shd w:val="clear" w:color="auto" w:fill="E5F1EE"/>
          </w:tcPr>
          <w:p>
            <w:pPr>
              <w:spacing w:after="0"/>
              <w:rPr>
                <w:sz w:val="13"/>
                <w:szCs w:val="13"/>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7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20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Outside data processing and software</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0" w:type="dxa"/>
            <w:vAlign w:val="bottom"/>
            <w:tcBorders>
              <w:bottom w:val="single" w:sz="8" w:color="E5F1EE"/>
            </w:tcBorders>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Professional and other services</w:t>
            </w:r>
          </w:p>
        </w:tc>
        <w:tc>
          <w:tcPr>
            <w:tcW w:w="220" w:type="dxa"/>
            <w:vAlign w:val="bottom"/>
            <w:tcBorders>
              <w:bottom w:val="single" w:sz="8" w:color="E5F1EE"/>
            </w:tcBorders>
            <w:shd w:val="clear" w:color="auto" w:fill="E5F1EE"/>
          </w:tcPr>
          <w:p>
            <w:pPr>
              <w:spacing w:after="0"/>
              <w:rPr>
                <w:sz w:val="13"/>
                <w:szCs w:val="13"/>
                <w:color w:val="auto"/>
              </w:rPr>
            </w:pPr>
          </w:p>
        </w:tc>
        <w:tc>
          <w:tcPr>
            <w:tcW w:w="7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220" w:type="dxa"/>
            <w:vAlign w:val="bottom"/>
            <w:tcBorders>
              <w:bottom w:val="single" w:sz="8" w:color="E5F1EE"/>
            </w:tcBorders>
            <w:shd w:val="clear" w:color="auto" w:fill="E5F1EE"/>
          </w:tcPr>
          <w:p>
            <w:pPr>
              <w:spacing w:after="0"/>
              <w:rPr>
                <w:sz w:val="13"/>
                <w:szCs w:val="13"/>
                <w:color w:val="auto"/>
              </w:rPr>
            </w:pPr>
          </w:p>
        </w:tc>
        <w:tc>
          <w:tcPr>
            <w:tcW w:w="280" w:type="dxa"/>
            <w:vAlign w:val="bottom"/>
            <w:tcBorders>
              <w:bottom w:val="single" w:sz="8" w:color="E5F1EE"/>
            </w:tcBorders>
            <w:shd w:val="clear" w:color="auto" w:fill="E5F1EE"/>
          </w:tcPr>
          <w:p>
            <w:pPr>
              <w:spacing w:after="0"/>
              <w:rPr>
                <w:sz w:val="13"/>
                <w:szCs w:val="13"/>
                <w:color w:val="auto"/>
              </w:rPr>
            </w:pPr>
          </w:p>
        </w:tc>
        <w:tc>
          <w:tcPr>
            <w:tcW w:w="6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14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shd w:val="clear" w:color="auto" w:fill="E5F1EE"/>
          </w:tcPr>
          <w:p>
            <w:pPr>
              <w:spacing w:after="0"/>
              <w:rPr>
                <w:sz w:val="13"/>
                <w:szCs w:val="13"/>
                <w:color w:val="auto"/>
              </w:rPr>
            </w:pPr>
          </w:p>
        </w:tc>
        <w:tc>
          <w:tcPr>
            <w:tcW w:w="220" w:type="dxa"/>
            <w:vAlign w:val="bottom"/>
            <w:tcBorders>
              <w:bottom w:val="single" w:sz="8" w:color="E5F1EE"/>
            </w:tcBorders>
            <w:shd w:val="clear" w:color="auto" w:fill="E5F1EE"/>
          </w:tcPr>
          <w:p>
            <w:pPr>
              <w:spacing w:after="0"/>
              <w:rPr>
                <w:sz w:val="13"/>
                <w:szCs w:val="13"/>
                <w:color w:val="auto"/>
              </w:rPr>
            </w:pPr>
          </w:p>
        </w:tc>
        <w:tc>
          <w:tcPr>
            <w:tcW w:w="200" w:type="dxa"/>
            <w:vAlign w:val="bottom"/>
            <w:tcBorders>
              <w:bottom w:val="single" w:sz="8" w:color="E5F1EE"/>
            </w:tcBorders>
            <w:shd w:val="clear" w:color="auto" w:fill="E5F1EE"/>
          </w:tcPr>
          <w:p>
            <w:pPr>
              <w:spacing w:after="0"/>
              <w:rPr>
                <w:sz w:val="13"/>
                <w:szCs w:val="13"/>
                <w:color w:val="auto"/>
              </w:rPr>
            </w:pPr>
          </w:p>
        </w:tc>
        <w:tc>
          <w:tcPr>
            <w:tcW w:w="7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200" w:type="dxa"/>
            <w:vAlign w:val="bottom"/>
            <w:tcBorders>
              <w:bottom w:val="single" w:sz="8" w:color="E5F1EE"/>
            </w:tcBorders>
            <w:shd w:val="clear" w:color="auto" w:fill="E5F1EE"/>
          </w:tcPr>
          <w:p>
            <w:pPr>
              <w:spacing w:after="0"/>
              <w:rPr>
                <w:sz w:val="13"/>
                <w:szCs w:val="13"/>
                <w:color w:val="auto"/>
              </w:rPr>
            </w:pPr>
          </w:p>
        </w:tc>
        <w:tc>
          <w:tcPr>
            <w:tcW w:w="300" w:type="dxa"/>
            <w:vAlign w:val="bottom"/>
            <w:tcBorders>
              <w:bottom w:val="single" w:sz="8" w:color="E5F1EE"/>
            </w:tcBorders>
            <w:shd w:val="clear" w:color="auto" w:fill="E5F1EE"/>
          </w:tcPr>
          <w:p>
            <w:pPr>
              <w:spacing w:after="0"/>
              <w:rPr>
                <w:sz w:val="13"/>
                <w:szCs w:val="13"/>
                <w:color w:val="auto"/>
              </w:rPr>
            </w:pPr>
          </w:p>
        </w:tc>
        <w:tc>
          <w:tcPr>
            <w:tcW w:w="6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14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60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FDIC assessments</w:t>
            </w:r>
          </w:p>
        </w:tc>
        <w:tc>
          <w:tcPr>
            <w:tcW w:w="2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22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146</w:t>
            </w:r>
          </w:p>
        </w:tc>
        <w:tc>
          <w:tcPr>
            <w:tcW w:w="11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Advertising and marketing</w:t>
            </w:r>
          </w:p>
        </w:tc>
        <w:tc>
          <w:tcPr>
            <w:tcW w:w="220" w:type="dxa"/>
            <w:vAlign w:val="bottom"/>
            <w:shd w:val="clear" w:color="auto" w:fill="E5F1EE"/>
          </w:tcPr>
          <w:p>
            <w:pPr>
              <w:spacing w:after="0"/>
              <w:rPr>
                <w:sz w:val="13"/>
                <w:szCs w:val="13"/>
                <w:color w:val="auto"/>
              </w:rPr>
            </w:pPr>
          </w:p>
        </w:tc>
        <w:tc>
          <w:tcPr>
            <w:tcW w:w="7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7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0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600" w:type="dxa"/>
            <w:vAlign w:val="bottom"/>
          </w:tcPr>
          <w:p>
            <w:pPr>
              <w:ind w:left="140"/>
              <w:spacing w:after="0" w:line="117" w:lineRule="exact"/>
              <w:rPr>
                <w:sz w:val="20"/>
                <w:szCs w:val="20"/>
                <w:color w:val="auto"/>
              </w:rPr>
            </w:pPr>
            <w:r>
              <w:rPr>
                <w:rFonts w:ascii="Times New Roman" w:cs="Times New Roman" w:eastAsia="Times New Roman" w:hAnsi="Times New Roman"/>
                <w:sz w:val="12"/>
                <w:szCs w:val="12"/>
                <w:color w:val="auto"/>
              </w:rPr>
              <w:t>Amortization of core deposit and other</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intangible assets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Other costs of operations</w:t>
            </w:r>
          </w:p>
        </w:tc>
        <w:tc>
          <w:tcPr>
            <w:tcW w:w="220" w:type="dxa"/>
            <w:vAlign w:val="bottom"/>
            <w:tcBorders>
              <w:bottom w:val="single" w:sz="8" w:color="auto"/>
            </w:tcBorders>
            <w:shd w:val="clear" w:color="auto" w:fill="E5F1EE"/>
          </w:tcPr>
          <w:p>
            <w:pPr>
              <w:spacing w:after="0"/>
              <w:rPr>
                <w:sz w:val="13"/>
                <w:szCs w:val="13"/>
                <w:color w:val="auto"/>
              </w:rPr>
            </w:pPr>
          </w:p>
        </w:tc>
        <w:tc>
          <w:tcPr>
            <w:tcW w:w="7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20" w:type="dxa"/>
            <w:vAlign w:val="bottom"/>
            <w:shd w:val="clear" w:color="auto" w:fill="E5F1EE"/>
          </w:tcPr>
          <w:p>
            <w:pPr>
              <w:spacing w:after="0"/>
              <w:rPr>
                <w:sz w:val="13"/>
                <w:szCs w:val="13"/>
                <w:color w:val="auto"/>
              </w:rPr>
            </w:pPr>
          </w:p>
        </w:tc>
        <w:tc>
          <w:tcPr>
            <w:tcW w:w="280" w:type="dxa"/>
            <w:vAlign w:val="bottom"/>
            <w:tcBorders>
              <w:bottom w:val="single" w:sz="8" w:color="auto"/>
            </w:tcBorders>
            <w:shd w:val="clear" w:color="auto" w:fill="E5F1EE"/>
          </w:tcPr>
          <w:p>
            <w:pPr>
              <w:spacing w:after="0"/>
              <w:rPr>
                <w:sz w:val="13"/>
                <w:szCs w:val="13"/>
                <w:color w:val="auto"/>
              </w:rPr>
            </w:pPr>
          </w:p>
        </w:tc>
        <w:tc>
          <w:tcPr>
            <w:tcW w:w="6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spacing w:after="0"/>
              <w:rPr>
                <w:sz w:val="13"/>
                <w:szCs w:val="13"/>
                <w:color w:val="auto"/>
              </w:rPr>
            </w:pPr>
          </w:p>
        </w:tc>
        <w:tc>
          <w:tcPr>
            <w:tcW w:w="7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200" w:type="dxa"/>
            <w:vAlign w:val="bottom"/>
            <w:shd w:val="clear" w:color="auto" w:fill="E5F1EE"/>
          </w:tcPr>
          <w:p>
            <w:pPr>
              <w:spacing w:after="0"/>
              <w:rPr>
                <w:sz w:val="13"/>
                <w:szCs w:val="13"/>
                <w:color w:val="auto"/>
              </w:rPr>
            </w:pPr>
          </w:p>
        </w:tc>
        <w:tc>
          <w:tcPr>
            <w:tcW w:w="300" w:type="dxa"/>
            <w:vAlign w:val="bottom"/>
            <w:tcBorders>
              <w:bottom w:val="single" w:sz="8" w:color="auto"/>
            </w:tcBorders>
            <w:shd w:val="clear" w:color="auto" w:fill="E5F1EE"/>
          </w:tcPr>
          <w:p>
            <w:pPr>
              <w:spacing w:after="0"/>
              <w:rPr>
                <w:sz w:val="13"/>
                <w:szCs w:val="13"/>
                <w:color w:val="auto"/>
              </w:rPr>
            </w:pPr>
          </w:p>
        </w:tc>
        <w:tc>
          <w:tcPr>
            <w:tcW w:w="6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546</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0" w:type="dxa"/>
            <w:vAlign w:val="bottom"/>
            <w:tcBorders>
              <w:bottom w:val="single" w:sz="8" w:color="E5F1EE"/>
            </w:tcBorders>
          </w:tcPr>
          <w:p>
            <w:pPr>
              <w:spacing w:after="0" w:line="135" w:lineRule="exact"/>
              <w:rPr>
                <w:sz w:val="20"/>
                <w:szCs w:val="20"/>
                <w:color w:val="auto"/>
              </w:rPr>
            </w:pPr>
            <w:r>
              <w:rPr>
                <w:rFonts w:ascii="Times New Roman" w:cs="Times New Roman" w:eastAsia="Times New Roman" w:hAnsi="Times New Roman"/>
                <w:sz w:val="12"/>
                <w:szCs w:val="12"/>
                <w:color w:val="auto"/>
              </w:rPr>
              <w:t>Total other expense</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1,379</w:t>
            </w:r>
          </w:p>
        </w:tc>
        <w:tc>
          <w:tcPr>
            <w:tcW w:w="220" w:type="dxa"/>
            <w:vAlign w:val="bottom"/>
            <w:tcBorders>
              <w:bottom w:val="single" w:sz="8" w:color="E5F1EE"/>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1,363</w:t>
            </w:r>
          </w:p>
        </w:tc>
        <w:tc>
          <w:tcPr>
            <w:tcW w:w="11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bottom w:val="single" w:sz="8" w:color="E5F1EE"/>
            </w:tcBorders>
          </w:tcPr>
          <w:p>
            <w:pPr>
              <w:spacing w:after="0"/>
              <w:rPr>
                <w:sz w:val="12"/>
                <w:szCs w:val="12"/>
                <w:color w:val="auto"/>
              </w:rPr>
            </w:pPr>
          </w:p>
        </w:tc>
        <w:tc>
          <w:tcPr>
            <w:tcW w:w="220" w:type="dxa"/>
            <w:vAlign w:val="bottom"/>
            <w:tcBorders>
              <w:bottom w:val="single" w:sz="8" w:color="E5F1EE"/>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5,493</w:t>
            </w:r>
          </w:p>
        </w:tc>
        <w:tc>
          <w:tcPr>
            <w:tcW w:w="200" w:type="dxa"/>
            <w:vAlign w:val="bottom"/>
            <w:tcBorders>
              <w:bottom w:val="single" w:sz="8" w:color="E5F1EE"/>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5,359</w:t>
            </w:r>
          </w:p>
        </w:tc>
        <w:tc>
          <w:tcPr>
            <w:tcW w:w="11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Borders>
              <w:bottom w:val="single" w:sz="8" w:color="E5F1E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Income before taxes</w:t>
            </w:r>
          </w:p>
        </w:tc>
        <w:tc>
          <w:tcPr>
            <w:tcW w:w="220" w:type="dxa"/>
            <w:vAlign w:val="bottom"/>
            <w:shd w:val="clear" w:color="auto" w:fill="E5F1EE"/>
          </w:tcPr>
          <w:p>
            <w:pPr>
              <w:spacing w:after="0"/>
              <w:rPr>
                <w:sz w:val="12"/>
                <w:szCs w:val="12"/>
                <w:color w:val="auto"/>
              </w:rPr>
            </w:pPr>
          </w:p>
        </w:tc>
        <w:tc>
          <w:tcPr>
            <w:tcW w:w="7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971</w:t>
            </w:r>
          </w:p>
        </w:tc>
        <w:tc>
          <w:tcPr>
            <w:tcW w:w="220" w:type="dxa"/>
            <w:vAlign w:val="bottom"/>
            <w:shd w:val="clear" w:color="auto" w:fill="E5F1EE"/>
          </w:tcPr>
          <w:p>
            <w:pPr>
              <w:spacing w:after="0"/>
              <w:rPr>
                <w:sz w:val="12"/>
                <w:szCs w:val="12"/>
                <w:color w:val="auto"/>
              </w:rPr>
            </w:pPr>
          </w:p>
        </w:tc>
        <w:tc>
          <w:tcPr>
            <w:tcW w:w="280" w:type="dxa"/>
            <w:vAlign w:val="bottom"/>
            <w:shd w:val="clear" w:color="auto" w:fill="E5F1EE"/>
          </w:tcPr>
          <w:p>
            <w:pPr>
              <w:spacing w:after="0"/>
              <w:rPr>
                <w:sz w:val="12"/>
                <w:szCs w:val="12"/>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882</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7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3,692</w:t>
            </w:r>
          </w:p>
        </w:tc>
        <w:tc>
          <w:tcPr>
            <w:tcW w:w="200" w:type="dxa"/>
            <w:vAlign w:val="bottom"/>
            <w:shd w:val="clear" w:color="auto" w:fill="E5F1EE"/>
          </w:tcPr>
          <w:p>
            <w:pPr>
              <w:spacing w:after="0"/>
              <w:rPr>
                <w:sz w:val="12"/>
                <w:szCs w:val="12"/>
                <w:color w:val="auto"/>
              </w:rPr>
            </w:pPr>
          </w:p>
        </w:tc>
        <w:tc>
          <w:tcPr>
            <w:tcW w:w="300" w:type="dxa"/>
            <w:vAlign w:val="bottom"/>
            <w:shd w:val="clear" w:color="auto" w:fill="E5F1EE"/>
          </w:tcPr>
          <w:p>
            <w:pPr>
              <w:spacing w:after="0"/>
              <w:rPr>
                <w:sz w:val="12"/>
                <w:szCs w:val="12"/>
                <w:color w:val="auto"/>
              </w:rPr>
            </w:pPr>
          </w:p>
        </w:tc>
        <w:tc>
          <w:tcPr>
            <w:tcW w:w="6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3,310</w:t>
            </w:r>
          </w:p>
        </w:tc>
        <w:tc>
          <w:tcPr>
            <w:tcW w:w="11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0" w:type="dxa"/>
            <w:vAlign w:val="bottom"/>
            <w:shd w:val="clear" w:color="auto" w:fill="E5F1E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22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11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tcBorders>
              <w:bottom w:val="single" w:sz="8" w:color="E5F1EE"/>
            </w:tcBorders>
          </w:tcPr>
          <w:p>
            <w:pPr>
              <w:spacing w:after="0"/>
              <w:rPr>
                <w:sz w:val="13"/>
                <w:szCs w:val="13"/>
                <w:color w:val="auto"/>
              </w:rPr>
            </w:pPr>
          </w:p>
        </w:tc>
        <w:tc>
          <w:tcPr>
            <w:tcW w:w="22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841</w:t>
            </w:r>
          </w:p>
        </w:tc>
        <w:tc>
          <w:tcPr>
            <w:tcW w:w="200" w:type="dxa"/>
            <w:vAlign w:val="bottom"/>
            <w:tcBorders>
              <w:bottom w:val="single" w:sz="8" w:color="E5F1EE"/>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722</w:t>
            </w:r>
          </w:p>
        </w:tc>
        <w:tc>
          <w:tcPr>
            <w:tcW w:w="11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Borders>
              <w:bottom w:val="single" w:sz="8" w:color="E5F1EE"/>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tcBorders>
              <w:bottom w:val="single" w:sz="8" w:color="auto"/>
            </w:tcBorders>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220" w:type="dxa"/>
            <w:vAlign w:val="bottom"/>
            <w:tcBorders>
              <w:bottom w:val="single" w:sz="8" w:color="E5F1EE"/>
            </w:tcBorders>
            <w:shd w:val="clear" w:color="auto" w:fill="E5F1EE"/>
          </w:tcPr>
          <w:p>
            <w:pPr>
              <w:spacing w:after="0"/>
              <w:rPr>
                <w:sz w:val="13"/>
                <w:szCs w:val="13"/>
                <w:color w:val="auto"/>
              </w:rPr>
            </w:pPr>
          </w:p>
        </w:tc>
        <w:tc>
          <w:tcPr>
            <w:tcW w:w="280" w:type="dxa"/>
            <w:vAlign w:val="bottom"/>
            <w:tcBorders>
              <w:bottom w:val="single" w:sz="8" w:color="auto"/>
            </w:tcBorders>
            <w:shd w:val="clear" w:color="auto" w:fill="E5F1EE"/>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681</w:t>
            </w:r>
          </w:p>
        </w:tc>
        <w:tc>
          <w:tcPr>
            <w:tcW w:w="114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12 %</w:t>
            </w:r>
          </w:p>
        </w:tc>
        <w:tc>
          <w:tcPr>
            <w:tcW w:w="20" w:type="dxa"/>
            <w:vAlign w:val="bottom"/>
            <w:tcBorders>
              <w:bottom w:val="single" w:sz="8" w:color="E5F1EE"/>
            </w:tcBorders>
            <w:shd w:val="clear" w:color="auto" w:fill="E5F1EE"/>
          </w:tcPr>
          <w:p>
            <w:pPr>
              <w:spacing w:after="0"/>
              <w:rPr>
                <w:sz w:val="13"/>
                <w:szCs w:val="13"/>
                <w:color w:val="auto"/>
              </w:rPr>
            </w:pPr>
          </w:p>
        </w:tc>
        <w:tc>
          <w:tcPr>
            <w:tcW w:w="220" w:type="dxa"/>
            <w:vAlign w:val="bottom"/>
            <w:tcBorders>
              <w:bottom w:val="single" w:sz="8" w:color="E5F1EE"/>
            </w:tcBorders>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2,851</w:t>
            </w:r>
          </w:p>
        </w:tc>
        <w:tc>
          <w:tcPr>
            <w:tcW w:w="200" w:type="dxa"/>
            <w:vAlign w:val="bottom"/>
            <w:tcBorders>
              <w:bottom w:val="single" w:sz="8" w:color="E5F1EE"/>
            </w:tcBorders>
            <w:shd w:val="clear" w:color="auto" w:fill="E5F1EE"/>
          </w:tcPr>
          <w:p>
            <w:pPr>
              <w:spacing w:after="0"/>
              <w:rPr>
                <w:sz w:val="13"/>
                <w:szCs w:val="13"/>
                <w:color w:val="auto"/>
              </w:rPr>
            </w:pPr>
          </w:p>
        </w:tc>
        <w:tc>
          <w:tcPr>
            <w:tcW w:w="300" w:type="dxa"/>
            <w:vAlign w:val="bottom"/>
            <w:tcBorders>
              <w:bottom w:val="single" w:sz="8" w:color="auto"/>
            </w:tcBorders>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114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20" w:type="dxa"/>
            <w:vAlign w:val="bottom"/>
            <w:tcBorders>
              <w:bottom w:val="single" w:sz="8" w:color="E5F1EE"/>
            </w:tcBorders>
            <w:shd w:val="clear" w:color="auto" w:fill="E5F1E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0"/>
          </w:cols>
          <w:pgMar w:left="300" w:top="332" w:right="299" w:bottom="1440" w:gutter="0" w:footer="0" w:header="0"/>
        </w:sectPr>
      </w:pPr>
    </w:p>
    <w:bookmarkStart w:id="15" w:name="page16"/>
    <w:bookmarkEnd w:id="15"/>
    <w:p>
      <w:pPr>
        <w:ind w:left="972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Condensed Consolidated Statement of Income, Five Quarter Trend</w:t>
      </w:r>
    </w:p>
    <w:p>
      <w:pPr>
        <w:spacing w:after="0" w:line="1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December 31,</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June 30,</w:t>
            </w: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color w:val="auto"/>
              </w:rPr>
              <w:t>March 31,</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December 31,</w:t>
            </w:r>
          </w:p>
        </w:tc>
        <w:tc>
          <w:tcPr>
            <w:tcW w:w="0" w:type="dxa"/>
            <w:vAlign w:val="bottom"/>
          </w:tcPr>
          <w:p>
            <w:pPr>
              <w:spacing w:after="0"/>
              <w:rPr>
                <w:sz w:val="1"/>
                <w:szCs w:val="1"/>
                <w:color w:val="auto"/>
              </w:rPr>
            </w:pPr>
          </w:p>
        </w:tc>
      </w:tr>
      <w:tr>
        <w:trPr>
          <w:trHeight w:val="155"/>
        </w:trPr>
        <w:tc>
          <w:tcPr>
            <w:tcW w:w="4400" w:type="dxa"/>
            <w:vAlign w:val="bottom"/>
            <w:tcBorders>
              <w:bottom w:val="single" w:sz="8" w:color="E5F1EE"/>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color w:val="auto"/>
              </w:rPr>
              <w:t>2025</w:t>
            </w:r>
          </w:p>
        </w:tc>
        <w:tc>
          <w:tcPr>
            <w:tcW w:w="20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rPr>
              <w:t>2024</w:t>
            </w:r>
          </w:p>
        </w:tc>
        <w:tc>
          <w:tcPr>
            <w:tcW w:w="0" w:type="dxa"/>
            <w:vAlign w:val="bottom"/>
          </w:tcPr>
          <w:p>
            <w:pPr>
              <w:spacing w:after="0"/>
              <w:rPr>
                <w:sz w:val="1"/>
                <w:szCs w:val="1"/>
                <w:color w:val="auto"/>
              </w:rPr>
            </w:pPr>
          </w:p>
        </w:tc>
      </w:tr>
      <w:tr>
        <w:trPr>
          <w:trHeight w:val="142"/>
        </w:trPr>
        <w:tc>
          <w:tcPr>
            <w:tcW w:w="440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Interest income</w:t>
            </w:r>
          </w:p>
        </w:tc>
        <w:tc>
          <w:tcPr>
            <w:tcW w:w="200" w:type="dxa"/>
            <w:vAlign w:val="bottom"/>
            <w:shd w:val="clear" w:color="auto" w:fill="E5F1EE"/>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2,637</w:t>
            </w:r>
          </w:p>
        </w:tc>
        <w:tc>
          <w:tcPr>
            <w:tcW w:w="220" w:type="dxa"/>
            <w:vAlign w:val="bottom"/>
            <w:shd w:val="clear" w:color="auto" w:fill="E5F1EE"/>
          </w:tcPr>
          <w:p>
            <w:pPr>
              <w:spacing w:after="0"/>
              <w:rPr>
                <w:sz w:val="12"/>
                <w:szCs w:val="12"/>
                <w:color w:val="auto"/>
              </w:rPr>
            </w:pPr>
          </w:p>
        </w:tc>
        <w:tc>
          <w:tcPr>
            <w:tcW w:w="200" w:type="dxa"/>
            <w:vAlign w:val="bottom"/>
            <w:shd w:val="clear" w:color="auto" w:fill="E5F1EE"/>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2,680</w:t>
            </w:r>
          </w:p>
        </w:tc>
        <w:tc>
          <w:tcPr>
            <w:tcW w:w="200" w:type="dxa"/>
            <w:vAlign w:val="bottom"/>
            <w:shd w:val="clear" w:color="auto" w:fill="E5F1EE"/>
          </w:tcPr>
          <w:p>
            <w:pPr>
              <w:spacing w:after="0"/>
              <w:rPr>
                <w:sz w:val="12"/>
                <w:szCs w:val="12"/>
                <w:color w:val="auto"/>
              </w:rPr>
            </w:pPr>
          </w:p>
        </w:tc>
        <w:tc>
          <w:tcPr>
            <w:tcW w:w="200" w:type="dxa"/>
            <w:vAlign w:val="bottom"/>
            <w:shd w:val="clear" w:color="auto" w:fill="E5F1EE"/>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2,609</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2,560</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2,707</w:t>
            </w:r>
          </w:p>
        </w:tc>
        <w:tc>
          <w:tcPr>
            <w:tcW w:w="0" w:type="dxa"/>
            <w:vAlign w:val="bottom"/>
          </w:tcPr>
          <w:p>
            <w:pPr>
              <w:spacing w:after="0"/>
              <w:rPr>
                <w:sz w:val="1"/>
                <w:szCs w:val="1"/>
                <w:color w:val="auto"/>
              </w:rPr>
            </w:pPr>
          </w:p>
        </w:tc>
      </w:tr>
      <w:tr>
        <w:trPr>
          <w:trHeight w:val="153"/>
        </w:trPr>
        <w:tc>
          <w:tcPr>
            <w:tcW w:w="440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858</w:t>
            </w:r>
          </w:p>
        </w:tc>
        <w:tc>
          <w:tcPr>
            <w:tcW w:w="22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20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896</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865</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979</w:t>
            </w:r>
          </w:p>
        </w:tc>
        <w:tc>
          <w:tcPr>
            <w:tcW w:w="0" w:type="dxa"/>
            <w:vAlign w:val="bottom"/>
          </w:tcPr>
          <w:p>
            <w:pPr>
              <w:spacing w:after="0"/>
              <w:rPr>
                <w:sz w:val="1"/>
                <w:szCs w:val="1"/>
                <w:color w:val="auto"/>
              </w:rPr>
            </w:pPr>
          </w:p>
        </w:tc>
      </w:tr>
      <w:tr>
        <w:trPr>
          <w:trHeight w:val="142"/>
        </w:trPr>
        <w:tc>
          <w:tcPr>
            <w:tcW w:w="440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Net interest income</w:t>
            </w:r>
          </w:p>
        </w:tc>
        <w:tc>
          <w:tcPr>
            <w:tcW w:w="200" w:type="dxa"/>
            <w:vAlign w:val="bottom"/>
            <w:shd w:val="clear" w:color="auto" w:fill="E5F1EE"/>
          </w:tcPr>
          <w:p>
            <w:pPr>
              <w:spacing w:after="0"/>
              <w:rPr>
                <w:sz w:val="12"/>
                <w:szCs w:val="12"/>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1,779</w:t>
            </w:r>
          </w:p>
        </w:tc>
        <w:tc>
          <w:tcPr>
            <w:tcW w:w="220" w:type="dxa"/>
            <w:vAlign w:val="bottom"/>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1,761</w:t>
            </w:r>
          </w:p>
        </w:tc>
        <w:tc>
          <w:tcPr>
            <w:tcW w:w="200" w:type="dxa"/>
            <w:vAlign w:val="bottom"/>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1,713</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1,695</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1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1,728</w:t>
            </w:r>
          </w:p>
        </w:tc>
        <w:tc>
          <w:tcPr>
            <w:tcW w:w="0" w:type="dxa"/>
            <w:vAlign w:val="bottom"/>
          </w:tcPr>
          <w:p>
            <w:pPr>
              <w:spacing w:after="0"/>
              <w:rPr>
                <w:sz w:val="1"/>
                <w:szCs w:val="1"/>
                <w:color w:val="auto"/>
              </w:rPr>
            </w:pPr>
          </w:p>
        </w:tc>
      </w:tr>
      <w:tr>
        <w:trPr>
          <w:trHeight w:val="153"/>
        </w:trPr>
        <w:tc>
          <w:tcPr>
            <w:tcW w:w="440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2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0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0" w:type="dxa"/>
            <w:vAlign w:val="bottom"/>
          </w:tcPr>
          <w:p>
            <w:pPr>
              <w:spacing w:after="0"/>
              <w:rPr>
                <w:sz w:val="1"/>
                <w:szCs w:val="1"/>
                <w:color w:val="auto"/>
              </w:rPr>
            </w:pPr>
          </w:p>
        </w:tc>
      </w:tr>
      <w:tr>
        <w:trPr>
          <w:trHeight w:val="142"/>
        </w:trPr>
        <w:tc>
          <w:tcPr>
            <w:tcW w:w="440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Net interest income after provision for credit losses</w:t>
            </w:r>
          </w:p>
        </w:tc>
        <w:tc>
          <w:tcPr>
            <w:tcW w:w="200" w:type="dxa"/>
            <w:vAlign w:val="bottom"/>
            <w:tcBorders>
              <w:bottom w:val="single" w:sz="8" w:color="auto"/>
            </w:tcBorders>
            <w:shd w:val="clear" w:color="auto" w:fill="E5F1EE"/>
          </w:tcPr>
          <w:p>
            <w:pPr>
              <w:spacing w:after="0"/>
              <w:rPr>
                <w:sz w:val="12"/>
                <w:szCs w:val="12"/>
                <w:color w:val="auto"/>
              </w:rPr>
            </w:pPr>
          </w:p>
        </w:tc>
        <w:tc>
          <w:tcPr>
            <w:tcW w:w="11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1,654</w:t>
            </w:r>
          </w:p>
        </w:tc>
        <w:tc>
          <w:tcPr>
            <w:tcW w:w="220" w:type="dxa"/>
            <w:vAlign w:val="bottom"/>
            <w:shd w:val="clear" w:color="auto" w:fill="E5F1EE"/>
          </w:tcPr>
          <w:p>
            <w:pPr>
              <w:spacing w:after="0"/>
              <w:rPr>
                <w:sz w:val="12"/>
                <w:szCs w:val="12"/>
                <w:color w:val="auto"/>
              </w:rPr>
            </w:pPr>
          </w:p>
        </w:tc>
        <w:tc>
          <w:tcPr>
            <w:tcW w:w="200" w:type="dxa"/>
            <w:vAlign w:val="bottom"/>
            <w:tcBorders>
              <w:bottom w:val="single" w:sz="8" w:color="auto"/>
            </w:tcBorders>
            <w:shd w:val="clear" w:color="auto" w:fill="E5F1EE"/>
          </w:tcPr>
          <w:p>
            <w:pPr>
              <w:spacing w:after="0"/>
              <w:rPr>
                <w:sz w:val="12"/>
                <w:szCs w:val="12"/>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1,636</w:t>
            </w:r>
          </w:p>
        </w:tc>
        <w:tc>
          <w:tcPr>
            <w:tcW w:w="200" w:type="dxa"/>
            <w:vAlign w:val="bottom"/>
            <w:shd w:val="clear" w:color="auto" w:fill="E5F1EE"/>
          </w:tcPr>
          <w:p>
            <w:pPr>
              <w:spacing w:after="0"/>
              <w:rPr>
                <w:sz w:val="12"/>
                <w:szCs w:val="12"/>
                <w:color w:val="auto"/>
              </w:rPr>
            </w:pPr>
          </w:p>
        </w:tc>
        <w:tc>
          <w:tcPr>
            <w:tcW w:w="200" w:type="dxa"/>
            <w:vAlign w:val="bottom"/>
            <w:tcBorders>
              <w:bottom w:val="single" w:sz="8" w:color="auto"/>
            </w:tcBorders>
            <w:shd w:val="clear" w:color="auto" w:fill="E5F1EE"/>
          </w:tcPr>
          <w:p>
            <w:pPr>
              <w:spacing w:after="0"/>
              <w:rPr>
                <w:sz w:val="12"/>
                <w:szCs w:val="12"/>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1,588</w:t>
            </w:r>
          </w:p>
        </w:tc>
        <w:tc>
          <w:tcPr>
            <w:tcW w:w="220" w:type="dxa"/>
            <w:vAlign w:val="bottom"/>
            <w:shd w:val="clear" w:color="auto" w:fill="E5F1EE"/>
          </w:tcPr>
          <w:p>
            <w:pPr>
              <w:spacing w:after="0"/>
              <w:rPr>
                <w:sz w:val="12"/>
                <w:szCs w:val="12"/>
                <w:color w:val="auto"/>
              </w:rPr>
            </w:pPr>
          </w:p>
        </w:tc>
        <w:tc>
          <w:tcPr>
            <w:tcW w:w="180" w:type="dxa"/>
            <w:vAlign w:val="bottom"/>
            <w:tcBorders>
              <w:bottom w:val="single" w:sz="8" w:color="auto"/>
            </w:tcBorders>
            <w:shd w:val="clear" w:color="auto" w:fill="E5F1EE"/>
          </w:tcPr>
          <w:p>
            <w:pPr>
              <w:spacing w:after="0"/>
              <w:rPr>
                <w:sz w:val="12"/>
                <w:szCs w:val="12"/>
                <w:color w:val="auto"/>
              </w:rPr>
            </w:pP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1,565</w:t>
            </w:r>
          </w:p>
        </w:tc>
        <w:tc>
          <w:tcPr>
            <w:tcW w:w="220" w:type="dxa"/>
            <w:vAlign w:val="bottom"/>
            <w:shd w:val="clear" w:color="auto" w:fill="E5F1EE"/>
          </w:tcPr>
          <w:p>
            <w:pPr>
              <w:spacing w:after="0"/>
              <w:rPr>
                <w:sz w:val="12"/>
                <w:szCs w:val="12"/>
                <w:color w:val="auto"/>
              </w:rPr>
            </w:pPr>
          </w:p>
        </w:tc>
        <w:tc>
          <w:tcPr>
            <w:tcW w:w="180" w:type="dxa"/>
            <w:vAlign w:val="bottom"/>
            <w:tcBorders>
              <w:bottom w:val="single" w:sz="8" w:color="auto"/>
            </w:tcBorders>
            <w:shd w:val="clear" w:color="auto" w:fill="E5F1EE"/>
          </w:tcPr>
          <w:p>
            <w:pPr>
              <w:spacing w:after="0"/>
              <w:rPr>
                <w:sz w:val="12"/>
                <w:szCs w:val="12"/>
                <w:color w:val="auto"/>
              </w:rPr>
            </w:pPr>
          </w:p>
        </w:tc>
        <w:tc>
          <w:tcPr>
            <w:tcW w:w="11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1,588</w:t>
            </w:r>
          </w:p>
        </w:tc>
        <w:tc>
          <w:tcPr>
            <w:tcW w:w="0" w:type="dxa"/>
            <w:vAlign w:val="bottom"/>
          </w:tcPr>
          <w:p>
            <w:pPr>
              <w:spacing w:after="0"/>
              <w:rPr>
                <w:sz w:val="1"/>
                <w:szCs w:val="1"/>
                <w:color w:val="auto"/>
              </w:rPr>
            </w:pPr>
          </w:p>
        </w:tc>
      </w:tr>
      <w:tr>
        <w:trPr>
          <w:trHeight w:val="133"/>
        </w:trPr>
        <w:tc>
          <w:tcPr>
            <w:tcW w:w="44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income</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Mortgage banking revenues</w:t>
            </w:r>
          </w:p>
        </w:tc>
        <w:tc>
          <w:tcPr>
            <w:tcW w:w="200" w:type="dxa"/>
            <w:vAlign w:val="bottom"/>
            <w:shd w:val="clear" w:color="auto" w:fill="E5F1EE"/>
          </w:tcPr>
          <w:p>
            <w:pPr>
              <w:spacing w:after="0"/>
              <w:rPr>
                <w:sz w:val="13"/>
                <w:szCs w:val="13"/>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20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1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0" w:type="dxa"/>
            <w:vAlign w:val="bottom"/>
          </w:tcPr>
          <w:p>
            <w:pPr>
              <w:spacing w:after="0"/>
              <w:rPr>
                <w:sz w:val="1"/>
                <w:szCs w:val="1"/>
                <w:color w:val="auto"/>
              </w:rPr>
            </w:pPr>
          </w:p>
        </w:tc>
      </w:tr>
      <w:tr>
        <w:trPr>
          <w:trHeight w:val="153"/>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Service charges on deposit accounts</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0" w:type="dxa"/>
            <w:vAlign w:val="bottom"/>
          </w:tcPr>
          <w:p>
            <w:pPr>
              <w:spacing w:after="0"/>
              <w:rPr>
                <w:sz w:val="1"/>
                <w:szCs w:val="1"/>
                <w:color w:val="auto"/>
              </w:rPr>
            </w:pPr>
          </w:p>
        </w:tc>
      </w:tr>
      <w:tr>
        <w:trPr>
          <w:trHeight w:val="153"/>
        </w:trPr>
        <w:tc>
          <w:tcPr>
            <w:tcW w:w="4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Trust income</w:t>
            </w:r>
          </w:p>
        </w:tc>
        <w:tc>
          <w:tcPr>
            <w:tcW w:w="200" w:type="dxa"/>
            <w:vAlign w:val="bottom"/>
            <w:shd w:val="clear" w:color="auto" w:fill="E5F1EE"/>
          </w:tcPr>
          <w:p>
            <w:pPr>
              <w:spacing w:after="0"/>
              <w:rPr>
                <w:sz w:val="13"/>
                <w:szCs w:val="13"/>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20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1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153"/>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Brokerage services income</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17"/>
        </w:trPr>
        <w:tc>
          <w:tcPr>
            <w:tcW w:w="4400" w:type="dxa"/>
            <w:vAlign w:val="bottom"/>
            <w:shd w:val="clear" w:color="auto" w:fill="E5F1EE"/>
          </w:tcPr>
          <w:p>
            <w:pPr>
              <w:ind w:left="140"/>
              <w:spacing w:after="0" w:line="117" w:lineRule="exact"/>
              <w:rPr>
                <w:sz w:val="20"/>
                <w:szCs w:val="20"/>
                <w:color w:val="auto"/>
              </w:rPr>
            </w:pPr>
            <w:r>
              <w:rPr>
                <w:rFonts w:ascii="Times New Roman" w:cs="Times New Roman" w:eastAsia="Times New Roman" w:hAnsi="Times New Roman"/>
                <w:sz w:val="12"/>
                <w:szCs w:val="12"/>
                <w:color w:val="auto"/>
              </w:rPr>
              <w:t>Trading account and other non-hedging</w:t>
            </w:r>
          </w:p>
        </w:tc>
        <w:tc>
          <w:tcPr>
            <w:tcW w:w="200" w:type="dxa"/>
            <w:vAlign w:val="bottom"/>
            <w:shd w:val="clear" w:color="auto" w:fill="E5F1EE"/>
          </w:tcPr>
          <w:p>
            <w:pPr>
              <w:spacing w:after="0"/>
              <w:rPr>
                <w:sz w:val="10"/>
                <w:szCs w:val="10"/>
                <w:color w:val="auto"/>
              </w:rPr>
            </w:pPr>
          </w:p>
        </w:tc>
        <w:tc>
          <w:tcPr>
            <w:tcW w:w="110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116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82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88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1120" w:type="dxa"/>
            <w:vAlign w:val="bottom"/>
            <w:shd w:val="clear" w:color="auto" w:fill="E5F1E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derivative gains</w:t>
            </w:r>
          </w:p>
        </w:tc>
        <w:tc>
          <w:tcPr>
            <w:tcW w:w="200" w:type="dxa"/>
            <w:vAlign w:val="bottom"/>
            <w:shd w:val="clear" w:color="auto" w:fill="E5F1EE"/>
          </w:tcPr>
          <w:p>
            <w:pPr>
              <w:spacing w:after="0"/>
              <w:rPr>
                <w:sz w:val="14"/>
                <w:szCs w:val="14"/>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20" w:type="dxa"/>
            <w:vAlign w:val="bottom"/>
            <w:shd w:val="clear" w:color="auto" w:fill="E5F1EE"/>
          </w:tcPr>
          <w:p>
            <w:pPr>
              <w:spacing w:after="0"/>
              <w:rPr>
                <w:sz w:val="14"/>
                <w:szCs w:val="14"/>
                <w:color w:val="auto"/>
              </w:rPr>
            </w:pPr>
          </w:p>
        </w:tc>
        <w:tc>
          <w:tcPr>
            <w:tcW w:w="200" w:type="dxa"/>
            <w:vAlign w:val="bottom"/>
            <w:shd w:val="clear" w:color="auto" w:fill="E5F1EE"/>
          </w:tcPr>
          <w:p>
            <w:pPr>
              <w:spacing w:after="0"/>
              <w:rPr>
                <w:sz w:val="14"/>
                <w:szCs w:val="14"/>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0" w:type="dxa"/>
            <w:vAlign w:val="bottom"/>
            <w:shd w:val="clear" w:color="auto" w:fill="E5F1EE"/>
          </w:tcPr>
          <w:p>
            <w:pPr>
              <w:spacing w:after="0"/>
              <w:rPr>
                <w:sz w:val="14"/>
                <w:szCs w:val="14"/>
                <w:color w:val="auto"/>
              </w:rPr>
            </w:pPr>
          </w:p>
        </w:tc>
        <w:tc>
          <w:tcPr>
            <w:tcW w:w="200" w:type="dxa"/>
            <w:vAlign w:val="bottom"/>
            <w:shd w:val="clear" w:color="auto" w:fill="E5F1EE"/>
          </w:tcPr>
          <w:p>
            <w:pPr>
              <w:spacing w:after="0"/>
              <w:rPr>
                <w:sz w:val="14"/>
                <w:szCs w:val="14"/>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shd w:val="clear" w:color="auto" w:fill="E5F1EE"/>
          </w:tcPr>
          <w:p>
            <w:pPr>
              <w:spacing w:after="0"/>
              <w:rPr>
                <w:sz w:val="14"/>
                <w:szCs w:val="14"/>
                <w:color w:val="auto"/>
              </w:rPr>
            </w:pPr>
          </w:p>
        </w:tc>
        <w:tc>
          <w:tcPr>
            <w:tcW w:w="180" w:type="dxa"/>
            <w:vAlign w:val="bottom"/>
            <w:shd w:val="clear" w:color="auto" w:fill="E5F1EE"/>
          </w:tcPr>
          <w:p>
            <w:pPr>
              <w:spacing w:after="0"/>
              <w:rPr>
                <w:sz w:val="14"/>
                <w:szCs w:val="14"/>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shd w:val="clear" w:color="auto" w:fill="E5F1EE"/>
          </w:tcPr>
          <w:p>
            <w:pPr>
              <w:spacing w:after="0"/>
              <w:rPr>
                <w:sz w:val="14"/>
                <w:szCs w:val="14"/>
                <w:color w:val="auto"/>
              </w:rPr>
            </w:pPr>
          </w:p>
        </w:tc>
        <w:tc>
          <w:tcPr>
            <w:tcW w:w="180" w:type="dxa"/>
            <w:vAlign w:val="bottom"/>
            <w:shd w:val="clear" w:color="auto" w:fill="E5F1EE"/>
          </w:tcPr>
          <w:p>
            <w:pPr>
              <w:spacing w:after="0"/>
              <w:rPr>
                <w:sz w:val="14"/>
                <w:szCs w:val="14"/>
                <w:color w:val="auto"/>
              </w:rPr>
            </w:pPr>
          </w:p>
        </w:tc>
        <w:tc>
          <w:tcPr>
            <w:tcW w:w="1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53"/>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Gain (loss) on bank investment securities</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53"/>
        </w:trPr>
        <w:tc>
          <w:tcPr>
            <w:tcW w:w="4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Other revenues from operations</w:t>
            </w:r>
          </w:p>
        </w:tc>
        <w:tc>
          <w:tcPr>
            <w:tcW w:w="200" w:type="dxa"/>
            <w:vAlign w:val="bottom"/>
            <w:tcBorders>
              <w:bottom w:val="single" w:sz="8" w:color="auto"/>
            </w:tcBorders>
            <w:shd w:val="clear" w:color="auto" w:fill="E5F1EE"/>
          </w:tcPr>
          <w:p>
            <w:pPr>
              <w:spacing w:after="0"/>
              <w:rPr>
                <w:sz w:val="13"/>
                <w:szCs w:val="13"/>
                <w:color w:val="auto"/>
              </w:rPr>
            </w:pPr>
          </w:p>
        </w:tc>
        <w:tc>
          <w:tcPr>
            <w:tcW w:w="11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20" w:type="dxa"/>
            <w:vAlign w:val="bottom"/>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spacing w:after="0"/>
              <w:rPr>
                <w:sz w:val="13"/>
                <w:szCs w:val="13"/>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200" w:type="dxa"/>
            <w:vAlign w:val="bottom"/>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spacing w:after="0"/>
              <w:rPr>
                <w:sz w:val="13"/>
                <w:szCs w:val="13"/>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11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E5F1EE"/>
            </w:tcBorders>
          </w:tcPr>
          <w:p>
            <w:pPr>
              <w:spacing w:after="0" w:line="135" w:lineRule="exact"/>
              <w:rPr>
                <w:sz w:val="20"/>
                <w:szCs w:val="20"/>
                <w:color w:val="auto"/>
              </w:rPr>
            </w:pPr>
            <w:r>
              <w:rPr>
                <w:rFonts w:ascii="Times New Roman" w:cs="Times New Roman" w:eastAsia="Times New Roman" w:hAnsi="Times New Roman"/>
                <w:sz w:val="12"/>
                <w:szCs w:val="12"/>
                <w:color w:val="auto"/>
              </w:rPr>
              <w:t>Total other income</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220" w:type="dxa"/>
            <w:vAlign w:val="bottom"/>
            <w:tcBorders>
              <w:bottom w:val="single" w:sz="8" w:color="E5F1EE"/>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752</w:t>
            </w:r>
          </w:p>
        </w:tc>
        <w:tc>
          <w:tcPr>
            <w:tcW w:w="200" w:type="dxa"/>
            <w:vAlign w:val="bottom"/>
            <w:tcBorders>
              <w:bottom w:val="single" w:sz="8" w:color="E5F1EE"/>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611</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657</w:t>
            </w:r>
          </w:p>
        </w:tc>
        <w:tc>
          <w:tcPr>
            <w:tcW w:w="0" w:type="dxa"/>
            <w:vAlign w:val="bottom"/>
          </w:tcPr>
          <w:p>
            <w:pPr>
              <w:spacing w:after="0"/>
              <w:rPr>
                <w:sz w:val="1"/>
                <w:szCs w:val="1"/>
                <w:color w:val="auto"/>
              </w:rPr>
            </w:pPr>
          </w:p>
        </w:tc>
      </w:tr>
      <w:tr>
        <w:trPr>
          <w:trHeight w:val="133"/>
        </w:trPr>
        <w:tc>
          <w:tcPr>
            <w:tcW w:w="4400" w:type="dxa"/>
            <w:vAlign w:val="bottom"/>
            <w:shd w:val="clear" w:color="auto" w:fill="E5F1EE"/>
          </w:tcPr>
          <w:p>
            <w:pPr>
              <w:spacing w:after="0" w:line="133" w:lineRule="exact"/>
              <w:rPr>
                <w:sz w:val="20"/>
                <w:szCs w:val="20"/>
                <w:color w:val="auto"/>
              </w:rPr>
            </w:pPr>
            <w:r>
              <w:rPr>
                <w:rFonts w:ascii="Times New Roman" w:cs="Times New Roman" w:eastAsia="Times New Roman" w:hAnsi="Times New Roman"/>
                <w:sz w:val="12"/>
                <w:szCs w:val="12"/>
                <w:color w:val="auto"/>
              </w:rPr>
              <w:t>Other expense</w:t>
            </w:r>
          </w:p>
        </w:tc>
        <w:tc>
          <w:tcPr>
            <w:tcW w:w="200" w:type="dxa"/>
            <w:vAlign w:val="bottom"/>
            <w:shd w:val="clear" w:color="auto" w:fill="E5F1EE"/>
          </w:tcPr>
          <w:p>
            <w:pPr>
              <w:spacing w:after="0"/>
              <w:rPr>
                <w:sz w:val="11"/>
                <w:szCs w:val="11"/>
                <w:color w:val="auto"/>
              </w:rPr>
            </w:pPr>
          </w:p>
        </w:tc>
        <w:tc>
          <w:tcPr>
            <w:tcW w:w="11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16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8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88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12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Salaries and employee benefits</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w:t>
            </w:r>
          </w:p>
        </w:tc>
        <w:tc>
          <w:tcPr>
            <w:tcW w:w="0" w:type="dxa"/>
            <w:vAlign w:val="bottom"/>
          </w:tcPr>
          <w:p>
            <w:pPr>
              <w:spacing w:after="0"/>
              <w:rPr>
                <w:sz w:val="1"/>
                <w:szCs w:val="1"/>
                <w:color w:val="auto"/>
              </w:rPr>
            </w:pPr>
          </w:p>
        </w:tc>
      </w:tr>
      <w:tr>
        <w:trPr>
          <w:trHeight w:val="153"/>
        </w:trPr>
        <w:tc>
          <w:tcPr>
            <w:tcW w:w="4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Equipment and net occupancy</w:t>
            </w:r>
          </w:p>
        </w:tc>
        <w:tc>
          <w:tcPr>
            <w:tcW w:w="200" w:type="dxa"/>
            <w:vAlign w:val="bottom"/>
            <w:shd w:val="clear" w:color="auto" w:fill="E5F1EE"/>
          </w:tcPr>
          <w:p>
            <w:pPr>
              <w:spacing w:after="0"/>
              <w:rPr>
                <w:sz w:val="13"/>
                <w:szCs w:val="13"/>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20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1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0" w:type="dxa"/>
            <w:vAlign w:val="bottom"/>
          </w:tcPr>
          <w:p>
            <w:pPr>
              <w:spacing w:after="0"/>
              <w:rPr>
                <w:sz w:val="1"/>
                <w:szCs w:val="1"/>
                <w:color w:val="auto"/>
              </w:rPr>
            </w:pPr>
          </w:p>
        </w:tc>
      </w:tr>
      <w:tr>
        <w:trPr>
          <w:trHeight w:val="153"/>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Outside data processing and software</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53"/>
        </w:trPr>
        <w:tc>
          <w:tcPr>
            <w:tcW w:w="4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Professional and other services</w:t>
            </w:r>
          </w:p>
        </w:tc>
        <w:tc>
          <w:tcPr>
            <w:tcW w:w="200" w:type="dxa"/>
            <w:vAlign w:val="bottom"/>
            <w:shd w:val="clear" w:color="auto" w:fill="E5F1EE"/>
          </w:tcPr>
          <w:p>
            <w:pPr>
              <w:spacing w:after="0"/>
              <w:rPr>
                <w:sz w:val="13"/>
                <w:szCs w:val="13"/>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0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1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53"/>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FDIC assessments</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53"/>
        </w:trPr>
        <w:tc>
          <w:tcPr>
            <w:tcW w:w="4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Advertising and marketing</w:t>
            </w:r>
          </w:p>
        </w:tc>
        <w:tc>
          <w:tcPr>
            <w:tcW w:w="200" w:type="dxa"/>
            <w:vAlign w:val="bottom"/>
            <w:shd w:val="clear" w:color="auto" w:fill="E5F1EE"/>
          </w:tcPr>
          <w:p>
            <w:pPr>
              <w:spacing w:after="0"/>
              <w:rPr>
                <w:sz w:val="13"/>
                <w:szCs w:val="13"/>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1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17"/>
        </w:trPr>
        <w:tc>
          <w:tcPr>
            <w:tcW w:w="4400" w:type="dxa"/>
            <w:vAlign w:val="bottom"/>
          </w:tcPr>
          <w:p>
            <w:pPr>
              <w:ind w:left="140"/>
              <w:spacing w:after="0" w:line="117" w:lineRule="exact"/>
              <w:rPr>
                <w:sz w:val="20"/>
                <w:szCs w:val="20"/>
                <w:color w:val="auto"/>
              </w:rPr>
            </w:pPr>
            <w:r>
              <w:rPr>
                <w:rFonts w:ascii="Times New Roman" w:cs="Times New Roman" w:eastAsia="Times New Roman" w:hAnsi="Times New Roman"/>
                <w:sz w:val="12"/>
                <w:szCs w:val="12"/>
                <w:color w:val="auto"/>
              </w:rPr>
              <w:t>Amortization of core deposit and other</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intangible assets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53"/>
        </w:trPr>
        <w:tc>
          <w:tcPr>
            <w:tcW w:w="4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Other costs of operations</w:t>
            </w:r>
          </w:p>
        </w:tc>
        <w:tc>
          <w:tcPr>
            <w:tcW w:w="200" w:type="dxa"/>
            <w:vAlign w:val="bottom"/>
            <w:tcBorders>
              <w:bottom w:val="single" w:sz="8" w:color="auto"/>
            </w:tcBorders>
            <w:shd w:val="clear" w:color="auto" w:fill="E5F1EE"/>
          </w:tcPr>
          <w:p>
            <w:pPr>
              <w:spacing w:after="0"/>
              <w:rPr>
                <w:sz w:val="13"/>
                <w:szCs w:val="13"/>
                <w:color w:val="auto"/>
              </w:rPr>
            </w:pPr>
          </w:p>
        </w:tc>
        <w:tc>
          <w:tcPr>
            <w:tcW w:w="11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20" w:type="dxa"/>
            <w:vAlign w:val="bottom"/>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spacing w:after="0"/>
              <w:rPr>
                <w:sz w:val="13"/>
                <w:szCs w:val="13"/>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200" w:type="dxa"/>
            <w:vAlign w:val="bottom"/>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spacing w:after="0"/>
              <w:rPr>
                <w:sz w:val="13"/>
                <w:szCs w:val="13"/>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11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E5F1EE"/>
            </w:tcBorders>
          </w:tcPr>
          <w:p>
            <w:pPr>
              <w:spacing w:after="0" w:line="135" w:lineRule="exact"/>
              <w:rPr>
                <w:sz w:val="20"/>
                <w:szCs w:val="20"/>
                <w:color w:val="auto"/>
              </w:rPr>
            </w:pPr>
            <w:r>
              <w:rPr>
                <w:rFonts w:ascii="Times New Roman" w:cs="Times New Roman" w:eastAsia="Times New Roman" w:hAnsi="Times New Roman"/>
                <w:sz w:val="12"/>
                <w:szCs w:val="12"/>
                <w:color w:val="auto"/>
              </w:rPr>
              <w:t>Total other expense</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1,379</w:t>
            </w:r>
          </w:p>
        </w:tc>
        <w:tc>
          <w:tcPr>
            <w:tcW w:w="220" w:type="dxa"/>
            <w:vAlign w:val="bottom"/>
            <w:tcBorders>
              <w:bottom w:val="single" w:sz="8" w:color="E5F1EE"/>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1,363</w:t>
            </w:r>
          </w:p>
        </w:tc>
        <w:tc>
          <w:tcPr>
            <w:tcW w:w="200" w:type="dxa"/>
            <w:vAlign w:val="bottom"/>
            <w:tcBorders>
              <w:bottom w:val="single" w:sz="8" w:color="E5F1EE"/>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1,336</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1,415</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1,363</w:t>
            </w:r>
          </w:p>
        </w:tc>
        <w:tc>
          <w:tcPr>
            <w:tcW w:w="0" w:type="dxa"/>
            <w:vAlign w:val="bottom"/>
          </w:tcPr>
          <w:p>
            <w:pPr>
              <w:spacing w:after="0"/>
              <w:rPr>
                <w:sz w:val="1"/>
                <w:szCs w:val="1"/>
                <w:color w:val="auto"/>
              </w:rPr>
            </w:pPr>
          </w:p>
        </w:tc>
      </w:tr>
      <w:tr>
        <w:trPr>
          <w:trHeight w:val="142"/>
        </w:trPr>
        <w:tc>
          <w:tcPr>
            <w:tcW w:w="440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Income before taxes</w:t>
            </w:r>
          </w:p>
        </w:tc>
        <w:tc>
          <w:tcPr>
            <w:tcW w:w="200" w:type="dxa"/>
            <w:vAlign w:val="bottom"/>
            <w:shd w:val="clear" w:color="auto" w:fill="E5F1EE"/>
          </w:tcPr>
          <w:p>
            <w:pPr>
              <w:spacing w:after="0"/>
              <w:rPr>
                <w:sz w:val="12"/>
                <w:szCs w:val="12"/>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971</w:t>
            </w:r>
          </w:p>
        </w:tc>
        <w:tc>
          <w:tcPr>
            <w:tcW w:w="220" w:type="dxa"/>
            <w:vAlign w:val="bottom"/>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1,025</w:t>
            </w:r>
          </w:p>
        </w:tc>
        <w:tc>
          <w:tcPr>
            <w:tcW w:w="200" w:type="dxa"/>
            <w:vAlign w:val="bottom"/>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935</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761</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1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882</w:t>
            </w:r>
          </w:p>
        </w:tc>
        <w:tc>
          <w:tcPr>
            <w:tcW w:w="0" w:type="dxa"/>
            <w:vAlign w:val="bottom"/>
          </w:tcPr>
          <w:p>
            <w:pPr>
              <w:spacing w:after="0"/>
              <w:rPr>
                <w:sz w:val="1"/>
                <w:szCs w:val="1"/>
                <w:color w:val="auto"/>
              </w:rPr>
            </w:pPr>
          </w:p>
        </w:tc>
      </w:tr>
      <w:tr>
        <w:trPr>
          <w:trHeight w:val="153"/>
        </w:trPr>
        <w:tc>
          <w:tcPr>
            <w:tcW w:w="440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22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20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0" w:type="dxa"/>
            <w:vAlign w:val="bottom"/>
          </w:tcPr>
          <w:p>
            <w:pPr>
              <w:spacing w:after="0"/>
              <w:rPr>
                <w:sz w:val="1"/>
                <w:szCs w:val="1"/>
                <w:color w:val="auto"/>
              </w:rPr>
            </w:pPr>
          </w:p>
        </w:tc>
      </w:tr>
      <w:tr>
        <w:trPr>
          <w:trHeight w:val="158"/>
        </w:trPr>
        <w:tc>
          <w:tcPr>
            <w:tcW w:w="440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income</w:t>
            </w:r>
          </w:p>
        </w:tc>
        <w:tc>
          <w:tcPr>
            <w:tcW w:w="200" w:type="dxa"/>
            <w:vAlign w:val="bottom"/>
            <w:tcBorders>
              <w:bottom w:val="single" w:sz="8" w:color="auto"/>
            </w:tcBorders>
            <w:shd w:val="clear" w:color="auto" w:fill="E5F1EE"/>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220" w:type="dxa"/>
            <w:vAlign w:val="bottom"/>
            <w:tcBorders>
              <w:bottom w:val="single" w:sz="8" w:color="E5F1EE"/>
            </w:tcBorders>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200" w:type="dxa"/>
            <w:vAlign w:val="bottom"/>
            <w:tcBorders>
              <w:bottom w:val="single" w:sz="8" w:color="E5F1EE"/>
            </w:tcBorders>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716</w:t>
            </w:r>
          </w:p>
        </w:tc>
        <w:tc>
          <w:tcPr>
            <w:tcW w:w="220" w:type="dxa"/>
            <w:vAlign w:val="bottom"/>
            <w:tcBorders>
              <w:bottom w:val="single" w:sz="8" w:color="E5F1EE"/>
            </w:tcBorders>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220" w:type="dxa"/>
            <w:vAlign w:val="bottom"/>
            <w:tcBorders>
              <w:bottom w:val="single" w:sz="8" w:color="E5F1EE"/>
            </w:tcBorders>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0"/>
          </w:cols>
          <w:pgMar w:left="300" w:top="332" w:right="299" w:bottom="1440" w:gutter="0" w:footer="0" w:header="0"/>
        </w:sectPr>
      </w:pPr>
    </w:p>
    <w:bookmarkStart w:id="16" w:name="page17"/>
    <w:bookmarkEnd w:id="16"/>
    <w:p>
      <w:pPr>
        <w:ind w:left="972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Condensed Consolidated Balance Sheet</w:t>
            </w:r>
          </w:p>
        </w:tc>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2"/>
                <w:szCs w:val="12"/>
                <w:color w:val="auto"/>
              </w:rPr>
              <w:t>December 31,</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3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3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2025</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2024</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rPr>
              <w:t>Change</w:t>
            </w:r>
          </w:p>
        </w:tc>
        <w:tc>
          <w:tcPr>
            <w:tcW w:w="0" w:type="dxa"/>
            <w:vAlign w:val="bottom"/>
          </w:tcPr>
          <w:p>
            <w:pPr>
              <w:spacing w:after="0"/>
              <w:rPr>
                <w:sz w:val="1"/>
                <w:szCs w:val="1"/>
                <w:color w:val="auto"/>
              </w:rPr>
            </w:pPr>
          </w:p>
        </w:tc>
      </w:tr>
      <w:tr>
        <w:trPr>
          <w:trHeight w:val="133"/>
        </w:trPr>
        <w:tc>
          <w:tcPr>
            <w:tcW w:w="4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ASSETS</w:t>
            </w:r>
          </w:p>
        </w:tc>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Cash and due from banks</w:t>
            </w:r>
          </w:p>
        </w:tc>
        <w:tc>
          <w:tcPr>
            <w:tcW w:w="3720" w:type="dxa"/>
            <w:vAlign w:val="bottom"/>
            <w:gridSpan w:val="2"/>
            <w:shd w:val="clear" w:color="auto" w:fill="E5F1EE"/>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1,701</w:t>
            </w:r>
          </w:p>
        </w:tc>
        <w:tc>
          <w:tcPr>
            <w:tcW w:w="200" w:type="dxa"/>
            <w:vAlign w:val="bottom"/>
            <w:shd w:val="clear" w:color="auto" w:fill="E5F1EE"/>
          </w:tcPr>
          <w:p>
            <w:pPr>
              <w:spacing w:after="0"/>
              <w:rPr>
                <w:sz w:val="13"/>
                <w:szCs w:val="13"/>
                <w:color w:val="auto"/>
              </w:rPr>
            </w:pPr>
          </w:p>
        </w:tc>
        <w:tc>
          <w:tcPr>
            <w:tcW w:w="340" w:type="dxa"/>
            <w:vAlign w:val="bottom"/>
            <w:shd w:val="clear" w:color="auto" w:fill="E5F1EE"/>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1,909</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Interest-bearing deposits at banks</w:t>
            </w:r>
          </w:p>
        </w:tc>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17,068</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18,873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Trading account</w:t>
            </w:r>
          </w:p>
        </w:tc>
        <w:tc>
          <w:tcPr>
            <w:tcW w:w="346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200" w:type="dxa"/>
            <w:vAlign w:val="bottom"/>
            <w:shd w:val="clear" w:color="auto" w:fill="E5F1EE"/>
          </w:tcPr>
          <w:p>
            <w:pPr>
              <w:spacing w:after="0"/>
              <w:rPr>
                <w:sz w:val="13"/>
                <w:szCs w:val="13"/>
                <w:color w:val="auto"/>
              </w:rPr>
            </w:pPr>
          </w:p>
        </w:tc>
        <w:tc>
          <w:tcPr>
            <w:tcW w:w="340" w:type="dxa"/>
            <w:vAlign w:val="bottom"/>
            <w:shd w:val="clear" w:color="auto" w:fill="E5F1EE"/>
          </w:tcPr>
          <w:p>
            <w:pPr>
              <w:spacing w:after="0"/>
              <w:rPr>
                <w:sz w:val="13"/>
                <w:szCs w:val="13"/>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Investment securities</w:t>
            </w:r>
          </w:p>
        </w:tc>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36,649</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34,051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Loans:</w:t>
            </w:r>
          </w:p>
        </w:tc>
        <w:tc>
          <w:tcPr>
            <w:tcW w:w="346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88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340" w:type="dxa"/>
            <w:vAlign w:val="bottom"/>
            <w:shd w:val="clear" w:color="auto" w:fill="E5F1EE"/>
          </w:tcPr>
          <w:p>
            <w:pPr>
              <w:spacing w:after="0"/>
              <w:rPr>
                <w:sz w:val="13"/>
                <w:szCs w:val="13"/>
                <w:color w:val="auto"/>
              </w:rPr>
            </w:pPr>
          </w:p>
        </w:tc>
        <w:tc>
          <w:tcPr>
            <w:tcW w:w="80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4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63,548</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61,481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Real estate - commercial</w:t>
            </w:r>
          </w:p>
        </w:tc>
        <w:tc>
          <w:tcPr>
            <w:tcW w:w="346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23,819</w:t>
            </w:r>
          </w:p>
        </w:tc>
        <w:tc>
          <w:tcPr>
            <w:tcW w:w="200" w:type="dxa"/>
            <w:vAlign w:val="bottom"/>
            <w:shd w:val="clear" w:color="auto" w:fill="E5F1EE"/>
          </w:tcPr>
          <w:p>
            <w:pPr>
              <w:spacing w:after="0"/>
              <w:rPr>
                <w:sz w:val="13"/>
                <w:szCs w:val="13"/>
                <w:color w:val="auto"/>
              </w:rPr>
            </w:pPr>
          </w:p>
        </w:tc>
        <w:tc>
          <w:tcPr>
            <w:tcW w:w="340" w:type="dxa"/>
            <w:vAlign w:val="bottom"/>
            <w:shd w:val="clear" w:color="auto" w:fill="E5F1EE"/>
          </w:tcPr>
          <w:p>
            <w:pPr>
              <w:spacing w:after="0"/>
              <w:rPr>
                <w:sz w:val="13"/>
                <w:szCs w:val="13"/>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26,764</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53"/>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Real estate - residential</w:t>
            </w:r>
          </w:p>
        </w:tc>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24,874</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23,166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Consumer</w:t>
            </w:r>
          </w:p>
        </w:tc>
        <w:tc>
          <w:tcPr>
            <w:tcW w:w="3460" w:type="dxa"/>
            <w:vAlign w:val="bottom"/>
            <w:shd w:val="clear" w:color="auto" w:fill="E5F1EE"/>
          </w:tcPr>
          <w:p>
            <w:pPr>
              <w:spacing w:after="0"/>
              <w:rPr>
                <w:sz w:val="13"/>
                <w:szCs w:val="13"/>
                <w:color w:val="auto"/>
              </w:rPr>
            </w:pPr>
          </w:p>
        </w:tc>
        <w:tc>
          <w:tcPr>
            <w:tcW w:w="260" w:type="dxa"/>
            <w:vAlign w:val="bottom"/>
            <w:tcBorders>
              <w:bottom w:val="single" w:sz="8" w:color="auto"/>
            </w:tcBorders>
            <w:shd w:val="clear" w:color="auto" w:fill="E5F1EE"/>
          </w:tcPr>
          <w:p>
            <w:pPr>
              <w:spacing w:after="0"/>
              <w:rPr>
                <w:sz w:val="13"/>
                <w:szCs w:val="13"/>
                <w:color w:val="auto"/>
              </w:rPr>
            </w:pP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26,461</w:t>
            </w:r>
          </w:p>
        </w:tc>
        <w:tc>
          <w:tcPr>
            <w:tcW w:w="200" w:type="dxa"/>
            <w:vAlign w:val="bottom"/>
            <w:shd w:val="clear" w:color="auto" w:fill="E5F1EE"/>
          </w:tcPr>
          <w:p>
            <w:pPr>
              <w:spacing w:after="0"/>
              <w:rPr>
                <w:sz w:val="13"/>
                <w:szCs w:val="13"/>
                <w:color w:val="auto"/>
              </w:rPr>
            </w:pPr>
          </w:p>
        </w:tc>
        <w:tc>
          <w:tcPr>
            <w:tcW w:w="340" w:type="dxa"/>
            <w:vAlign w:val="bottom"/>
            <w:tcBorders>
              <w:bottom w:val="single" w:sz="8" w:color="auto"/>
            </w:tcBorders>
            <w:shd w:val="clear" w:color="auto" w:fill="E5F1EE"/>
          </w:tcPr>
          <w:p>
            <w:pPr>
              <w:spacing w:after="0"/>
              <w:rPr>
                <w:sz w:val="13"/>
                <w:szCs w:val="13"/>
                <w:color w:val="auto"/>
              </w:rPr>
            </w:pPr>
          </w:p>
        </w:tc>
        <w:tc>
          <w:tcPr>
            <w:tcW w:w="8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24,170</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2"/>
        </w:trPr>
        <w:tc>
          <w:tcPr>
            <w:tcW w:w="40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loans</w:t>
            </w:r>
          </w:p>
        </w:tc>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138,702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135,581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Less: allowance for loan losses</w:t>
            </w:r>
          </w:p>
        </w:tc>
        <w:tc>
          <w:tcPr>
            <w:tcW w:w="3460" w:type="dxa"/>
            <w:vAlign w:val="bottom"/>
            <w:shd w:val="clear" w:color="auto" w:fill="E5F1EE"/>
          </w:tcPr>
          <w:p>
            <w:pPr>
              <w:spacing w:after="0"/>
              <w:rPr>
                <w:sz w:val="13"/>
                <w:szCs w:val="13"/>
                <w:color w:val="auto"/>
              </w:rPr>
            </w:pPr>
          </w:p>
        </w:tc>
        <w:tc>
          <w:tcPr>
            <w:tcW w:w="260" w:type="dxa"/>
            <w:vAlign w:val="bottom"/>
            <w:tcBorders>
              <w:bottom w:val="single" w:sz="8" w:color="auto"/>
            </w:tcBorders>
            <w:shd w:val="clear" w:color="auto" w:fill="E5F1EE"/>
          </w:tcPr>
          <w:p>
            <w:pPr>
              <w:spacing w:after="0"/>
              <w:rPr>
                <w:sz w:val="13"/>
                <w:szCs w:val="13"/>
                <w:color w:val="auto"/>
              </w:rPr>
            </w:pP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2,116</w:t>
            </w:r>
          </w:p>
        </w:tc>
        <w:tc>
          <w:tcPr>
            <w:tcW w:w="200" w:type="dxa"/>
            <w:vAlign w:val="bottom"/>
            <w:shd w:val="clear" w:color="auto" w:fill="E5F1EE"/>
          </w:tcPr>
          <w:p>
            <w:pPr>
              <w:spacing w:after="0"/>
              <w:rPr>
                <w:sz w:val="13"/>
                <w:szCs w:val="13"/>
                <w:color w:val="auto"/>
              </w:rPr>
            </w:pPr>
          </w:p>
        </w:tc>
        <w:tc>
          <w:tcPr>
            <w:tcW w:w="340" w:type="dxa"/>
            <w:vAlign w:val="bottom"/>
            <w:tcBorders>
              <w:bottom w:val="single" w:sz="8" w:color="auto"/>
            </w:tcBorders>
            <w:shd w:val="clear" w:color="auto" w:fill="E5F1EE"/>
          </w:tcPr>
          <w:p>
            <w:pPr>
              <w:spacing w:after="0"/>
              <w:rPr>
                <w:sz w:val="13"/>
                <w:szCs w:val="13"/>
                <w:color w:val="auto"/>
              </w:rPr>
            </w:pPr>
          </w:p>
        </w:tc>
        <w:tc>
          <w:tcPr>
            <w:tcW w:w="8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2,184</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2"/>
        </w:trPr>
        <w:tc>
          <w:tcPr>
            <w:tcW w:w="40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loans</w:t>
            </w:r>
          </w:p>
        </w:tc>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136,586</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133,397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Goodwill</w:t>
            </w:r>
          </w:p>
        </w:tc>
        <w:tc>
          <w:tcPr>
            <w:tcW w:w="346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200" w:type="dxa"/>
            <w:vAlign w:val="bottom"/>
            <w:shd w:val="clear" w:color="auto" w:fill="E5F1EE"/>
          </w:tcPr>
          <w:p>
            <w:pPr>
              <w:spacing w:after="0"/>
              <w:rPr>
                <w:sz w:val="13"/>
                <w:szCs w:val="13"/>
                <w:color w:val="auto"/>
              </w:rPr>
            </w:pPr>
          </w:p>
        </w:tc>
        <w:tc>
          <w:tcPr>
            <w:tcW w:w="340" w:type="dxa"/>
            <w:vAlign w:val="bottom"/>
            <w:shd w:val="clear" w:color="auto" w:fill="E5F1EE"/>
          </w:tcPr>
          <w:p>
            <w:pPr>
              <w:spacing w:after="0"/>
              <w:rPr>
                <w:sz w:val="13"/>
                <w:szCs w:val="13"/>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200" w:type="dxa"/>
            <w:vAlign w:val="bottom"/>
            <w:shd w:val="clear" w:color="auto" w:fill="E5F1EE"/>
          </w:tcPr>
          <w:p>
            <w:pPr>
              <w:spacing w:after="0"/>
              <w:rPr>
                <w:sz w:val="13"/>
                <w:szCs w:val="13"/>
                <w:color w:val="auto"/>
              </w:rPr>
            </w:pPr>
          </w:p>
        </w:tc>
        <w:tc>
          <w:tcPr>
            <w:tcW w:w="11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Core deposit and other intangible assets</w:t>
            </w:r>
          </w:p>
        </w:tc>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460" w:type="dxa"/>
            <w:vAlign w:val="bottom"/>
            <w:shd w:val="clear" w:color="auto" w:fill="E5F1EE"/>
          </w:tcPr>
          <w:p>
            <w:pPr>
              <w:spacing w:after="0"/>
              <w:rPr>
                <w:sz w:val="13"/>
                <w:szCs w:val="13"/>
                <w:color w:val="auto"/>
              </w:rPr>
            </w:pPr>
          </w:p>
        </w:tc>
        <w:tc>
          <w:tcPr>
            <w:tcW w:w="260" w:type="dxa"/>
            <w:vAlign w:val="bottom"/>
            <w:tcBorders>
              <w:bottom w:val="single" w:sz="8" w:color="auto"/>
            </w:tcBorders>
            <w:shd w:val="clear" w:color="auto" w:fill="E5F1EE"/>
          </w:tcPr>
          <w:p>
            <w:pPr>
              <w:spacing w:after="0"/>
              <w:rPr>
                <w:sz w:val="13"/>
                <w:szCs w:val="13"/>
                <w:color w:val="auto"/>
              </w:rPr>
            </w:pP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12,880</w:t>
            </w:r>
          </w:p>
        </w:tc>
        <w:tc>
          <w:tcPr>
            <w:tcW w:w="200" w:type="dxa"/>
            <w:vAlign w:val="bottom"/>
            <w:shd w:val="clear" w:color="auto" w:fill="E5F1EE"/>
          </w:tcPr>
          <w:p>
            <w:pPr>
              <w:spacing w:after="0"/>
              <w:rPr>
                <w:sz w:val="13"/>
                <w:szCs w:val="13"/>
                <w:color w:val="auto"/>
              </w:rPr>
            </w:pPr>
          </w:p>
        </w:tc>
        <w:tc>
          <w:tcPr>
            <w:tcW w:w="340" w:type="dxa"/>
            <w:vAlign w:val="bottom"/>
            <w:tcBorders>
              <w:bottom w:val="single" w:sz="8" w:color="auto"/>
            </w:tcBorders>
            <w:shd w:val="clear" w:color="auto" w:fill="E5F1EE"/>
          </w:tcPr>
          <w:p>
            <w:pPr>
              <w:spacing w:after="0"/>
              <w:rPr>
                <w:sz w:val="13"/>
                <w:szCs w:val="13"/>
                <w:color w:val="auto"/>
              </w:rPr>
            </w:pPr>
          </w:p>
        </w:tc>
        <w:tc>
          <w:tcPr>
            <w:tcW w:w="8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11,215</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58"/>
        </w:trPr>
        <w:tc>
          <w:tcPr>
            <w:tcW w:w="4020" w:type="dxa"/>
            <w:vAlign w:val="bottom"/>
            <w:tcBorders>
              <w:bottom w:val="single" w:sz="8" w:color="E5F1EE"/>
            </w:tcBorders>
          </w:tcPr>
          <w:p>
            <w:pPr>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3460" w:type="dxa"/>
            <w:vAlign w:val="bottom"/>
            <w:tcBorders>
              <w:bottom w:val="single" w:sz="8" w:color="E5F1EE"/>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213,510</w:t>
            </w:r>
          </w:p>
        </w:tc>
        <w:tc>
          <w:tcPr>
            <w:tcW w:w="200" w:type="dxa"/>
            <w:vAlign w:val="bottom"/>
            <w:tcBorders>
              <w:bottom w:val="single" w:sz="8" w:color="E5F1EE"/>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208,105</w:t>
            </w:r>
          </w:p>
        </w:tc>
        <w:tc>
          <w:tcPr>
            <w:tcW w:w="13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13"/>
                <w:szCs w:val="13"/>
                <w:color w:val="auto"/>
              </w:rPr>
            </w:pPr>
          </w:p>
        </w:tc>
        <w:tc>
          <w:tcPr>
            <w:tcW w:w="346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88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340" w:type="dxa"/>
            <w:vAlign w:val="bottom"/>
            <w:shd w:val="clear" w:color="auto" w:fill="E5F1EE"/>
          </w:tcPr>
          <w:p>
            <w:pPr>
              <w:spacing w:after="0"/>
              <w:rPr>
                <w:sz w:val="13"/>
                <w:szCs w:val="13"/>
                <w:color w:val="auto"/>
              </w:rPr>
            </w:pPr>
          </w:p>
        </w:tc>
        <w:tc>
          <w:tcPr>
            <w:tcW w:w="80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4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LIABILITIES AND SHAREHOLDERS' EQUITY</w:t>
            </w:r>
          </w:p>
        </w:tc>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Noninterest-bearing deposits</w:t>
            </w:r>
          </w:p>
        </w:tc>
        <w:tc>
          <w:tcPr>
            <w:tcW w:w="3720" w:type="dxa"/>
            <w:vAlign w:val="bottom"/>
            <w:gridSpan w:val="2"/>
            <w:shd w:val="clear" w:color="auto" w:fill="E5F1EE"/>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46,509</w:t>
            </w:r>
          </w:p>
        </w:tc>
        <w:tc>
          <w:tcPr>
            <w:tcW w:w="200" w:type="dxa"/>
            <w:vAlign w:val="bottom"/>
            <w:shd w:val="clear" w:color="auto" w:fill="E5F1EE"/>
          </w:tcPr>
          <w:p>
            <w:pPr>
              <w:spacing w:after="0"/>
              <w:rPr>
                <w:sz w:val="13"/>
                <w:szCs w:val="13"/>
                <w:color w:val="auto"/>
              </w:rPr>
            </w:pPr>
          </w:p>
        </w:tc>
        <w:tc>
          <w:tcPr>
            <w:tcW w:w="340" w:type="dxa"/>
            <w:vAlign w:val="bottom"/>
            <w:shd w:val="clear" w:color="auto" w:fill="E5F1EE"/>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46,020</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Interest-bearing deposits</w:t>
            </w:r>
          </w:p>
        </w:tc>
        <w:tc>
          <w:tcPr>
            <w:tcW w:w="3460" w:type="dxa"/>
            <w:vAlign w:val="bottom"/>
            <w:tcBorders>
              <w:bottom w:val="single" w:sz="8" w:color="E5F1EE"/>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120,400</w:t>
            </w:r>
          </w:p>
        </w:tc>
        <w:tc>
          <w:tcPr>
            <w:tcW w:w="200" w:type="dxa"/>
            <w:vAlign w:val="bottom"/>
            <w:tcBorders>
              <w:bottom w:val="single" w:sz="8" w:color="E5F1EE"/>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115,075</w:t>
            </w:r>
          </w:p>
        </w:tc>
        <w:tc>
          <w:tcPr>
            <w:tcW w:w="13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2"/>
        </w:trPr>
        <w:tc>
          <w:tcPr>
            <w:tcW w:w="40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deposits</w:t>
            </w:r>
          </w:p>
        </w:tc>
        <w:tc>
          <w:tcPr>
            <w:tcW w:w="3460" w:type="dxa"/>
            <w:vAlign w:val="bottom"/>
            <w:shd w:val="clear" w:color="auto" w:fill="E5F1EE"/>
          </w:tcPr>
          <w:p>
            <w:pPr>
              <w:spacing w:after="0"/>
              <w:rPr>
                <w:sz w:val="12"/>
                <w:szCs w:val="12"/>
                <w:color w:val="auto"/>
              </w:rPr>
            </w:pPr>
          </w:p>
        </w:tc>
        <w:tc>
          <w:tcPr>
            <w:tcW w:w="260" w:type="dxa"/>
            <w:vAlign w:val="bottom"/>
            <w:shd w:val="clear" w:color="auto" w:fill="E5F1EE"/>
          </w:tcPr>
          <w:p>
            <w:pPr>
              <w:spacing w:after="0"/>
              <w:rPr>
                <w:sz w:val="12"/>
                <w:szCs w:val="12"/>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166,909</w:t>
            </w:r>
          </w:p>
        </w:tc>
        <w:tc>
          <w:tcPr>
            <w:tcW w:w="200" w:type="dxa"/>
            <w:vAlign w:val="bottom"/>
            <w:shd w:val="clear" w:color="auto" w:fill="E5F1EE"/>
          </w:tcPr>
          <w:p>
            <w:pPr>
              <w:spacing w:after="0"/>
              <w:rPr>
                <w:sz w:val="12"/>
                <w:szCs w:val="12"/>
                <w:color w:val="auto"/>
              </w:rPr>
            </w:pPr>
          </w:p>
        </w:tc>
        <w:tc>
          <w:tcPr>
            <w:tcW w:w="340" w:type="dxa"/>
            <w:vAlign w:val="bottom"/>
            <w:shd w:val="clear" w:color="auto" w:fill="E5F1EE"/>
          </w:tcPr>
          <w:p>
            <w:pPr>
              <w:spacing w:after="0"/>
              <w:rPr>
                <w:sz w:val="12"/>
                <w:szCs w:val="12"/>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161,095</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Short-term borrowings</w:t>
            </w:r>
          </w:p>
        </w:tc>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2,149</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Long-term borrowings</w:t>
            </w:r>
          </w:p>
        </w:tc>
        <w:tc>
          <w:tcPr>
            <w:tcW w:w="346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10,911</w:t>
            </w:r>
          </w:p>
        </w:tc>
        <w:tc>
          <w:tcPr>
            <w:tcW w:w="200" w:type="dxa"/>
            <w:vAlign w:val="bottom"/>
            <w:shd w:val="clear" w:color="auto" w:fill="E5F1EE"/>
          </w:tcPr>
          <w:p>
            <w:pPr>
              <w:spacing w:after="0"/>
              <w:rPr>
                <w:sz w:val="13"/>
                <w:szCs w:val="13"/>
                <w:color w:val="auto"/>
              </w:rPr>
            </w:pPr>
          </w:p>
        </w:tc>
        <w:tc>
          <w:tcPr>
            <w:tcW w:w="340" w:type="dxa"/>
            <w:vAlign w:val="bottom"/>
            <w:shd w:val="clear" w:color="auto" w:fill="E5F1EE"/>
          </w:tcPr>
          <w:p>
            <w:pPr>
              <w:spacing w:after="0"/>
              <w:rPr>
                <w:sz w:val="13"/>
                <w:szCs w:val="13"/>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12,605</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Accrued interest and other liabilities</w:t>
            </w:r>
          </w:p>
        </w:tc>
        <w:tc>
          <w:tcPr>
            <w:tcW w:w="3460" w:type="dxa"/>
            <w:vAlign w:val="bottom"/>
            <w:tcBorders>
              <w:bottom w:val="single" w:sz="8" w:color="E5F1EE"/>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4,364</w:t>
            </w:r>
          </w:p>
        </w:tc>
        <w:tc>
          <w:tcPr>
            <w:tcW w:w="200" w:type="dxa"/>
            <w:vAlign w:val="bottom"/>
            <w:tcBorders>
              <w:bottom w:val="single" w:sz="8" w:color="E5F1EE"/>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4,318</w:t>
            </w:r>
          </w:p>
        </w:tc>
        <w:tc>
          <w:tcPr>
            <w:tcW w:w="13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2"/>
        </w:trPr>
        <w:tc>
          <w:tcPr>
            <w:tcW w:w="40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3460" w:type="dxa"/>
            <w:vAlign w:val="bottom"/>
            <w:shd w:val="clear" w:color="auto" w:fill="E5F1EE"/>
          </w:tcPr>
          <w:p>
            <w:pPr>
              <w:spacing w:after="0"/>
              <w:rPr>
                <w:sz w:val="12"/>
                <w:szCs w:val="12"/>
                <w:color w:val="auto"/>
              </w:rPr>
            </w:pPr>
          </w:p>
        </w:tc>
        <w:tc>
          <w:tcPr>
            <w:tcW w:w="260" w:type="dxa"/>
            <w:vAlign w:val="bottom"/>
            <w:tcBorders>
              <w:bottom w:val="single" w:sz="8" w:color="auto"/>
            </w:tcBorders>
            <w:shd w:val="clear" w:color="auto" w:fill="E5F1EE"/>
          </w:tcPr>
          <w:p>
            <w:pPr>
              <w:spacing w:after="0"/>
              <w:rPr>
                <w:sz w:val="12"/>
                <w:szCs w:val="12"/>
                <w:color w:val="auto"/>
              </w:rPr>
            </w:pP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184,333</w:t>
            </w:r>
          </w:p>
        </w:tc>
        <w:tc>
          <w:tcPr>
            <w:tcW w:w="200" w:type="dxa"/>
            <w:vAlign w:val="bottom"/>
            <w:shd w:val="clear" w:color="auto" w:fill="E5F1EE"/>
          </w:tcPr>
          <w:p>
            <w:pPr>
              <w:spacing w:after="0"/>
              <w:rPr>
                <w:sz w:val="12"/>
                <w:szCs w:val="12"/>
                <w:color w:val="auto"/>
              </w:rPr>
            </w:pPr>
          </w:p>
        </w:tc>
        <w:tc>
          <w:tcPr>
            <w:tcW w:w="340" w:type="dxa"/>
            <w:vAlign w:val="bottom"/>
            <w:tcBorders>
              <w:bottom w:val="single" w:sz="8" w:color="auto"/>
            </w:tcBorders>
            <w:shd w:val="clear" w:color="auto" w:fill="E5F1EE"/>
          </w:tcPr>
          <w:p>
            <w:pPr>
              <w:spacing w:after="0"/>
              <w:rPr>
                <w:sz w:val="12"/>
                <w:szCs w:val="12"/>
                <w:color w:val="auto"/>
              </w:rPr>
            </w:pPr>
          </w:p>
        </w:tc>
        <w:tc>
          <w:tcPr>
            <w:tcW w:w="8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179,078</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33"/>
        </w:trPr>
        <w:tc>
          <w:tcPr>
            <w:tcW w:w="4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Shareholders' equity:</w:t>
            </w:r>
          </w:p>
        </w:tc>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Preferred</w:t>
            </w:r>
          </w:p>
        </w:tc>
        <w:tc>
          <w:tcPr>
            <w:tcW w:w="346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2,834</w:t>
            </w:r>
          </w:p>
        </w:tc>
        <w:tc>
          <w:tcPr>
            <w:tcW w:w="200" w:type="dxa"/>
            <w:vAlign w:val="bottom"/>
            <w:shd w:val="clear" w:color="auto" w:fill="E5F1EE"/>
          </w:tcPr>
          <w:p>
            <w:pPr>
              <w:spacing w:after="0"/>
              <w:rPr>
                <w:sz w:val="13"/>
                <w:szCs w:val="13"/>
                <w:color w:val="auto"/>
              </w:rPr>
            </w:pPr>
          </w:p>
        </w:tc>
        <w:tc>
          <w:tcPr>
            <w:tcW w:w="340" w:type="dxa"/>
            <w:vAlign w:val="bottom"/>
            <w:shd w:val="clear" w:color="auto" w:fill="E5F1EE"/>
          </w:tcPr>
          <w:p>
            <w:pPr>
              <w:spacing w:after="0"/>
              <w:rPr>
                <w:sz w:val="13"/>
                <w:szCs w:val="13"/>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E5F1EE"/>
            </w:tcBorders>
          </w:tcPr>
          <w:p>
            <w:pPr>
              <w:ind w:left="140"/>
              <w:spacing w:after="0"/>
              <w:rPr>
                <w:sz w:val="20"/>
                <w:szCs w:val="20"/>
                <w:color w:val="auto"/>
              </w:rPr>
            </w:pPr>
            <w:r>
              <w:rPr>
                <w:rFonts w:ascii="Times New Roman" w:cs="Times New Roman" w:eastAsia="Times New Roman" w:hAnsi="Times New Roman"/>
                <w:sz w:val="12"/>
                <w:szCs w:val="12"/>
                <w:color w:val="auto"/>
              </w:rPr>
              <w:t>Common</w:t>
            </w:r>
          </w:p>
        </w:tc>
        <w:tc>
          <w:tcPr>
            <w:tcW w:w="3460" w:type="dxa"/>
            <w:vAlign w:val="bottom"/>
            <w:tcBorders>
              <w:bottom w:val="single" w:sz="8" w:color="E5F1EE"/>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26,343</w:t>
            </w:r>
          </w:p>
        </w:tc>
        <w:tc>
          <w:tcPr>
            <w:tcW w:w="200" w:type="dxa"/>
            <w:vAlign w:val="bottom"/>
            <w:tcBorders>
              <w:bottom w:val="single" w:sz="8" w:color="E5F1EE"/>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26,633</w:t>
            </w:r>
          </w:p>
        </w:tc>
        <w:tc>
          <w:tcPr>
            <w:tcW w:w="13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2"/>
        </w:trPr>
        <w:tc>
          <w:tcPr>
            <w:tcW w:w="40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shareholders' equity</w:t>
            </w:r>
          </w:p>
        </w:tc>
        <w:tc>
          <w:tcPr>
            <w:tcW w:w="3460" w:type="dxa"/>
            <w:vAlign w:val="bottom"/>
            <w:shd w:val="clear" w:color="auto" w:fill="E5F1EE"/>
          </w:tcPr>
          <w:p>
            <w:pPr>
              <w:spacing w:after="0"/>
              <w:rPr>
                <w:sz w:val="12"/>
                <w:szCs w:val="12"/>
                <w:color w:val="auto"/>
              </w:rPr>
            </w:pPr>
          </w:p>
        </w:tc>
        <w:tc>
          <w:tcPr>
            <w:tcW w:w="260" w:type="dxa"/>
            <w:vAlign w:val="bottom"/>
            <w:tcBorders>
              <w:bottom w:val="single" w:sz="8" w:color="auto"/>
            </w:tcBorders>
            <w:shd w:val="clear" w:color="auto" w:fill="E5F1EE"/>
          </w:tcPr>
          <w:p>
            <w:pPr>
              <w:spacing w:after="0"/>
              <w:rPr>
                <w:sz w:val="12"/>
                <w:szCs w:val="12"/>
                <w:color w:val="auto"/>
              </w:rPr>
            </w:pP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29,177</w:t>
            </w:r>
          </w:p>
        </w:tc>
        <w:tc>
          <w:tcPr>
            <w:tcW w:w="200" w:type="dxa"/>
            <w:vAlign w:val="bottom"/>
            <w:shd w:val="clear" w:color="auto" w:fill="E5F1EE"/>
          </w:tcPr>
          <w:p>
            <w:pPr>
              <w:spacing w:after="0"/>
              <w:rPr>
                <w:sz w:val="12"/>
                <w:szCs w:val="12"/>
                <w:color w:val="auto"/>
              </w:rPr>
            </w:pPr>
          </w:p>
        </w:tc>
        <w:tc>
          <w:tcPr>
            <w:tcW w:w="340" w:type="dxa"/>
            <w:vAlign w:val="bottom"/>
            <w:tcBorders>
              <w:bottom w:val="single" w:sz="8" w:color="auto"/>
            </w:tcBorders>
            <w:shd w:val="clear" w:color="auto" w:fill="E5F1EE"/>
          </w:tcPr>
          <w:p>
            <w:pPr>
              <w:spacing w:after="0"/>
              <w:rPr>
                <w:sz w:val="12"/>
                <w:szCs w:val="12"/>
                <w:color w:val="auto"/>
              </w:rPr>
            </w:pPr>
          </w:p>
        </w:tc>
        <w:tc>
          <w:tcPr>
            <w:tcW w:w="8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29,027</w:t>
            </w:r>
          </w:p>
        </w:tc>
        <w:tc>
          <w:tcPr>
            <w:tcW w:w="13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346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213,510</w:t>
            </w:r>
          </w:p>
        </w:tc>
        <w:tc>
          <w:tcPr>
            <w:tcW w:w="20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208,105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60" w:type="dxa"/>
            <w:vAlign w:val="bottom"/>
            <w:vMerge w:val="restart"/>
          </w:tcPr>
          <w:p>
            <w:pPr>
              <w:jc w:val="right"/>
              <w:ind w:right="1720"/>
              <w:spacing w:after="0"/>
              <w:rPr>
                <w:sz w:val="20"/>
                <w:szCs w:val="20"/>
                <w:color w:val="auto"/>
              </w:rPr>
            </w:pPr>
            <w:r>
              <w:rPr>
                <w:rFonts w:ascii="Times New Roman" w:cs="Times New Roman" w:eastAsia="Times New Roman" w:hAnsi="Times New Roman"/>
                <w:sz w:val="12"/>
                <w:szCs w:val="12"/>
                <w:color w:val="auto"/>
              </w:rPr>
              <w:t>14</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40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332" w:right="29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147447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33"/>
        </w:trPr>
        <w:tc>
          <w:tcPr>
            <w:tcW w:w="354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116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116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280" w:type="dxa"/>
            <w:vAlign w:val="bottom"/>
            <w:shd w:val="clear" w:color="auto" w:fill="007856"/>
          </w:tcPr>
          <w:p>
            <w:pPr>
              <w:spacing w:after="0"/>
              <w:rPr>
                <w:sz w:val="24"/>
                <w:szCs w:val="24"/>
                <w:color w:val="auto"/>
              </w:rPr>
            </w:pPr>
          </w:p>
        </w:tc>
        <w:tc>
          <w:tcPr>
            <w:tcW w:w="108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260" w:type="dxa"/>
            <w:vAlign w:val="bottom"/>
            <w:shd w:val="clear" w:color="auto" w:fill="007856"/>
          </w:tcPr>
          <w:p>
            <w:pPr>
              <w:spacing w:after="0"/>
              <w:rPr>
                <w:sz w:val="24"/>
                <w:szCs w:val="24"/>
                <w:color w:val="auto"/>
              </w:rPr>
            </w:pPr>
          </w:p>
        </w:tc>
        <w:tc>
          <w:tcPr>
            <w:tcW w:w="1100" w:type="dxa"/>
            <w:vAlign w:val="bottom"/>
            <w:shd w:val="clear" w:color="auto" w:fill="007856"/>
          </w:tcPr>
          <w:p>
            <w:pPr>
              <w:spacing w:after="0"/>
              <w:rPr>
                <w:sz w:val="24"/>
                <w:szCs w:val="24"/>
                <w:color w:val="auto"/>
              </w:rPr>
            </w:pPr>
          </w:p>
        </w:tc>
        <w:tc>
          <w:tcPr>
            <w:tcW w:w="1660" w:type="dxa"/>
            <w:vAlign w:val="bottom"/>
            <w:gridSpan w:val="4"/>
            <w:shd w:val="clear" w:color="auto" w:fill="007856"/>
          </w:tcPr>
          <w:p>
            <w:pPr>
              <w:ind w:left="80"/>
              <w:spacing w:after="0"/>
              <w:rPr>
                <w:sz w:val="20"/>
                <w:szCs w:val="20"/>
                <w:color w:val="auto"/>
              </w:rPr>
            </w:pPr>
            <w:r>
              <w:rPr>
                <w:rFonts w:ascii="Times New Roman" w:cs="Times New Roman" w:eastAsia="Times New Roman" w:hAnsi="Times New Roman"/>
                <w:sz w:val="12"/>
                <w:szCs w:val="12"/>
                <w:b w:val="1"/>
                <w:bCs w:val="1"/>
                <w:color w:val="FFFFFF"/>
              </w:rPr>
              <w:t>Fourth Quarter 2025 Results</w:t>
            </w:r>
          </w:p>
        </w:tc>
        <w:tc>
          <w:tcPr>
            <w:tcW w:w="0" w:type="dxa"/>
            <w:vAlign w:val="bottom"/>
          </w:tcPr>
          <w:p>
            <w:pPr>
              <w:spacing w:after="0"/>
              <w:rPr>
                <w:sz w:val="1"/>
                <w:szCs w:val="1"/>
                <w:color w:val="auto"/>
              </w:rPr>
            </w:pPr>
          </w:p>
        </w:tc>
      </w:tr>
      <w:tr>
        <w:trPr>
          <w:trHeight w:val="738"/>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Condensed Consolidated Balance Sheet, Five Quarter Trend</w:t>
            </w:r>
          </w:p>
        </w:tc>
        <w:tc>
          <w:tcPr>
            <w:tcW w:w="200" w:type="dxa"/>
            <w:vAlign w:val="bottom"/>
          </w:tcPr>
          <w:p>
            <w:pPr>
              <w:spacing w:after="0"/>
              <w:rPr>
                <w:sz w:val="24"/>
                <w:szCs w:val="24"/>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auto"/>
              </w:rPr>
              <w:t>December 31,</w:t>
            </w:r>
          </w:p>
        </w:tc>
        <w:tc>
          <w:tcPr>
            <w:tcW w:w="200" w:type="dxa"/>
            <w:vAlign w:val="bottom"/>
          </w:tcPr>
          <w:p>
            <w:pPr>
              <w:spacing w:after="0"/>
              <w:rPr>
                <w:sz w:val="24"/>
                <w:szCs w:val="24"/>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auto"/>
              </w:rPr>
              <w:t>September 30,</w:t>
            </w:r>
          </w:p>
        </w:tc>
        <w:tc>
          <w:tcPr>
            <w:tcW w:w="280" w:type="dxa"/>
            <w:vAlign w:val="bottom"/>
          </w:tcPr>
          <w:p>
            <w:pPr>
              <w:spacing w:after="0"/>
              <w:rPr>
                <w:sz w:val="24"/>
                <w:szCs w:val="24"/>
                <w:color w:val="auto"/>
              </w:rPr>
            </w:pP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auto"/>
              </w:rPr>
              <w:t>June 30,</w:t>
            </w:r>
          </w:p>
        </w:tc>
        <w:tc>
          <w:tcPr>
            <w:tcW w:w="260" w:type="dxa"/>
            <w:vAlign w:val="bottom"/>
          </w:tcPr>
          <w:p>
            <w:pPr>
              <w:spacing w:after="0"/>
              <w:rPr>
                <w:sz w:val="24"/>
                <w:szCs w:val="24"/>
                <w:color w:val="auto"/>
              </w:rPr>
            </w:pPr>
          </w:p>
        </w:tc>
        <w:tc>
          <w:tcPr>
            <w:tcW w:w="110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color w:val="auto"/>
              </w:rPr>
              <w:t>March 31,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auto"/>
              </w:rPr>
              <w:t>December 31,</w:t>
            </w:r>
          </w:p>
        </w:tc>
        <w:tc>
          <w:tcPr>
            <w:tcW w:w="0" w:type="dxa"/>
            <w:vAlign w:val="bottom"/>
          </w:tcPr>
          <w:p>
            <w:pPr>
              <w:spacing w:after="0"/>
              <w:rPr>
                <w:sz w:val="1"/>
                <w:szCs w:val="1"/>
                <w:color w:val="auto"/>
              </w:rPr>
            </w:pPr>
          </w:p>
        </w:tc>
      </w:tr>
      <w:tr>
        <w:trPr>
          <w:trHeight w:val="151"/>
        </w:trPr>
        <w:tc>
          <w:tcPr>
            <w:tcW w:w="35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4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ASSETS</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Cash and due from banks</w:t>
            </w:r>
          </w:p>
        </w:tc>
        <w:tc>
          <w:tcPr>
            <w:tcW w:w="200" w:type="dxa"/>
            <w:vAlign w:val="bottom"/>
            <w:shd w:val="clear" w:color="auto" w:fill="E5F1EE"/>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1,701</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1,950</w:t>
            </w: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2,128</w:t>
            </w:r>
          </w:p>
        </w:tc>
        <w:tc>
          <w:tcPr>
            <w:tcW w:w="220" w:type="dxa"/>
            <w:vAlign w:val="bottom"/>
            <w:shd w:val="clear" w:color="auto" w:fill="E5F1EE"/>
          </w:tcPr>
          <w:p>
            <w:pPr>
              <w:spacing w:after="0"/>
              <w:rPr>
                <w:sz w:val="13"/>
                <w:szCs w:val="13"/>
                <w:color w:val="auto"/>
              </w:rPr>
            </w:pPr>
          </w:p>
        </w:tc>
        <w:tc>
          <w:tcPr>
            <w:tcW w:w="260" w:type="dxa"/>
            <w:vAlign w:val="bottom"/>
            <w:shd w:val="clear" w:color="auto" w:fill="E5F1EE"/>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2,109</w:t>
            </w:r>
          </w:p>
        </w:tc>
        <w:tc>
          <w:tcPr>
            <w:tcW w:w="44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1,909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Interest-bearing deposits at banks</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17,068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16,751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19,297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20,656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Trading account</w:t>
            </w: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10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22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Investment securities</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36,649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36,864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35,568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35,137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Loans:</w:t>
            </w: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108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110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1160" w:type="dxa"/>
            <w:vAlign w:val="bottom"/>
            <w:shd w:val="clear" w:color="auto" w:fill="E5F1E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63,548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61,887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61,660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60,596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Real estate - commercial</w:t>
            </w: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23,819</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24,046</w:t>
            </w: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10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24,567</w:t>
            </w:r>
          </w:p>
        </w:tc>
        <w:tc>
          <w:tcPr>
            <w:tcW w:w="22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25,867</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26,764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Real estate - residential</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24,874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24,662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24,117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23,284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Consumer</w:t>
            </w:r>
          </w:p>
        </w:tc>
        <w:tc>
          <w:tcPr>
            <w:tcW w:w="200" w:type="dxa"/>
            <w:vAlign w:val="bottom"/>
            <w:tcBorders>
              <w:bottom w:val="single" w:sz="8" w:color="auto"/>
            </w:tcBorders>
            <w:shd w:val="clear" w:color="auto" w:fill="E5F1EE"/>
          </w:tcPr>
          <w:p>
            <w:pPr>
              <w:spacing w:after="0"/>
              <w:rPr>
                <w:sz w:val="13"/>
                <w:szCs w:val="13"/>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26,461</w:t>
            </w:r>
          </w:p>
        </w:tc>
        <w:tc>
          <w:tcPr>
            <w:tcW w:w="220" w:type="dxa"/>
            <w:vAlign w:val="bottom"/>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spacing w:after="0"/>
              <w:rPr>
                <w:sz w:val="13"/>
                <w:szCs w:val="13"/>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26,379</w:t>
            </w:r>
          </w:p>
        </w:tc>
        <w:tc>
          <w:tcPr>
            <w:tcW w:w="220" w:type="dxa"/>
            <w:vAlign w:val="bottom"/>
            <w:shd w:val="clear" w:color="auto" w:fill="E5F1EE"/>
          </w:tcPr>
          <w:p>
            <w:pPr>
              <w:spacing w:after="0"/>
              <w:rPr>
                <w:sz w:val="13"/>
                <w:szCs w:val="13"/>
                <w:color w:val="auto"/>
              </w:rPr>
            </w:pPr>
          </w:p>
        </w:tc>
        <w:tc>
          <w:tcPr>
            <w:tcW w:w="280" w:type="dxa"/>
            <w:vAlign w:val="bottom"/>
            <w:tcBorders>
              <w:bottom w:val="single" w:sz="8" w:color="auto"/>
            </w:tcBorders>
            <w:shd w:val="clear" w:color="auto" w:fill="E5F1EE"/>
          </w:tcPr>
          <w:p>
            <w:pPr>
              <w:spacing w:after="0"/>
              <w:rPr>
                <w:sz w:val="13"/>
                <w:szCs w:val="13"/>
                <w:color w:val="auto"/>
              </w:rPr>
            </w:pPr>
          </w:p>
        </w:tc>
        <w:tc>
          <w:tcPr>
            <w:tcW w:w="10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25,772</w:t>
            </w:r>
          </w:p>
        </w:tc>
        <w:tc>
          <w:tcPr>
            <w:tcW w:w="220" w:type="dxa"/>
            <w:vAlign w:val="bottom"/>
            <w:shd w:val="clear" w:color="auto" w:fill="E5F1EE"/>
          </w:tcPr>
          <w:p>
            <w:pPr>
              <w:spacing w:after="0"/>
              <w:rPr>
                <w:sz w:val="13"/>
                <w:szCs w:val="13"/>
                <w:color w:val="auto"/>
              </w:rPr>
            </w:pPr>
          </w:p>
        </w:tc>
        <w:tc>
          <w:tcPr>
            <w:tcW w:w="260" w:type="dxa"/>
            <w:vAlign w:val="bottom"/>
            <w:tcBorders>
              <w:bottom w:val="single" w:sz="8" w:color="auto"/>
            </w:tcBorders>
            <w:shd w:val="clear" w:color="auto" w:fill="E5F1EE"/>
          </w:tcPr>
          <w:p>
            <w:pPr>
              <w:spacing w:after="0"/>
              <w:rPr>
                <w:sz w:val="13"/>
                <w:szCs w:val="13"/>
                <w:color w:val="auto"/>
              </w:rPr>
            </w:pPr>
          </w:p>
        </w:tc>
        <w:tc>
          <w:tcPr>
            <w:tcW w:w="11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24,827</w:t>
            </w:r>
          </w:p>
        </w:tc>
        <w:tc>
          <w:tcPr>
            <w:tcW w:w="220" w:type="dxa"/>
            <w:vAlign w:val="bottom"/>
            <w:shd w:val="clear" w:color="auto" w:fill="E5F1EE"/>
          </w:tcPr>
          <w:p>
            <w:pPr>
              <w:spacing w:after="0"/>
              <w:rPr>
                <w:sz w:val="13"/>
                <w:szCs w:val="13"/>
                <w:color w:val="auto"/>
              </w:rPr>
            </w:pPr>
          </w:p>
        </w:tc>
        <w:tc>
          <w:tcPr>
            <w:tcW w:w="220" w:type="dxa"/>
            <w:vAlign w:val="bottom"/>
            <w:tcBorders>
              <w:bottom w:val="single" w:sz="8" w:color="auto"/>
            </w:tcBorders>
            <w:shd w:val="clear" w:color="auto" w:fill="E5F1EE"/>
          </w:tcPr>
          <w:p>
            <w:pPr>
              <w:spacing w:after="0"/>
              <w:rPr>
                <w:sz w:val="13"/>
                <w:szCs w:val="13"/>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24,170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loans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138,702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136,974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136,116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134,574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Less: allowance for loan losses</w:t>
            </w:r>
          </w:p>
        </w:tc>
        <w:tc>
          <w:tcPr>
            <w:tcW w:w="200" w:type="dxa"/>
            <w:vAlign w:val="bottom"/>
            <w:tcBorders>
              <w:bottom w:val="single" w:sz="8" w:color="auto"/>
            </w:tcBorders>
            <w:shd w:val="clear" w:color="auto" w:fill="E5F1EE"/>
          </w:tcPr>
          <w:p>
            <w:pPr>
              <w:spacing w:after="0"/>
              <w:rPr>
                <w:sz w:val="13"/>
                <w:szCs w:val="13"/>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2,116</w:t>
            </w:r>
          </w:p>
        </w:tc>
        <w:tc>
          <w:tcPr>
            <w:tcW w:w="220" w:type="dxa"/>
            <w:vAlign w:val="bottom"/>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spacing w:after="0"/>
              <w:rPr>
                <w:sz w:val="13"/>
                <w:szCs w:val="13"/>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2,161</w:t>
            </w:r>
          </w:p>
        </w:tc>
        <w:tc>
          <w:tcPr>
            <w:tcW w:w="220" w:type="dxa"/>
            <w:vAlign w:val="bottom"/>
            <w:shd w:val="clear" w:color="auto" w:fill="E5F1EE"/>
          </w:tcPr>
          <w:p>
            <w:pPr>
              <w:spacing w:after="0"/>
              <w:rPr>
                <w:sz w:val="13"/>
                <w:szCs w:val="13"/>
                <w:color w:val="auto"/>
              </w:rPr>
            </w:pPr>
          </w:p>
        </w:tc>
        <w:tc>
          <w:tcPr>
            <w:tcW w:w="280" w:type="dxa"/>
            <w:vAlign w:val="bottom"/>
            <w:tcBorders>
              <w:bottom w:val="single" w:sz="8" w:color="auto"/>
            </w:tcBorders>
            <w:shd w:val="clear" w:color="auto" w:fill="E5F1EE"/>
          </w:tcPr>
          <w:p>
            <w:pPr>
              <w:spacing w:after="0"/>
              <w:rPr>
                <w:sz w:val="13"/>
                <w:szCs w:val="13"/>
                <w:color w:val="auto"/>
              </w:rPr>
            </w:pPr>
          </w:p>
        </w:tc>
        <w:tc>
          <w:tcPr>
            <w:tcW w:w="10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2,197</w:t>
            </w:r>
          </w:p>
        </w:tc>
        <w:tc>
          <w:tcPr>
            <w:tcW w:w="220" w:type="dxa"/>
            <w:vAlign w:val="bottom"/>
            <w:shd w:val="clear" w:color="auto" w:fill="E5F1EE"/>
          </w:tcPr>
          <w:p>
            <w:pPr>
              <w:spacing w:after="0"/>
              <w:rPr>
                <w:sz w:val="13"/>
                <w:szCs w:val="13"/>
                <w:color w:val="auto"/>
              </w:rPr>
            </w:pPr>
          </w:p>
        </w:tc>
        <w:tc>
          <w:tcPr>
            <w:tcW w:w="260" w:type="dxa"/>
            <w:vAlign w:val="bottom"/>
            <w:tcBorders>
              <w:bottom w:val="single" w:sz="8" w:color="auto"/>
            </w:tcBorders>
            <w:shd w:val="clear" w:color="auto" w:fill="E5F1EE"/>
          </w:tcPr>
          <w:p>
            <w:pPr>
              <w:spacing w:after="0"/>
              <w:rPr>
                <w:sz w:val="13"/>
                <w:szCs w:val="13"/>
                <w:color w:val="auto"/>
              </w:rPr>
            </w:pPr>
          </w:p>
        </w:tc>
        <w:tc>
          <w:tcPr>
            <w:tcW w:w="11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2,200</w:t>
            </w:r>
          </w:p>
        </w:tc>
        <w:tc>
          <w:tcPr>
            <w:tcW w:w="220" w:type="dxa"/>
            <w:vAlign w:val="bottom"/>
            <w:shd w:val="clear" w:color="auto" w:fill="E5F1EE"/>
          </w:tcPr>
          <w:p>
            <w:pPr>
              <w:spacing w:after="0"/>
              <w:rPr>
                <w:sz w:val="13"/>
                <w:szCs w:val="13"/>
                <w:color w:val="auto"/>
              </w:rPr>
            </w:pPr>
          </w:p>
        </w:tc>
        <w:tc>
          <w:tcPr>
            <w:tcW w:w="220" w:type="dxa"/>
            <w:vAlign w:val="bottom"/>
            <w:tcBorders>
              <w:bottom w:val="single" w:sz="8" w:color="auto"/>
            </w:tcBorders>
            <w:shd w:val="clear" w:color="auto" w:fill="E5F1EE"/>
          </w:tcPr>
          <w:p>
            <w:pPr>
              <w:spacing w:after="0"/>
              <w:rPr>
                <w:sz w:val="13"/>
                <w:szCs w:val="13"/>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2,184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loans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136,586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134,813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133,919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132,374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Goodwill</w:t>
            </w: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10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22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Core deposit and other intangible assets</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00" w:type="dxa"/>
            <w:vAlign w:val="bottom"/>
            <w:tcBorders>
              <w:bottom w:val="single" w:sz="8" w:color="auto"/>
            </w:tcBorders>
            <w:shd w:val="clear" w:color="auto" w:fill="E5F1EE"/>
          </w:tcPr>
          <w:p>
            <w:pPr>
              <w:spacing w:after="0"/>
              <w:rPr>
                <w:sz w:val="13"/>
                <w:szCs w:val="13"/>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12,880</w:t>
            </w:r>
          </w:p>
        </w:tc>
        <w:tc>
          <w:tcPr>
            <w:tcW w:w="220" w:type="dxa"/>
            <w:vAlign w:val="bottom"/>
            <w:shd w:val="clear" w:color="auto" w:fill="E5F1EE"/>
          </w:tcPr>
          <w:p>
            <w:pPr>
              <w:spacing w:after="0"/>
              <w:rPr>
                <w:sz w:val="13"/>
                <w:szCs w:val="13"/>
                <w:color w:val="auto"/>
              </w:rPr>
            </w:pPr>
          </w:p>
        </w:tc>
        <w:tc>
          <w:tcPr>
            <w:tcW w:w="200" w:type="dxa"/>
            <w:vAlign w:val="bottom"/>
            <w:tcBorders>
              <w:bottom w:val="single" w:sz="8" w:color="auto"/>
            </w:tcBorders>
            <w:shd w:val="clear" w:color="auto" w:fill="E5F1EE"/>
          </w:tcPr>
          <w:p>
            <w:pPr>
              <w:spacing w:after="0"/>
              <w:rPr>
                <w:sz w:val="13"/>
                <w:szCs w:val="13"/>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12,265</w:t>
            </w:r>
          </w:p>
        </w:tc>
        <w:tc>
          <w:tcPr>
            <w:tcW w:w="220" w:type="dxa"/>
            <w:vAlign w:val="bottom"/>
            <w:shd w:val="clear" w:color="auto" w:fill="E5F1EE"/>
          </w:tcPr>
          <w:p>
            <w:pPr>
              <w:spacing w:after="0"/>
              <w:rPr>
                <w:sz w:val="13"/>
                <w:szCs w:val="13"/>
                <w:color w:val="auto"/>
              </w:rPr>
            </w:pPr>
          </w:p>
        </w:tc>
        <w:tc>
          <w:tcPr>
            <w:tcW w:w="280" w:type="dxa"/>
            <w:vAlign w:val="bottom"/>
            <w:tcBorders>
              <w:bottom w:val="single" w:sz="8" w:color="auto"/>
            </w:tcBorders>
            <w:shd w:val="clear" w:color="auto" w:fill="E5F1EE"/>
          </w:tcPr>
          <w:p>
            <w:pPr>
              <w:spacing w:after="0"/>
              <w:rPr>
                <w:sz w:val="13"/>
                <w:szCs w:val="13"/>
                <w:color w:val="auto"/>
              </w:rPr>
            </w:pPr>
          </w:p>
        </w:tc>
        <w:tc>
          <w:tcPr>
            <w:tcW w:w="10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12,030</w:t>
            </w:r>
          </w:p>
        </w:tc>
        <w:tc>
          <w:tcPr>
            <w:tcW w:w="220" w:type="dxa"/>
            <w:vAlign w:val="bottom"/>
            <w:shd w:val="clear" w:color="auto" w:fill="E5F1EE"/>
          </w:tcPr>
          <w:p>
            <w:pPr>
              <w:spacing w:after="0"/>
              <w:rPr>
                <w:sz w:val="13"/>
                <w:szCs w:val="13"/>
                <w:color w:val="auto"/>
              </w:rPr>
            </w:pPr>
          </w:p>
        </w:tc>
        <w:tc>
          <w:tcPr>
            <w:tcW w:w="260" w:type="dxa"/>
            <w:vAlign w:val="bottom"/>
            <w:tcBorders>
              <w:bottom w:val="single" w:sz="8" w:color="auto"/>
            </w:tcBorders>
            <w:shd w:val="clear" w:color="auto" w:fill="E5F1EE"/>
          </w:tcPr>
          <w:p>
            <w:pPr>
              <w:spacing w:after="0"/>
              <w:rPr>
                <w:sz w:val="13"/>
                <w:szCs w:val="13"/>
                <w:color w:val="auto"/>
              </w:rPr>
            </w:pPr>
          </w:p>
        </w:tc>
        <w:tc>
          <w:tcPr>
            <w:tcW w:w="11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11,391</w:t>
            </w:r>
          </w:p>
        </w:tc>
        <w:tc>
          <w:tcPr>
            <w:tcW w:w="220" w:type="dxa"/>
            <w:vAlign w:val="bottom"/>
            <w:shd w:val="clear" w:color="auto" w:fill="E5F1EE"/>
          </w:tcPr>
          <w:p>
            <w:pPr>
              <w:spacing w:after="0"/>
              <w:rPr>
                <w:sz w:val="13"/>
                <w:szCs w:val="13"/>
                <w:color w:val="auto"/>
              </w:rPr>
            </w:pPr>
          </w:p>
        </w:tc>
        <w:tc>
          <w:tcPr>
            <w:tcW w:w="220" w:type="dxa"/>
            <w:vAlign w:val="bottom"/>
            <w:tcBorders>
              <w:bottom w:val="single" w:sz="8" w:color="auto"/>
            </w:tcBorders>
            <w:shd w:val="clear" w:color="auto" w:fill="E5F1EE"/>
          </w:tcPr>
          <w:p>
            <w:pPr>
              <w:spacing w:after="0"/>
              <w:rPr>
                <w:sz w:val="13"/>
                <w:szCs w:val="13"/>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11,215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5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213,510</w:t>
            </w:r>
          </w:p>
        </w:tc>
        <w:tc>
          <w:tcPr>
            <w:tcW w:w="22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211,277</w:t>
            </w:r>
          </w:p>
        </w:tc>
        <w:tc>
          <w:tcPr>
            <w:tcW w:w="22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211,584</w:t>
            </w:r>
          </w:p>
        </w:tc>
        <w:tc>
          <w:tcPr>
            <w:tcW w:w="220" w:type="dxa"/>
            <w:vAlign w:val="bottom"/>
            <w:tcBorders>
              <w:bottom w:val="single" w:sz="8" w:color="E5F1EE"/>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210,321</w:t>
            </w:r>
          </w:p>
        </w:tc>
        <w:tc>
          <w:tcPr>
            <w:tcW w:w="22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208,105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108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110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1160" w:type="dxa"/>
            <w:vAlign w:val="bottom"/>
            <w:shd w:val="clear" w:color="auto" w:fill="E5F1E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LIABILITIES AND SHAREHOLDERS' EQUITY</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Noninterest-bearing deposits</w:t>
            </w:r>
          </w:p>
        </w:tc>
        <w:tc>
          <w:tcPr>
            <w:tcW w:w="200" w:type="dxa"/>
            <w:vAlign w:val="bottom"/>
            <w:shd w:val="clear" w:color="auto" w:fill="E5F1EE"/>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46,509</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44,994</w:t>
            </w: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47,485</w:t>
            </w:r>
          </w:p>
        </w:tc>
        <w:tc>
          <w:tcPr>
            <w:tcW w:w="220" w:type="dxa"/>
            <w:vAlign w:val="bottom"/>
            <w:shd w:val="clear" w:color="auto" w:fill="E5F1EE"/>
          </w:tcPr>
          <w:p>
            <w:pPr>
              <w:spacing w:after="0"/>
              <w:rPr>
                <w:sz w:val="13"/>
                <w:szCs w:val="13"/>
                <w:color w:val="auto"/>
              </w:rPr>
            </w:pPr>
          </w:p>
        </w:tc>
        <w:tc>
          <w:tcPr>
            <w:tcW w:w="260" w:type="dxa"/>
            <w:vAlign w:val="bottom"/>
            <w:shd w:val="clear" w:color="auto" w:fill="E5F1EE"/>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49,051</w:t>
            </w:r>
          </w:p>
        </w:tc>
        <w:tc>
          <w:tcPr>
            <w:tcW w:w="44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46,020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Interest-bearing deposits</w:t>
            </w: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120,400</w:t>
            </w:r>
          </w:p>
        </w:tc>
        <w:tc>
          <w:tcPr>
            <w:tcW w:w="22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118,432</w:t>
            </w:r>
          </w:p>
        </w:tc>
        <w:tc>
          <w:tcPr>
            <w:tcW w:w="22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116,968</w:t>
            </w:r>
          </w:p>
        </w:tc>
        <w:tc>
          <w:tcPr>
            <w:tcW w:w="220" w:type="dxa"/>
            <w:vAlign w:val="bottom"/>
            <w:tcBorders>
              <w:bottom w:val="single" w:sz="8" w:color="E5F1EE"/>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116,358</w:t>
            </w:r>
          </w:p>
        </w:tc>
        <w:tc>
          <w:tcPr>
            <w:tcW w:w="22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115,075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deposits</w:t>
            </w:r>
          </w:p>
        </w:tc>
        <w:tc>
          <w:tcPr>
            <w:tcW w:w="200" w:type="dxa"/>
            <w:vAlign w:val="bottom"/>
            <w:shd w:val="clear" w:color="auto" w:fill="E5F1EE"/>
          </w:tcPr>
          <w:p>
            <w:pPr>
              <w:spacing w:after="0"/>
              <w:rPr>
                <w:sz w:val="12"/>
                <w:szCs w:val="12"/>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166,909</w:t>
            </w:r>
          </w:p>
        </w:tc>
        <w:tc>
          <w:tcPr>
            <w:tcW w:w="220" w:type="dxa"/>
            <w:vAlign w:val="bottom"/>
            <w:shd w:val="clear" w:color="auto" w:fill="E5F1EE"/>
          </w:tcPr>
          <w:p>
            <w:pPr>
              <w:spacing w:after="0"/>
              <w:rPr>
                <w:sz w:val="12"/>
                <w:szCs w:val="12"/>
                <w:color w:val="auto"/>
              </w:rPr>
            </w:pPr>
          </w:p>
        </w:tc>
        <w:tc>
          <w:tcPr>
            <w:tcW w:w="200" w:type="dxa"/>
            <w:vAlign w:val="bottom"/>
            <w:shd w:val="clear" w:color="auto" w:fill="E5F1EE"/>
          </w:tcPr>
          <w:p>
            <w:pPr>
              <w:spacing w:after="0"/>
              <w:rPr>
                <w:sz w:val="12"/>
                <w:szCs w:val="12"/>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163,426</w:t>
            </w:r>
          </w:p>
        </w:tc>
        <w:tc>
          <w:tcPr>
            <w:tcW w:w="220" w:type="dxa"/>
            <w:vAlign w:val="bottom"/>
            <w:shd w:val="clear" w:color="auto" w:fill="E5F1EE"/>
          </w:tcPr>
          <w:p>
            <w:pPr>
              <w:spacing w:after="0"/>
              <w:rPr>
                <w:sz w:val="12"/>
                <w:szCs w:val="12"/>
                <w:color w:val="auto"/>
              </w:rPr>
            </w:pPr>
          </w:p>
        </w:tc>
        <w:tc>
          <w:tcPr>
            <w:tcW w:w="280" w:type="dxa"/>
            <w:vAlign w:val="bottom"/>
            <w:shd w:val="clear" w:color="auto" w:fill="E5F1EE"/>
          </w:tcPr>
          <w:p>
            <w:pPr>
              <w:spacing w:after="0"/>
              <w:rPr>
                <w:sz w:val="12"/>
                <w:szCs w:val="12"/>
                <w:color w:val="auto"/>
              </w:rPr>
            </w:pPr>
          </w:p>
        </w:tc>
        <w:tc>
          <w:tcPr>
            <w:tcW w:w="10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164,453</w:t>
            </w:r>
          </w:p>
        </w:tc>
        <w:tc>
          <w:tcPr>
            <w:tcW w:w="220" w:type="dxa"/>
            <w:vAlign w:val="bottom"/>
            <w:shd w:val="clear" w:color="auto" w:fill="E5F1EE"/>
          </w:tcPr>
          <w:p>
            <w:pPr>
              <w:spacing w:after="0"/>
              <w:rPr>
                <w:sz w:val="12"/>
                <w:szCs w:val="12"/>
                <w:color w:val="auto"/>
              </w:rPr>
            </w:pPr>
          </w:p>
        </w:tc>
        <w:tc>
          <w:tcPr>
            <w:tcW w:w="260" w:type="dxa"/>
            <w:vAlign w:val="bottom"/>
            <w:shd w:val="clear" w:color="auto" w:fill="E5F1EE"/>
          </w:tcPr>
          <w:p>
            <w:pPr>
              <w:spacing w:after="0"/>
              <w:rPr>
                <w:sz w:val="12"/>
                <w:szCs w:val="12"/>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165,409</w:t>
            </w:r>
          </w:p>
        </w:tc>
        <w:tc>
          <w:tcPr>
            <w:tcW w:w="22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161,095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Short-term borrowings</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2,059</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Long-term borrowings</w:t>
            </w: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10,911</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12,928</w:t>
            </w: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10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12,380</w:t>
            </w:r>
          </w:p>
        </w:tc>
        <w:tc>
          <w:tcPr>
            <w:tcW w:w="22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10,496</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12,605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Accrued interest and other liabilities</w:t>
            </w: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4,364</w:t>
            </w:r>
          </w:p>
        </w:tc>
        <w:tc>
          <w:tcPr>
            <w:tcW w:w="22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4,136</w:t>
            </w:r>
          </w:p>
        </w:tc>
        <w:tc>
          <w:tcPr>
            <w:tcW w:w="22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4,155</w:t>
            </w:r>
          </w:p>
        </w:tc>
        <w:tc>
          <w:tcPr>
            <w:tcW w:w="220" w:type="dxa"/>
            <w:vAlign w:val="bottom"/>
            <w:tcBorders>
              <w:bottom w:val="single" w:sz="8" w:color="E5F1EE"/>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3,852</w:t>
            </w:r>
          </w:p>
        </w:tc>
        <w:tc>
          <w:tcPr>
            <w:tcW w:w="22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200" w:type="dxa"/>
            <w:vAlign w:val="bottom"/>
            <w:tcBorders>
              <w:bottom w:val="single" w:sz="8" w:color="auto"/>
            </w:tcBorders>
            <w:shd w:val="clear" w:color="auto" w:fill="E5F1EE"/>
          </w:tcPr>
          <w:p>
            <w:pPr>
              <w:spacing w:after="0"/>
              <w:rPr>
                <w:sz w:val="12"/>
                <w:szCs w:val="12"/>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184,333</w:t>
            </w:r>
          </w:p>
        </w:tc>
        <w:tc>
          <w:tcPr>
            <w:tcW w:w="220" w:type="dxa"/>
            <w:vAlign w:val="bottom"/>
            <w:shd w:val="clear" w:color="auto" w:fill="E5F1EE"/>
          </w:tcPr>
          <w:p>
            <w:pPr>
              <w:spacing w:after="0"/>
              <w:rPr>
                <w:sz w:val="12"/>
                <w:szCs w:val="12"/>
                <w:color w:val="auto"/>
              </w:rPr>
            </w:pPr>
          </w:p>
        </w:tc>
        <w:tc>
          <w:tcPr>
            <w:tcW w:w="200" w:type="dxa"/>
            <w:vAlign w:val="bottom"/>
            <w:tcBorders>
              <w:bottom w:val="single" w:sz="8" w:color="auto"/>
            </w:tcBorders>
            <w:shd w:val="clear" w:color="auto" w:fill="E5F1EE"/>
          </w:tcPr>
          <w:p>
            <w:pPr>
              <w:spacing w:after="0"/>
              <w:rPr>
                <w:sz w:val="12"/>
                <w:szCs w:val="12"/>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182,549</w:t>
            </w:r>
          </w:p>
        </w:tc>
        <w:tc>
          <w:tcPr>
            <w:tcW w:w="220" w:type="dxa"/>
            <w:vAlign w:val="bottom"/>
            <w:shd w:val="clear" w:color="auto" w:fill="E5F1EE"/>
          </w:tcPr>
          <w:p>
            <w:pPr>
              <w:spacing w:after="0"/>
              <w:rPr>
                <w:sz w:val="12"/>
                <w:szCs w:val="12"/>
                <w:color w:val="auto"/>
              </w:rPr>
            </w:pPr>
          </w:p>
        </w:tc>
        <w:tc>
          <w:tcPr>
            <w:tcW w:w="280" w:type="dxa"/>
            <w:vAlign w:val="bottom"/>
            <w:tcBorders>
              <w:bottom w:val="single" w:sz="8" w:color="auto"/>
            </w:tcBorders>
            <w:shd w:val="clear" w:color="auto" w:fill="E5F1EE"/>
          </w:tcPr>
          <w:p>
            <w:pPr>
              <w:spacing w:after="0"/>
              <w:rPr>
                <w:sz w:val="12"/>
                <w:szCs w:val="12"/>
                <w:color w:val="auto"/>
              </w:rPr>
            </w:pPr>
          </w:p>
        </w:tc>
        <w:tc>
          <w:tcPr>
            <w:tcW w:w="10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183,059</w:t>
            </w:r>
          </w:p>
        </w:tc>
        <w:tc>
          <w:tcPr>
            <w:tcW w:w="220" w:type="dxa"/>
            <w:vAlign w:val="bottom"/>
            <w:shd w:val="clear" w:color="auto" w:fill="E5F1EE"/>
          </w:tcPr>
          <w:p>
            <w:pPr>
              <w:spacing w:after="0"/>
              <w:rPr>
                <w:sz w:val="12"/>
                <w:szCs w:val="12"/>
                <w:color w:val="auto"/>
              </w:rPr>
            </w:pPr>
          </w:p>
        </w:tc>
        <w:tc>
          <w:tcPr>
            <w:tcW w:w="260" w:type="dxa"/>
            <w:vAlign w:val="bottom"/>
            <w:tcBorders>
              <w:bottom w:val="single" w:sz="8" w:color="auto"/>
            </w:tcBorders>
            <w:shd w:val="clear" w:color="auto" w:fill="E5F1EE"/>
          </w:tcPr>
          <w:p>
            <w:pPr>
              <w:spacing w:after="0"/>
              <w:rPr>
                <w:sz w:val="12"/>
                <w:szCs w:val="12"/>
                <w:color w:val="auto"/>
              </w:rPr>
            </w:pPr>
          </w:p>
        </w:tc>
        <w:tc>
          <w:tcPr>
            <w:tcW w:w="11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181,330</w:t>
            </w:r>
          </w:p>
        </w:tc>
        <w:tc>
          <w:tcPr>
            <w:tcW w:w="220" w:type="dxa"/>
            <w:vAlign w:val="bottom"/>
            <w:shd w:val="clear" w:color="auto" w:fill="E5F1EE"/>
          </w:tcPr>
          <w:p>
            <w:pPr>
              <w:spacing w:after="0"/>
              <w:rPr>
                <w:sz w:val="12"/>
                <w:szCs w:val="12"/>
                <w:color w:val="auto"/>
              </w:rPr>
            </w:pPr>
          </w:p>
        </w:tc>
        <w:tc>
          <w:tcPr>
            <w:tcW w:w="220" w:type="dxa"/>
            <w:vAlign w:val="bottom"/>
            <w:tcBorders>
              <w:bottom w:val="single" w:sz="8" w:color="auto"/>
            </w:tcBorders>
            <w:shd w:val="clear" w:color="auto" w:fill="E5F1EE"/>
          </w:tcPr>
          <w:p>
            <w:pPr>
              <w:spacing w:after="0"/>
              <w:rPr>
                <w:sz w:val="12"/>
                <w:szCs w:val="12"/>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179,078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Shareholders' equity:</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Preferred</w:t>
            </w: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2,834</w:t>
            </w:r>
          </w:p>
        </w:tc>
        <w:tc>
          <w:tcPr>
            <w:tcW w:w="2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22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10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22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11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11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Borders>
              <w:bottom w:val="single" w:sz="8" w:color="E5F1EE"/>
            </w:tcBorders>
          </w:tcPr>
          <w:p>
            <w:pPr>
              <w:ind w:left="140"/>
              <w:spacing w:after="0"/>
              <w:rPr>
                <w:sz w:val="20"/>
                <w:szCs w:val="20"/>
                <w:color w:val="auto"/>
              </w:rPr>
            </w:pPr>
            <w:r>
              <w:rPr>
                <w:rFonts w:ascii="Times New Roman" w:cs="Times New Roman" w:eastAsia="Times New Roman" w:hAnsi="Times New Roman"/>
                <w:sz w:val="12"/>
                <w:szCs w:val="12"/>
                <w:color w:val="auto"/>
              </w:rPr>
              <w:t>Common</w:t>
            </w: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26,343</w:t>
            </w:r>
          </w:p>
        </w:tc>
        <w:tc>
          <w:tcPr>
            <w:tcW w:w="220" w:type="dxa"/>
            <w:vAlign w:val="bottom"/>
            <w:tcBorders>
              <w:bottom w:val="single" w:sz="8" w:color="E5F1EE"/>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26,334</w:t>
            </w:r>
          </w:p>
        </w:tc>
        <w:tc>
          <w:tcPr>
            <w:tcW w:w="22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26,131</w:t>
            </w:r>
          </w:p>
        </w:tc>
        <w:tc>
          <w:tcPr>
            <w:tcW w:w="220" w:type="dxa"/>
            <w:vAlign w:val="bottom"/>
            <w:tcBorders>
              <w:bottom w:val="single" w:sz="8" w:color="E5F1EE"/>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26,597</w:t>
            </w:r>
          </w:p>
        </w:tc>
        <w:tc>
          <w:tcPr>
            <w:tcW w:w="22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26,633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shareholders' equity</w:t>
            </w:r>
          </w:p>
        </w:tc>
        <w:tc>
          <w:tcPr>
            <w:tcW w:w="200" w:type="dxa"/>
            <w:vAlign w:val="bottom"/>
            <w:tcBorders>
              <w:bottom w:val="single" w:sz="8" w:color="auto"/>
            </w:tcBorders>
            <w:shd w:val="clear" w:color="auto" w:fill="E5F1EE"/>
          </w:tcPr>
          <w:p>
            <w:pPr>
              <w:spacing w:after="0"/>
              <w:rPr>
                <w:sz w:val="12"/>
                <w:szCs w:val="12"/>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29,177</w:t>
            </w:r>
          </w:p>
        </w:tc>
        <w:tc>
          <w:tcPr>
            <w:tcW w:w="220" w:type="dxa"/>
            <w:vAlign w:val="bottom"/>
            <w:shd w:val="clear" w:color="auto" w:fill="E5F1EE"/>
          </w:tcPr>
          <w:p>
            <w:pPr>
              <w:spacing w:after="0"/>
              <w:rPr>
                <w:sz w:val="12"/>
                <w:szCs w:val="12"/>
                <w:color w:val="auto"/>
              </w:rPr>
            </w:pPr>
          </w:p>
        </w:tc>
        <w:tc>
          <w:tcPr>
            <w:tcW w:w="200" w:type="dxa"/>
            <w:vAlign w:val="bottom"/>
            <w:tcBorders>
              <w:bottom w:val="single" w:sz="8" w:color="auto"/>
            </w:tcBorders>
            <w:shd w:val="clear" w:color="auto" w:fill="E5F1EE"/>
          </w:tcPr>
          <w:p>
            <w:pPr>
              <w:spacing w:after="0"/>
              <w:rPr>
                <w:sz w:val="12"/>
                <w:szCs w:val="12"/>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28,728</w:t>
            </w:r>
          </w:p>
        </w:tc>
        <w:tc>
          <w:tcPr>
            <w:tcW w:w="220" w:type="dxa"/>
            <w:vAlign w:val="bottom"/>
            <w:shd w:val="clear" w:color="auto" w:fill="E5F1EE"/>
          </w:tcPr>
          <w:p>
            <w:pPr>
              <w:spacing w:after="0"/>
              <w:rPr>
                <w:sz w:val="12"/>
                <w:szCs w:val="12"/>
                <w:color w:val="auto"/>
              </w:rPr>
            </w:pPr>
          </w:p>
        </w:tc>
        <w:tc>
          <w:tcPr>
            <w:tcW w:w="280" w:type="dxa"/>
            <w:vAlign w:val="bottom"/>
            <w:tcBorders>
              <w:bottom w:val="single" w:sz="8" w:color="auto"/>
            </w:tcBorders>
            <w:shd w:val="clear" w:color="auto" w:fill="E5F1EE"/>
          </w:tcPr>
          <w:p>
            <w:pPr>
              <w:spacing w:after="0"/>
              <w:rPr>
                <w:sz w:val="12"/>
                <w:szCs w:val="12"/>
                <w:color w:val="auto"/>
              </w:rPr>
            </w:pPr>
          </w:p>
        </w:tc>
        <w:tc>
          <w:tcPr>
            <w:tcW w:w="10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28,525</w:t>
            </w:r>
          </w:p>
        </w:tc>
        <w:tc>
          <w:tcPr>
            <w:tcW w:w="220" w:type="dxa"/>
            <w:vAlign w:val="bottom"/>
            <w:shd w:val="clear" w:color="auto" w:fill="E5F1EE"/>
          </w:tcPr>
          <w:p>
            <w:pPr>
              <w:spacing w:after="0"/>
              <w:rPr>
                <w:sz w:val="12"/>
                <w:szCs w:val="12"/>
                <w:color w:val="auto"/>
              </w:rPr>
            </w:pPr>
          </w:p>
        </w:tc>
        <w:tc>
          <w:tcPr>
            <w:tcW w:w="260" w:type="dxa"/>
            <w:vAlign w:val="bottom"/>
            <w:tcBorders>
              <w:bottom w:val="single" w:sz="8" w:color="auto"/>
            </w:tcBorders>
            <w:shd w:val="clear" w:color="auto" w:fill="E5F1EE"/>
          </w:tcPr>
          <w:p>
            <w:pPr>
              <w:spacing w:after="0"/>
              <w:rPr>
                <w:sz w:val="12"/>
                <w:szCs w:val="12"/>
                <w:color w:val="auto"/>
              </w:rPr>
            </w:pPr>
          </w:p>
        </w:tc>
        <w:tc>
          <w:tcPr>
            <w:tcW w:w="11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28,991</w:t>
            </w:r>
          </w:p>
        </w:tc>
        <w:tc>
          <w:tcPr>
            <w:tcW w:w="220" w:type="dxa"/>
            <w:vAlign w:val="bottom"/>
            <w:shd w:val="clear" w:color="auto" w:fill="E5F1EE"/>
          </w:tcPr>
          <w:p>
            <w:pPr>
              <w:spacing w:after="0"/>
              <w:rPr>
                <w:sz w:val="12"/>
                <w:szCs w:val="12"/>
                <w:color w:val="auto"/>
              </w:rPr>
            </w:pPr>
          </w:p>
        </w:tc>
        <w:tc>
          <w:tcPr>
            <w:tcW w:w="220" w:type="dxa"/>
            <w:vAlign w:val="bottom"/>
            <w:tcBorders>
              <w:bottom w:val="single" w:sz="8" w:color="auto"/>
            </w:tcBorders>
            <w:shd w:val="clear" w:color="auto" w:fill="E5F1EE"/>
          </w:tcPr>
          <w:p>
            <w:pPr>
              <w:spacing w:after="0"/>
              <w:rPr>
                <w:sz w:val="12"/>
                <w:szCs w:val="12"/>
                <w:color w:val="auto"/>
              </w:rPr>
            </w:pPr>
          </w:p>
        </w:tc>
        <w:tc>
          <w:tcPr>
            <w:tcW w:w="11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29,027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213,510</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211,277</w:t>
            </w:r>
          </w:p>
        </w:tc>
        <w:tc>
          <w:tcPr>
            <w:tcW w:w="22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211,584</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210,321</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rPr>
              <w:t>15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58" w:right="299" w:bottom="1440" w:gutter="0" w:footer="0" w:header="0"/>
        </w:sectPr>
      </w:pPr>
    </w:p>
    <w:bookmarkStart w:id="18" w:name="page19"/>
    <w:bookmarkEnd w:id="18"/>
    <w:p>
      <w:pPr>
        <w:ind w:left="972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Condensed Consolidated Average Balance Sheet and Annualized Taxable-equivalent Rates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8"/>
                <w:szCs w:val="8"/>
                <w:color w:val="auto"/>
              </w:rPr>
              <w:t>Three Months Ended</w:t>
            </w: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5"/>
          </w:tcPr>
          <w:p>
            <w:pPr>
              <w:jc w:val="center"/>
              <w:ind w:left="198"/>
              <w:spacing w:after="0"/>
              <w:rPr>
                <w:sz w:val="20"/>
                <w:szCs w:val="20"/>
                <w:color w:val="auto"/>
              </w:rPr>
            </w:pPr>
            <w:r>
              <w:rPr>
                <w:rFonts w:ascii="Times New Roman" w:cs="Times New Roman" w:eastAsia="Times New Roman" w:hAnsi="Times New Roman"/>
                <w:sz w:val="8"/>
                <w:szCs w:val="8"/>
                <w:color w:val="auto"/>
              </w:rPr>
              <w:t>Change in Balance</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4"/>
          </w:tcPr>
          <w:p>
            <w:pPr>
              <w:jc w:val="center"/>
              <w:ind w:left="218"/>
              <w:spacing w:after="0"/>
              <w:rPr>
                <w:sz w:val="20"/>
                <w:szCs w:val="20"/>
                <w:color w:val="auto"/>
              </w:rPr>
            </w:pPr>
            <w:r>
              <w:rPr>
                <w:rFonts w:ascii="Times New Roman" w:cs="Times New Roman" w:eastAsia="Times New Roman" w:hAnsi="Times New Roman"/>
                <w:sz w:val="8"/>
                <w:szCs w:val="8"/>
                <w:color w:val="auto"/>
              </w:rPr>
              <w:t>Year Ended</w:t>
            </w: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6"/>
        </w:trPr>
        <w:tc>
          <w:tcPr>
            <w:tcW w:w="2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tcPr>
          <w:p>
            <w:pPr>
              <w:jc w:val="center"/>
              <w:ind w:left="158"/>
              <w:spacing w:after="0"/>
              <w:rPr>
                <w:sz w:val="20"/>
                <w:szCs w:val="20"/>
                <w:color w:val="auto"/>
              </w:rPr>
            </w:pPr>
            <w:r>
              <w:rPr>
                <w:rFonts w:ascii="Times New Roman" w:cs="Times New Roman" w:eastAsia="Times New Roman" w:hAnsi="Times New Roman"/>
                <w:sz w:val="8"/>
                <w:szCs w:val="8"/>
                <w:color w:val="auto"/>
              </w:rPr>
              <w:t>December 31,</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jc w:val="center"/>
              <w:ind w:left="158"/>
              <w:spacing w:after="0"/>
              <w:rPr>
                <w:sz w:val="20"/>
                <w:szCs w:val="20"/>
                <w:color w:val="auto"/>
              </w:rPr>
            </w:pPr>
            <w:r>
              <w:rPr>
                <w:rFonts w:ascii="Times New Roman" w:cs="Times New Roman" w:eastAsia="Times New Roman" w:hAnsi="Times New Roman"/>
                <w:sz w:val="8"/>
                <w:szCs w:val="8"/>
                <w:color w:val="auto"/>
              </w:rPr>
              <w:t>September 30,</w:t>
            </w: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tcPr>
          <w:p>
            <w:pPr>
              <w:jc w:val="center"/>
              <w:ind w:left="138"/>
              <w:spacing w:after="0"/>
              <w:rPr>
                <w:sz w:val="20"/>
                <w:szCs w:val="20"/>
                <w:color w:val="auto"/>
              </w:rPr>
            </w:pPr>
            <w:r>
              <w:rPr>
                <w:rFonts w:ascii="Times New Roman" w:cs="Times New Roman" w:eastAsia="Times New Roman" w:hAnsi="Times New Roman"/>
                <w:sz w:val="8"/>
                <w:szCs w:val="8"/>
                <w:color w:val="auto"/>
              </w:rPr>
              <w:t>December 31,</w:t>
            </w: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tcBorders>
              <w:bottom w:val="single" w:sz="8" w:color="auto"/>
            </w:tcBorders>
            <w:gridSpan w:val="5"/>
          </w:tcPr>
          <w:p>
            <w:pPr>
              <w:jc w:val="center"/>
              <w:ind w:left="198"/>
              <w:spacing w:after="0"/>
              <w:rPr>
                <w:sz w:val="20"/>
                <w:szCs w:val="20"/>
                <w:color w:val="auto"/>
              </w:rPr>
            </w:pPr>
            <w:r>
              <w:rPr>
                <w:rFonts w:ascii="Times New Roman" w:cs="Times New Roman" w:eastAsia="Times New Roman" w:hAnsi="Times New Roman"/>
                <w:sz w:val="8"/>
                <w:szCs w:val="8"/>
                <w:color w:val="auto"/>
              </w:rPr>
              <w:t>December 31, 2025 from</w:t>
            </w: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6"/>
          </w:tcPr>
          <w:p>
            <w:pPr>
              <w:jc w:val="center"/>
              <w:ind w:right="280"/>
              <w:spacing w:after="0"/>
              <w:rPr>
                <w:sz w:val="20"/>
                <w:szCs w:val="20"/>
                <w:color w:val="auto"/>
              </w:rPr>
            </w:pPr>
            <w:r>
              <w:rPr>
                <w:rFonts w:ascii="Times New Roman" w:cs="Times New Roman" w:eastAsia="Times New Roman" w:hAnsi="Times New Roman"/>
                <w:sz w:val="8"/>
                <w:szCs w:val="8"/>
                <w:color w:val="auto"/>
              </w:rPr>
              <w:t>December 31,</w:t>
            </w: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8"/>
                <w:szCs w:val="8"/>
                <w:color w:val="auto"/>
              </w:rPr>
              <w:t>Change</w:t>
            </w:r>
          </w:p>
        </w:tc>
      </w:tr>
      <w:tr>
        <w:trPr>
          <w:trHeight w:val="106"/>
        </w:trPr>
        <w:tc>
          <w:tcPr>
            <w:tcW w:w="2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2025</w:t>
            </w: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2025</w:t>
            </w: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2024</w:t>
            </w: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center"/>
              <w:ind w:left="158"/>
              <w:spacing w:after="0"/>
              <w:rPr>
                <w:sz w:val="20"/>
                <w:szCs w:val="20"/>
                <w:color w:val="auto"/>
              </w:rPr>
            </w:pPr>
            <w:r>
              <w:rPr>
                <w:rFonts w:ascii="Times New Roman" w:cs="Times New Roman" w:eastAsia="Times New Roman" w:hAnsi="Times New Roman"/>
                <w:sz w:val="8"/>
                <w:szCs w:val="8"/>
                <w:color w:val="auto"/>
              </w:rPr>
              <w:t>September 30,</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ind w:left="198"/>
              <w:spacing w:after="0"/>
              <w:rPr>
                <w:sz w:val="20"/>
                <w:szCs w:val="20"/>
                <w:color w:val="auto"/>
              </w:rPr>
            </w:pPr>
            <w:r>
              <w:rPr>
                <w:rFonts w:ascii="Times New Roman" w:cs="Times New Roman" w:eastAsia="Times New Roman" w:hAnsi="Times New Roman"/>
                <w:sz w:val="8"/>
                <w:szCs w:val="8"/>
                <w:color w:val="auto"/>
              </w:rPr>
              <w:t>December 31,</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2025</w:t>
            </w: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2024</w:t>
            </w: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8"/>
                <w:szCs w:val="8"/>
                <w:color w:val="auto"/>
                <w:w w:val="95"/>
              </w:rPr>
              <w:t>in</w:t>
            </w:r>
          </w:p>
        </w:tc>
      </w:tr>
      <w:tr>
        <w:trPr>
          <w:trHeight w:val="106"/>
        </w:trPr>
        <w:tc>
          <w:tcPr>
            <w:tcW w:w="2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(Dollars in millions)</w:t>
            </w:r>
          </w:p>
        </w:tc>
        <w:tc>
          <w:tcPr>
            <w:tcW w:w="120" w:type="dxa"/>
            <w:vAlign w:val="bottom"/>
          </w:tcPr>
          <w:p>
            <w:pPr>
              <w:spacing w:after="0"/>
              <w:rPr>
                <w:sz w:val="9"/>
                <w:szCs w:val="9"/>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Balance</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Rate</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Balance</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Rate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Balance</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Rate</w:t>
            </w:r>
          </w:p>
        </w:tc>
        <w:tc>
          <w:tcPr>
            <w:tcW w:w="820" w:type="dxa"/>
            <w:vAlign w:val="bottom"/>
            <w:gridSpan w:val="2"/>
          </w:tcPr>
          <w:p>
            <w:pPr>
              <w:jc w:val="right"/>
              <w:ind w:right="158"/>
              <w:spacing w:after="0"/>
              <w:rPr>
                <w:sz w:val="20"/>
                <w:szCs w:val="20"/>
                <w:color w:val="auto"/>
              </w:rPr>
            </w:pPr>
            <w:r>
              <w:rPr>
                <w:rFonts w:ascii="Times New Roman" w:cs="Times New Roman" w:eastAsia="Times New Roman" w:hAnsi="Times New Roman"/>
                <w:sz w:val="8"/>
                <w:szCs w:val="8"/>
                <w:color w:val="auto"/>
              </w:rPr>
              <w:t>2025</w:t>
            </w:r>
          </w:p>
        </w:tc>
        <w:tc>
          <w:tcPr>
            <w:tcW w:w="1000" w:type="dxa"/>
            <w:vAlign w:val="bottom"/>
            <w:gridSpan w:val="4"/>
          </w:tcPr>
          <w:p>
            <w:pPr>
              <w:jc w:val="right"/>
              <w:ind w:right="118"/>
              <w:spacing w:after="0"/>
              <w:rPr>
                <w:sz w:val="20"/>
                <w:szCs w:val="20"/>
                <w:color w:val="auto"/>
              </w:rPr>
            </w:pPr>
            <w:r>
              <w:rPr>
                <w:rFonts w:ascii="Times New Roman" w:cs="Times New Roman" w:eastAsia="Times New Roman" w:hAnsi="Times New Roman"/>
                <w:sz w:val="8"/>
                <w:szCs w:val="8"/>
                <w:color w:val="auto"/>
              </w:rPr>
              <w:t>2024</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8"/>
                <w:szCs w:val="8"/>
                <w:color w:val="auto"/>
              </w:rPr>
              <w:t>Balance</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8"/>
                <w:szCs w:val="8"/>
                <w:color w:val="auto"/>
              </w:rPr>
              <w:t>Rate</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color w:val="auto"/>
              </w:rPr>
              <w:t>Balance</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Rate</w:t>
            </w:r>
          </w:p>
        </w:tc>
        <w:tc>
          <w:tcPr>
            <w:tcW w:w="80" w:type="dxa"/>
            <w:vAlign w:val="bottom"/>
          </w:tcPr>
          <w:p>
            <w:pPr>
              <w:spacing w:after="0"/>
              <w:rPr>
                <w:sz w:val="9"/>
                <w:szCs w:val="9"/>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8"/>
                <w:szCs w:val="8"/>
                <w:color w:val="auto"/>
              </w:rPr>
              <w:t>Balance</w:t>
            </w:r>
          </w:p>
        </w:tc>
      </w:tr>
      <w:tr>
        <w:trPr>
          <w:trHeight w:val="95"/>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ASSETS</w:t>
            </w: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r>
      <w:tr>
        <w:trPr>
          <w:trHeight w:val="129"/>
        </w:trPr>
        <w:tc>
          <w:tcPr>
            <w:tcW w:w="244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8"/>
                <w:szCs w:val="8"/>
                <w:color w:val="auto"/>
              </w:rPr>
              <w:t>Interest-bearing deposits at banks</w:t>
            </w:r>
          </w:p>
        </w:tc>
        <w:tc>
          <w:tcPr>
            <w:tcW w:w="120" w:type="dxa"/>
            <w:vAlign w:val="bottom"/>
            <w:tcBorders>
              <w:bottom w:val="single" w:sz="8" w:color="E5F1EE"/>
            </w:tcBorders>
            <w:shd w:val="clear" w:color="auto" w:fill="E5F1EE"/>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17,964</w:t>
            </w:r>
          </w:p>
        </w:tc>
        <w:tc>
          <w:tcPr>
            <w:tcW w:w="80" w:type="dxa"/>
            <w:vAlign w:val="bottom"/>
            <w:tcBorders>
              <w:bottom w:val="single" w:sz="8" w:color="E5F1EE"/>
            </w:tcBorders>
            <w:shd w:val="clear" w:color="auto" w:fill="E5F1EE"/>
          </w:tcPr>
          <w:p>
            <w:pPr>
              <w:spacing w:after="0"/>
              <w:rPr>
                <w:sz w:val="11"/>
                <w:szCs w:val="11"/>
                <w:color w:val="auto"/>
              </w:rPr>
            </w:pPr>
          </w:p>
        </w:tc>
        <w:tc>
          <w:tcPr>
            <w:tcW w:w="120" w:type="dxa"/>
            <w:vAlign w:val="bottom"/>
            <w:tcBorders>
              <w:bottom w:val="single" w:sz="8" w:color="E5F1EE"/>
            </w:tcBorders>
            <w:shd w:val="clear" w:color="auto" w:fill="E5F1EE"/>
          </w:tcPr>
          <w:p>
            <w:pPr>
              <w:spacing w:after="0"/>
              <w:rPr>
                <w:sz w:val="11"/>
                <w:szCs w:val="11"/>
                <w:color w:val="auto"/>
              </w:rPr>
            </w:pPr>
          </w:p>
        </w:tc>
        <w:tc>
          <w:tcPr>
            <w:tcW w:w="3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3.98 %</w:t>
            </w:r>
          </w:p>
        </w:tc>
        <w:tc>
          <w:tcPr>
            <w:tcW w:w="20" w:type="dxa"/>
            <w:vAlign w:val="bottom"/>
            <w:shd w:val="clear" w:color="auto" w:fill="E5F1EE"/>
          </w:tcPr>
          <w:p>
            <w:pPr>
              <w:spacing w:after="0"/>
              <w:rPr>
                <w:sz w:val="11"/>
                <w:szCs w:val="11"/>
                <w:color w:val="auto"/>
              </w:rPr>
            </w:pPr>
          </w:p>
        </w:tc>
        <w:tc>
          <w:tcPr>
            <w:tcW w:w="180" w:type="dxa"/>
            <w:vAlign w:val="bottom"/>
            <w:tcBorders>
              <w:bottom w:val="single" w:sz="8" w:color="E5F1EE"/>
            </w:tcBorders>
            <w:gridSpan w:val="2"/>
            <w:shd w:val="clear" w:color="auto" w:fill="E5F1EE"/>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17,739</w:t>
            </w:r>
          </w:p>
        </w:tc>
        <w:tc>
          <w:tcPr>
            <w:tcW w:w="80" w:type="dxa"/>
            <w:vAlign w:val="bottom"/>
            <w:tcBorders>
              <w:bottom w:val="single" w:sz="8" w:color="E5F1EE"/>
            </w:tcBorders>
            <w:shd w:val="clear" w:color="auto" w:fill="E5F1EE"/>
          </w:tcPr>
          <w:p>
            <w:pPr>
              <w:spacing w:after="0"/>
              <w:rPr>
                <w:sz w:val="11"/>
                <w:szCs w:val="11"/>
                <w:color w:val="auto"/>
              </w:rPr>
            </w:pPr>
          </w:p>
        </w:tc>
        <w:tc>
          <w:tcPr>
            <w:tcW w:w="120" w:type="dxa"/>
            <w:vAlign w:val="bottom"/>
            <w:tcBorders>
              <w:bottom w:val="single" w:sz="8" w:color="E5F1EE"/>
            </w:tcBorders>
            <w:shd w:val="clear" w:color="auto" w:fill="E5F1EE"/>
          </w:tcPr>
          <w:p>
            <w:pPr>
              <w:spacing w:after="0"/>
              <w:rPr>
                <w:sz w:val="11"/>
                <w:szCs w:val="11"/>
                <w:color w:val="auto"/>
              </w:rPr>
            </w:pPr>
          </w:p>
        </w:tc>
        <w:tc>
          <w:tcPr>
            <w:tcW w:w="3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4.43 %</w:t>
            </w:r>
          </w:p>
        </w:tc>
        <w:tc>
          <w:tcPr>
            <w:tcW w:w="20" w:type="dxa"/>
            <w:vAlign w:val="bottom"/>
            <w:shd w:val="clear" w:color="auto" w:fill="E5F1EE"/>
          </w:tcPr>
          <w:p>
            <w:pPr>
              <w:spacing w:after="0"/>
              <w:rPr>
                <w:sz w:val="11"/>
                <w:szCs w:val="11"/>
                <w:color w:val="auto"/>
              </w:rPr>
            </w:pPr>
          </w:p>
        </w:tc>
        <w:tc>
          <w:tcPr>
            <w:tcW w:w="200" w:type="dxa"/>
            <w:vAlign w:val="bottom"/>
            <w:tcBorders>
              <w:bottom w:val="single" w:sz="8" w:color="E5F1EE"/>
            </w:tcBorders>
            <w:gridSpan w:val="2"/>
            <w:shd w:val="clear" w:color="auto" w:fill="E5F1EE"/>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23,602</w:t>
            </w:r>
          </w:p>
        </w:tc>
        <w:tc>
          <w:tcPr>
            <w:tcW w:w="60" w:type="dxa"/>
            <w:vAlign w:val="bottom"/>
            <w:tcBorders>
              <w:bottom w:val="single" w:sz="8" w:color="E5F1EE"/>
            </w:tcBorders>
            <w:shd w:val="clear" w:color="auto" w:fill="E5F1EE"/>
          </w:tcPr>
          <w:p>
            <w:pPr>
              <w:spacing w:after="0"/>
              <w:rPr>
                <w:sz w:val="11"/>
                <w:szCs w:val="11"/>
                <w:color w:val="auto"/>
              </w:rPr>
            </w:pPr>
          </w:p>
        </w:tc>
        <w:tc>
          <w:tcPr>
            <w:tcW w:w="120" w:type="dxa"/>
            <w:vAlign w:val="bottom"/>
            <w:tcBorders>
              <w:bottom w:val="single" w:sz="8" w:color="E5F1EE"/>
            </w:tcBorders>
            <w:shd w:val="clear" w:color="auto" w:fill="E5F1EE"/>
          </w:tcPr>
          <w:p>
            <w:pPr>
              <w:spacing w:after="0"/>
              <w:rPr>
                <w:sz w:val="11"/>
                <w:szCs w:val="11"/>
                <w:color w:val="auto"/>
              </w:rPr>
            </w:pPr>
          </w:p>
        </w:tc>
        <w:tc>
          <w:tcPr>
            <w:tcW w:w="3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4.80 %</w:t>
            </w:r>
          </w:p>
        </w:tc>
        <w:tc>
          <w:tcPr>
            <w:tcW w:w="20" w:type="dxa"/>
            <w:vAlign w:val="bottom"/>
            <w:shd w:val="clear" w:color="auto" w:fill="E5F1EE"/>
          </w:tcPr>
          <w:p>
            <w:pPr>
              <w:spacing w:after="0"/>
              <w:rPr>
                <w:sz w:val="11"/>
                <w:szCs w:val="11"/>
                <w:color w:val="auto"/>
              </w:rPr>
            </w:pPr>
          </w:p>
        </w:tc>
        <w:tc>
          <w:tcPr>
            <w:tcW w:w="60" w:type="dxa"/>
            <w:vAlign w:val="bottom"/>
            <w:tcBorders>
              <w:bottom w:val="single" w:sz="8" w:color="E5F1EE"/>
            </w:tcBorders>
            <w:shd w:val="clear" w:color="auto" w:fill="E5F1EE"/>
          </w:tcPr>
          <w:p>
            <w:pPr>
              <w:spacing w:after="0"/>
              <w:rPr>
                <w:sz w:val="11"/>
                <w:szCs w:val="11"/>
                <w:color w:val="auto"/>
              </w:rPr>
            </w:pPr>
          </w:p>
        </w:tc>
        <w:tc>
          <w:tcPr>
            <w:tcW w:w="760" w:type="dxa"/>
            <w:vAlign w:val="bottom"/>
            <w:tcBorders>
              <w:bottom w:val="single" w:sz="8" w:color="E5F1EE"/>
            </w:tcBorders>
            <w:shd w:val="clear" w:color="auto" w:fill="E5F1EE"/>
          </w:tcPr>
          <w:p>
            <w:pPr>
              <w:spacing w:after="0"/>
              <w:rPr>
                <w:sz w:val="11"/>
                <w:szCs w:val="11"/>
                <w:color w:val="auto"/>
              </w:rPr>
            </w:pPr>
          </w:p>
        </w:tc>
        <w:tc>
          <w:tcPr>
            <w:tcW w:w="18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20" w:type="dxa"/>
            <w:vAlign w:val="bottom"/>
            <w:shd w:val="clear" w:color="auto" w:fill="E5F1EE"/>
          </w:tcPr>
          <w:p>
            <w:pPr>
              <w:spacing w:after="0"/>
              <w:rPr>
                <w:sz w:val="11"/>
                <w:szCs w:val="11"/>
                <w:color w:val="auto"/>
              </w:rPr>
            </w:pPr>
          </w:p>
        </w:tc>
        <w:tc>
          <w:tcPr>
            <w:tcW w:w="60" w:type="dxa"/>
            <w:vAlign w:val="bottom"/>
            <w:tcBorders>
              <w:bottom w:val="single" w:sz="8" w:color="E5F1EE"/>
            </w:tcBorders>
            <w:shd w:val="clear" w:color="auto" w:fill="E5F1EE"/>
          </w:tcPr>
          <w:p>
            <w:pPr>
              <w:spacing w:after="0"/>
              <w:rPr>
                <w:sz w:val="11"/>
                <w:szCs w:val="11"/>
                <w:color w:val="auto"/>
              </w:rPr>
            </w:pPr>
          </w:p>
        </w:tc>
        <w:tc>
          <w:tcPr>
            <w:tcW w:w="74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w w:val="92"/>
              </w:rPr>
              <w:t>-24 %</w:t>
            </w:r>
          </w:p>
        </w:tc>
        <w:tc>
          <w:tcPr>
            <w:tcW w:w="20" w:type="dxa"/>
            <w:vAlign w:val="bottom"/>
            <w:shd w:val="clear" w:color="auto" w:fill="E5F1EE"/>
          </w:tcPr>
          <w:p>
            <w:pPr>
              <w:spacing w:after="0"/>
              <w:rPr>
                <w:sz w:val="11"/>
                <w:szCs w:val="11"/>
                <w:color w:val="auto"/>
              </w:rPr>
            </w:pPr>
          </w:p>
        </w:tc>
        <w:tc>
          <w:tcPr>
            <w:tcW w:w="200" w:type="dxa"/>
            <w:vAlign w:val="bottom"/>
            <w:tcBorders>
              <w:bottom w:val="single" w:sz="8" w:color="E5F1EE"/>
            </w:tcBorders>
            <w:gridSpan w:val="2"/>
            <w:shd w:val="clear" w:color="auto" w:fill="E5F1EE"/>
          </w:tcPr>
          <w:p>
            <w:pPr>
              <w:jc w:val="right"/>
              <w:ind w:right="54"/>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18,767</w:t>
            </w:r>
          </w:p>
        </w:tc>
        <w:tc>
          <w:tcPr>
            <w:tcW w:w="80" w:type="dxa"/>
            <w:vAlign w:val="bottom"/>
            <w:tcBorders>
              <w:bottom w:val="single" w:sz="8" w:color="E5F1EE"/>
            </w:tcBorders>
            <w:shd w:val="clear" w:color="auto" w:fill="E5F1EE"/>
          </w:tcPr>
          <w:p>
            <w:pPr>
              <w:spacing w:after="0"/>
              <w:rPr>
                <w:sz w:val="11"/>
                <w:szCs w:val="11"/>
                <w:color w:val="auto"/>
              </w:rPr>
            </w:pPr>
          </w:p>
        </w:tc>
        <w:tc>
          <w:tcPr>
            <w:tcW w:w="4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4.35 %</w:t>
            </w:r>
          </w:p>
        </w:tc>
        <w:tc>
          <w:tcPr>
            <w:tcW w:w="20" w:type="dxa"/>
            <w:vAlign w:val="bottom"/>
            <w:shd w:val="clear" w:color="auto" w:fill="E5F1EE"/>
          </w:tcPr>
          <w:p>
            <w:pPr>
              <w:spacing w:after="0"/>
              <w:rPr>
                <w:sz w:val="11"/>
                <w:szCs w:val="11"/>
                <w:color w:val="auto"/>
              </w:rPr>
            </w:pPr>
          </w:p>
        </w:tc>
        <w:tc>
          <w:tcPr>
            <w:tcW w:w="240" w:type="dxa"/>
            <w:vAlign w:val="bottom"/>
            <w:tcBorders>
              <w:bottom w:val="single" w:sz="8" w:color="E5F1EE"/>
            </w:tcBorders>
            <w:gridSpan w:val="2"/>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27,244</w:t>
            </w:r>
          </w:p>
        </w:tc>
        <w:tc>
          <w:tcPr>
            <w:tcW w:w="80" w:type="dxa"/>
            <w:vAlign w:val="bottom"/>
            <w:tcBorders>
              <w:bottom w:val="single" w:sz="8" w:color="E5F1EE"/>
            </w:tcBorders>
            <w:shd w:val="clear" w:color="auto" w:fill="E5F1EE"/>
          </w:tcPr>
          <w:p>
            <w:pPr>
              <w:spacing w:after="0"/>
              <w:rPr>
                <w:sz w:val="11"/>
                <w:szCs w:val="11"/>
                <w:color w:val="auto"/>
              </w:rPr>
            </w:pPr>
          </w:p>
        </w:tc>
        <w:tc>
          <w:tcPr>
            <w:tcW w:w="4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5.33 %</w:t>
            </w:r>
          </w:p>
        </w:tc>
        <w:tc>
          <w:tcPr>
            <w:tcW w:w="20" w:type="dxa"/>
            <w:vAlign w:val="bottom"/>
            <w:shd w:val="clear" w:color="auto" w:fill="E5F1EE"/>
          </w:tcPr>
          <w:p>
            <w:pPr>
              <w:spacing w:after="0"/>
              <w:rPr>
                <w:sz w:val="11"/>
                <w:szCs w:val="11"/>
                <w:color w:val="auto"/>
              </w:rPr>
            </w:pPr>
          </w:p>
        </w:tc>
        <w:tc>
          <w:tcPr>
            <w:tcW w:w="66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-31 %</w:t>
            </w:r>
          </w:p>
        </w:tc>
        <w:tc>
          <w:tcPr>
            <w:tcW w:w="20" w:type="dxa"/>
            <w:vAlign w:val="bottom"/>
            <w:shd w:val="clear" w:color="auto" w:fill="E5F1EE"/>
          </w:tcPr>
          <w:p>
            <w:pPr>
              <w:spacing w:after="0"/>
              <w:rPr>
                <w:sz w:val="11"/>
                <w:szCs w:val="11"/>
                <w:color w:val="auto"/>
              </w:rPr>
            </w:pPr>
          </w:p>
        </w:tc>
      </w:tr>
      <w:tr>
        <w:trPr>
          <w:trHeight w:val="92"/>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Trading account</w:t>
            </w:r>
          </w:p>
        </w:tc>
        <w:tc>
          <w:tcPr>
            <w:tcW w:w="12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97</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3.42</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95</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3.48</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3.37</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96</w:t>
            </w:r>
          </w:p>
        </w:tc>
        <w:tc>
          <w:tcPr>
            <w:tcW w:w="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3.45</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w:t>
            </w:r>
          </w:p>
        </w:tc>
        <w:tc>
          <w:tcPr>
            <w:tcW w:w="80" w:type="dxa"/>
            <w:vAlign w:val="bottom"/>
          </w:tcPr>
          <w:p>
            <w:pPr>
              <w:spacing w:after="0"/>
              <w:rPr>
                <w:sz w:val="7"/>
                <w:szCs w:val="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3.42</w:t>
            </w:r>
          </w:p>
        </w:tc>
        <w:tc>
          <w:tcPr>
            <w:tcW w:w="20" w:type="dxa"/>
            <w:vAlign w:val="bottom"/>
          </w:tcPr>
          <w:p>
            <w:pPr>
              <w:spacing w:after="0"/>
              <w:rPr>
                <w:sz w:val="7"/>
                <w:szCs w:val="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20" w:type="dxa"/>
            <w:vAlign w:val="bottom"/>
          </w:tcPr>
          <w:p>
            <w:pPr>
              <w:spacing w:after="0"/>
              <w:rPr>
                <w:sz w:val="7"/>
                <w:szCs w:val="7"/>
                <w:color w:val="auto"/>
              </w:rPr>
            </w:pPr>
          </w:p>
        </w:tc>
      </w:tr>
      <w:tr>
        <w:trPr>
          <w:trHeight w:val="122"/>
        </w:trPr>
        <w:tc>
          <w:tcPr>
            <w:tcW w:w="24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Investment securities (1)</w:t>
            </w:r>
          </w:p>
        </w:tc>
        <w:tc>
          <w:tcPr>
            <w:tcW w:w="120" w:type="dxa"/>
            <w:vAlign w:val="bottom"/>
            <w:shd w:val="clear" w:color="auto" w:fill="E5F1EE"/>
          </w:tcPr>
          <w:p>
            <w:pPr>
              <w:spacing w:after="0"/>
              <w:rPr>
                <w:sz w:val="10"/>
                <w:szCs w:val="10"/>
                <w:color w:val="auto"/>
              </w:rPr>
            </w:pPr>
          </w:p>
        </w:tc>
        <w:tc>
          <w:tcPr>
            <w:tcW w:w="5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36,705</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4.17</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36,559</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4.13</w:t>
            </w: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33,679</w:t>
            </w: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3.88</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40" w:type="dxa"/>
            <w:vAlign w:val="bottom"/>
            <w:shd w:val="clear" w:color="auto" w:fill="E5F1EE"/>
          </w:tcPr>
          <w:p>
            <w:pPr>
              <w:spacing w:after="0"/>
              <w:rPr>
                <w:sz w:val="10"/>
                <w:szCs w:val="10"/>
                <w:color w:val="auto"/>
              </w:rPr>
            </w:pPr>
          </w:p>
        </w:tc>
        <w:tc>
          <w:tcPr>
            <w:tcW w:w="2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35,778</w:t>
            </w:r>
          </w:p>
        </w:tc>
        <w:tc>
          <w:tcPr>
            <w:tcW w:w="80" w:type="dxa"/>
            <w:vAlign w:val="bottom"/>
            <w:shd w:val="clear" w:color="auto" w:fill="E5F1EE"/>
          </w:tcPr>
          <w:p>
            <w:pPr>
              <w:spacing w:after="0"/>
              <w:rPr>
                <w:sz w:val="10"/>
                <w:szCs w:val="10"/>
                <w:color w:val="auto"/>
              </w:rPr>
            </w:pPr>
          </w:p>
        </w:tc>
        <w:tc>
          <w:tcPr>
            <w:tcW w:w="4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4.03</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4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30,755</w:t>
            </w:r>
          </w:p>
        </w:tc>
        <w:tc>
          <w:tcPr>
            <w:tcW w:w="80" w:type="dxa"/>
            <w:vAlign w:val="bottom"/>
            <w:shd w:val="clear" w:color="auto" w:fill="E5F1EE"/>
          </w:tcPr>
          <w:p>
            <w:pPr>
              <w:spacing w:after="0"/>
              <w:rPr>
                <w:sz w:val="10"/>
                <w:szCs w:val="10"/>
                <w:color w:val="auto"/>
              </w:rPr>
            </w:pPr>
          </w:p>
        </w:tc>
        <w:tc>
          <w:tcPr>
            <w:tcW w:w="4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3.64</w:t>
            </w:r>
          </w:p>
        </w:tc>
        <w:tc>
          <w:tcPr>
            <w:tcW w:w="20" w:type="dxa"/>
            <w:vAlign w:val="bottom"/>
            <w:shd w:val="clear" w:color="auto" w:fill="E5F1EE"/>
          </w:tcPr>
          <w:p>
            <w:pPr>
              <w:spacing w:after="0"/>
              <w:rPr>
                <w:sz w:val="10"/>
                <w:szCs w:val="10"/>
                <w:color w:val="auto"/>
              </w:rPr>
            </w:pPr>
          </w:p>
        </w:tc>
        <w:tc>
          <w:tcPr>
            <w:tcW w:w="6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16</w:t>
            </w:r>
          </w:p>
        </w:tc>
        <w:tc>
          <w:tcPr>
            <w:tcW w:w="20" w:type="dxa"/>
            <w:vAlign w:val="bottom"/>
            <w:shd w:val="clear" w:color="auto" w:fill="E5F1EE"/>
          </w:tcPr>
          <w:p>
            <w:pPr>
              <w:spacing w:after="0"/>
              <w:rPr>
                <w:sz w:val="10"/>
                <w:szCs w:val="10"/>
                <w:color w:val="auto"/>
              </w:rPr>
            </w:pPr>
          </w:p>
        </w:tc>
      </w:tr>
      <w:tr>
        <w:trPr>
          <w:trHeight w:val="112"/>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Loans:</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244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Commercial and industrial</w:t>
            </w:r>
          </w:p>
        </w:tc>
        <w:tc>
          <w:tcPr>
            <w:tcW w:w="120" w:type="dxa"/>
            <w:vAlign w:val="bottom"/>
            <w:shd w:val="clear" w:color="auto" w:fill="E5F1EE"/>
          </w:tcPr>
          <w:p>
            <w:pPr>
              <w:spacing w:after="0"/>
              <w:rPr>
                <w:sz w:val="10"/>
                <w:szCs w:val="10"/>
                <w:color w:val="auto"/>
              </w:rPr>
            </w:pPr>
          </w:p>
        </w:tc>
        <w:tc>
          <w:tcPr>
            <w:tcW w:w="5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62,257</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6.22</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61,716</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6.45</w:t>
            </w: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60,704</w:t>
            </w: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6.56</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40" w:type="dxa"/>
            <w:vAlign w:val="bottom"/>
            <w:shd w:val="clear" w:color="auto" w:fill="E5F1EE"/>
          </w:tcPr>
          <w:p>
            <w:pPr>
              <w:spacing w:after="0"/>
              <w:rPr>
                <w:sz w:val="10"/>
                <w:szCs w:val="10"/>
                <w:color w:val="auto"/>
              </w:rPr>
            </w:pPr>
          </w:p>
        </w:tc>
        <w:tc>
          <w:tcPr>
            <w:tcW w:w="2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61,520</w:t>
            </w:r>
          </w:p>
        </w:tc>
        <w:tc>
          <w:tcPr>
            <w:tcW w:w="80" w:type="dxa"/>
            <w:vAlign w:val="bottom"/>
            <w:shd w:val="clear" w:color="auto" w:fill="E5F1EE"/>
          </w:tcPr>
          <w:p>
            <w:pPr>
              <w:spacing w:after="0"/>
              <w:rPr>
                <w:sz w:val="10"/>
                <w:szCs w:val="10"/>
                <w:color w:val="auto"/>
              </w:rPr>
            </w:pPr>
          </w:p>
        </w:tc>
        <w:tc>
          <w:tcPr>
            <w:tcW w:w="4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6.36</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4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58,871</w:t>
            </w:r>
          </w:p>
        </w:tc>
        <w:tc>
          <w:tcPr>
            <w:tcW w:w="80" w:type="dxa"/>
            <w:vAlign w:val="bottom"/>
            <w:shd w:val="clear" w:color="auto" w:fill="E5F1EE"/>
          </w:tcPr>
          <w:p>
            <w:pPr>
              <w:spacing w:after="0"/>
              <w:rPr>
                <w:sz w:val="10"/>
                <w:szCs w:val="10"/>
                <w:color w:val="auto"/>
              </w:rPr>
            </w:pPr>
          </w:p>
        </w:tc>
        <w:tc>
          <w:tcPr>
            <w:tcW w:w="4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6.90</w:t>
            </w:r>
          </w:p>
        </w:tc>
        <w:tc>
          <w:tcPr>
            <w:tcW w:w="20" w:type="dxa"/>
            <w:vAlign w:val="bottom"/>
            <w:shd w:val="clear" w:color="auto" w:fill="E5F1EE"/>
          </w:tcPr>
          <w:p>
            <w:pPr>
              <w:spacing w:after="0"/>
              <w:rPr>
                <w:sz w:val="10"/>
                <w:szCs w:val="10"/>
                <w:color w:val="auto"/>
              </w:rPr>
            </w:pPr>
          </w:p>
        </w:tc>
        <w:tc>
          <w:tcPr>
            <w:tcW w:w="6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20" w:type="dxa"/>
            <w:vAlign w:val="bottom"/>
            <w:shd w:val="clear" w:color="auto" w:fill="E5F1EE"/>
          </w:tcPr>
          <w:p>
            <w:pPr>
              <w:spacing w:after="0"/>
              <w:rPr>
                <w:sz w:val="10"/>
                <w:szCs w:val="10"/>
                <w:color w:val="auto"/>
              </w:rPr>
            </w:pPr>
          </w:p>
        </w:tc>
      </w:tr>
      <w:tr>
        <w:trPr>
          <w:trHeight w:val="112"/>
        </w:trPr>
        <w:tc>
          <w:tcPr>
            <w:tcW w:w="24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Real estate - commercial</w:t>
            </w:r>
          </w:p>
        </w:tc>
        <w:tc>
          <w:tcPr>
            <w:tcW w:w="12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24,101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6.21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24,353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27,896</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6.25</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25,004</w:t>
            </w: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6.26</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30,271</w:t>
            </w: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6.32</w:t>
            </w:r>
          </w:p>
        </w:tc>
        <w:tc>
          <w:tcPr>
            <w:tcW w:w="20" w:type="dxa"/>
            <w:vAlign w:val="bottom"/>
          </w:tcPr>
          <w:p>
            <w:pPr>
              <w:spacing w:after="0"/>
              <w:rPr>
                <w:sz w:val="9"/>
                <w:szCs w:val="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20" w:type="dxa"/>
            <w:vAlign w:val="bottom"/>
          </w:tcPr>
          <w:p>
            <w:pPr>
              <w:spacing w:after="0"/>
              <w:rPr>
                <w:sz w:val="9"/>
                <w:szCs w:val="9"/>
                <w:color w:val="auto"/>
              </w:rPr>
            </w:pPr>
          </w:p>
        </w:tc>
      </w:tr>
      <w:tr>
        <w:trPr>
          <w:trHeight w:val="122"/>
        </w:trPr>
        <w:tc>
          <w:tcPr>
            <w:tcW w:w="244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Real estate - residential</w:t>
            </w:r>
          </w:p>
        </w:tc>
        <w:tc>
          <w:tcPr>
            <w:tcW w:w="120" w:type="dxa"/>
            <w:vAlign w:val="bottom"/>
            <w:shd w:val="clear" w:color="auto" w:fill="E5F1EE"/>
          </w:tcPr>
          <w:p>
            <w:pPr>
              <w:spacing w:after="0"/>
              <w:rPr>
                <w:sz w:val="10"/>
                <w:szCs w:val="10"/>
                <w:color w:val="auto"/>
              </w:rPr>
            </w:pPr>
          </w:p>
        </w:tc>
        <w:tc>
          <w:tcPr>
            <w:tcW w:w="5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24,765</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4.60</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24,359</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4.59</w:t>
            </w: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23,088</w:t>
            </w: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4.45</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40" w:type="dxa"/>
            <w:vAlign w:val="bottom"/>
            <w:shd w:val="clear" w:color="auto" w:fill="E5F1EE"/>
          </w:tcPr>
          <w:p>
            <w:pPr>
              <w:spacing w:after="0"/>
              <w:rPr>
                <w:sz w:val="10"/>
                <w:szCs w:val="10"/>
                <w:color w:val="auto"/>
              </w:rPr>
            </w:pPr>
          </w:p>
        </w:tc>
        <w:tc>
          <w:tcPr>
            <w:tcW w:w="2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24,001</w:t>
            </w:r>
          </w:p>
        </w:tc>
        <w:tc>
          <w:tcPr>
            <w:tcW w:w="80" w:type="dxa"/>
            <w:vAlign w:val="bottom"/>
            <w:shd w:val="clear" w:color="auto" w:fill="E5F1EE"/>
          </w:tcPr>
          <w:p>
            <w:pPr>
              <w:spacing w:after="0"/>
              <w:rPr>
                <w:sz w:val="10"/>
                <w:szCs w:val="10"/>
                <w:color w:val="auto"/>
              </w:rPr>
            </w:pPr>
          </w:p>
        </w:tc>
        <w:tc>
          <w:tcPr>
            <w:tcW w:w="4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4.54</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4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23,056</w:t>
            </w:r>
          </w:p>
        </w:tc>
        <w:tc>
          <w:tcPr>
            <w:tcW w:w="80" w:type="dxa"/>
            <w:vAlign w:val="bottom"/>
            <w:shd w:val="clear" w:color="auto" w:fill="E5F1EE"/>
          </w:tcPr>
          <w:p>
            <w:pPr>
              <w:spacing w:after="0"/>
              <w:rPr>
                <w:sz w:val="10"/>
                <w:szCs w:val="10"/>
                <w:color w:val="auto"/>
              </w:rPr>
            </w:pPr>
          </w:p>
        </w:tc>
        <w:tc>
          <w:tcPr>
            <w:tcW w:w="4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4.36</w:t>
            </w:r>
          </w:p>
        </w:tc>
        <w:tc>
          <w:tcPr>
            <w:tcW w:w="20" w:type="dxa"/>
            <w:vAlign w:val="bottom"/>
            <w:shd w:val="clear" w:color="auto" w:fill="E5F1EE"/>
          </w:tcPr>
          <w:p>
            <w:pPr>
              <w:spacing w:after="0"/>
              <w:rPr>
                <w:sz w:val="10"/>
                <w:szCs w:val="10"/>
                <w:color w:val="auto"/>
              </w:rPr>
            </w:pPr>
          </w:p>
        </w:tc>
        <w:tc>
          <w:tcPr>
            <w:tcW w:w="6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20" w:type="dxa"/>
            <w:vAlign w:val="bottom"/>
            <w:shd w:val="clear" w:color="auto" w:fill="E5F1EE"/>
          </w:tcPr>
          <w:p>
            <w:pPr>
              <w:spacing w:after="0"/>
              <w:rPr>
                <w:sz w:val="10"/>
                <w:szCs w:val="10"/>
                <w:color w:val="auto"/>
              </w:rPr>
            </w:pPr>
          </w:p>
        </w:tc>
      </w:tr>
      <w:tr>
        <w:trPr>
          <w:trHeight w:val="112"/>
        </w:trPr>
        <w:tc>
          <w:tcPr>
            <w:tcW w:w="2440" w:type="dxa"/>
            <w:vAlign w:val="bottom"/>
            <w:tcBorders>
              <w:bottom w:val="single" w:sz="8" w:color="E5F1EE"/>
            </w:tcBorders>
          </w:tcPr>
          <w:p>
            <w:pPr>
              <w:ind w:left="140"/>
              <w:spacing w:after="0"/>
              <w:rPr>
                <w:sz w:val="20"/>
                <w:szCs w:val="20"/>
                <w:color w:val="auto"/>
              </w:rPr>
            </w:pPr>
            <w:r>
              <w:rPr>
                <w:rFonts w:ascii="Times New Roman" w:cs="Times New Roman" w:eastAsia="Times New Roman" w:hAnsi="Times New Roman"/>
                <w:sz w:val="8"/>
                <w:szCs w:val="8"/>
                <w:color w:val="auto"/>
              </w:rPr>
              <w:t>Consumer</w:t>
            </w: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26,477</w:t>
            </w: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E5F1EE"/>
            </w:tcBorders>
          </w:tcPr>
          <w:p>
            <w:pPr>
              <w:spacing w:after="0"/>
              <w:rPr>
                <w:sz w:val="9"/>
                <w:szCs w:val="9"/>
                <w:color w:val="auto"/>
              </w:rPr>
            </w:pPr>
          </w:p>
        </w:tc>
        <w:tc>
          <w:tcPr>
            <w:tcW w:w="3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6.58</w:t>
            </w:r>
          </w:p>
        </w:tc>
        <w:tc>
          <w:tcPr>
            <w:tcW w:w="20" w:type="dxa"/>
            <w:vAlign w:val="bottom"/>
            <w:tcBorders>
              <w:bottom w:val="single" w:sz="8" w:color="E5F1EE"/>
            </w:tcBorders>
          </w:tcPr>
          <w:p>
            <w:pPr>
              <w:spacing w:after="0"/>
              <w:rPr>
                <w:sz w:val="9"/>
                <w:szCs w:val="9"/>
                <w:color w:val="auto"/>
              </w:rPr>
            </w:pPr>
          </w:p>
        </w:tc>
        <w:tc>
          <w:tcPr>
            <w:tcW w:w="6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26,099</w:t>
            </w: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E5F1EE"/>
            </w:tcBorders>
          </w:tcPr>
          <w:p>
            <w:pPr>
              <w:spacing w:after="0"/>
              <w:rPr>
                <w:sz w:val="9"/>
                <w:szCs w:val="9"/>
                <w:color w:val="auto"/>
              </w:rPr>
            </w:pPr>
          </w:p>
        </w:tc>
        <w:tc>
          <w:tcPr>
            <w:tcW w:w="30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6.60</w:t>
            </w:r>
          </w:p>
        </w:tc>
        <w:tc>
          <w:tcPr>
            <w:tcW w:w="20" w:type="dxa"/>
            <w:vAlign w:val="bottom"/>
            <w:tcBorders>
              <w:bottom w:val="single" w:sz="8" w:color="E5F1EE"/>
            </w:tcBorders>
          </w:tcPr>
          <w:p>
            <w:pPr>
              <w:spacing w:after="0"/>
              <w:rPr>
                <w:sz w:val="9"/>
                <w:szCs w:val="9"/>
                <w:color w:val="auto"/>
              </w:rPr>
            </w:pP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24,035</w:t>
            </w:r>
          </w:p>
        </w:tc>
        <w:tc>
          <w:tcPr>
            <w:tcW w:w="60" w:type="dxa"/>
            <w:vAlign w:val="bottom"/>
            <w:tcBorders>
              <w:bottom w:val="single" w:sz="8" w:color="E5F1EE"/>
            </w:tcBorders>
          </w:tcPr>
          <w:p>
            <w:pPr>
              <w:spacing w:after="0"/>
              <w:rPr>
                <w:sz w:val="9"/>
                <w:szCs w:val="9"/>
                <w:color w:val="auto"/>
              </w:rPr>
            </w:pPr>
          </w:p>
        </w:tc>
        <w:tc>
          <w:tcPr>
            <w:tcW w:w="120" w:type="dxa"/>
            <w:vAlign w:val="bottom"/>
            <w:tcBorders>
              <w:bottom w:val="single" w:sz="8" w:color="E5F1EE"/>
            </w:tcBorders>
          </w:tcPr>
          <w:p>
            <w:pPr>
              <w:spacing w:after="0"/>
              <w:rPr>
                <w:sz w:val="9"/>
                <w:szCs w:val="9"/>
                <w:color w:val="auto"/>
              </w:rPr>
            </w:pPr>
          </w:p>
        </w:tc>
        <w:tc>
          <w:tcPr>
            <w:tcW w:w="30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6.65</w:t>
            </w:r>
          </w:p>
        </w:tc>
        <w:tc>
          <w:tcPr>
            <w:tcW w:w="20" w:type="dxa"/>
            <w:vAlign w:val="bottom"/>
            <w:tcBorders>
              <w:bottom w:val="single" w:sz="8" w:color="E5F1EE"/>
            </w:tcBorders>
          </w:tcPr>
          <w:p>
            <w:pPr>
              <w:spacing w:after="0"/>
              <w:rPr>
                <w:sz w:val="9"/>
                <w:szCs w:val="9"/>
                <w:color w:val="auto"/>
              </w:rPr>
            </w:pPr>
          </w:p>
        </w:tc>
        <w:tc>
          <w:tcPr>
            <w:tcW w:w="60" w:type="dxa"/>
            <w:vAlign w:val="bottom"/>
            <w:tcBorders>
              <w:bottom w:val="single" w:sz="8" w:color="E5F1EE"/>
            </w:tcBorders>
          </w:tcPr>
          <w:p>
            <w:pPr>
              <w:spacing w:after="0"/>
              <w:rPr>
                <w:sz w:val="9"/>
                <w:szCs w:val="9"/>
                <w:color w:val="auto"/>
              </w:rPr>
            </w:pPr>
          </w:p>
        </w:tc>
        <w:tc>
          <w:tcPr>
            <w:tcW w:w="760" w:type="dxa"/>
            <w:vAlign w:val="bottom"/>
            <w:tcBorders>
              <w:bottom w:val="single" w:sz="8" w:color="E5F1EE"/>
            </w:tcBorders>
          </w:tcPr>
          <w:p>
            <w:pPr>
              <w:spacing w:after="0"/>
              <w:rPr>
                <w:sz w:val="9"/>
                <w:szCs w:val="9"/>
                <w:color w:val="auto"/>
              </w:rPr>
            </w:pPr>
          </w:p>
        </w:tc>
        <w:tc>
          <w:tcPr>
            <w:tcW w:w="18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tcBorders>
              <w:bottom w:val="single" w:sz="8" w:color="E5F1EE"/>
            </w:tcBorders>
          </w:tcPr>
          <w:p>
            <w:pPr>
              <w:spacing w:after="0"/>
              <w:rPr>
                <w:sz w:val="9"/>
                <w:szCs w:val="9"/>
                <w:color w:val="auto"/>
              </w:rPr>
            </w:pPr>
          </w:p>
        </w:tc>
        <w:tc>
          <w:tcPr>
            <w:tcW w:w="60" w:type="dxa"/>
            <w:vAlign w:val="bottom"/>
            <w:tcBorders>
              <w:bottom w:val="single" w:sz="8" w:color="E5F1EE"/>
            </w:tcBorders>
          </w:tcPr>
          <w:p>
            <w:pPr>
              <w:spacing w:after="0"/>
              <w:rPr>
                <w:sz w:val="9"/>
                <w:szCs w:val="9"/>
                <w:color w:val="auto"/>
              </w:rPr>
            </w:pPr>
          </w:p>
        </w:tc>
        <w:tc>
          <w:tcPr>
            <w:tcW w:w="740" w:type="dxa"/>
            <w:vAlign w:val="bottom"/>
            <w:tcBorders>
              <w:bottom w:val="single" w:sz="8" w:color="E5F1EE"/>
            </w:tcBorders>
          </w:tcPr>
          <w:p>
            <w:pPr>
              <w:spacing w:after="0"/>
              <w:rPr>
                <w:sz w:val="9"/>
                <w:szCs w:val="9"/>
                <w:color w:val="auto"/>
              </w:rPr>
            </w:pPr>
          </w:p>
        </w:tc>
        <w:tc>
          <w:tcPr>
            <w:tcW w:w="20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20" w:type="dxa"/>
            <w:vAlign w:val="bottom"/>
            <w:tcBorders>
              <w:bottom w:val="single" w:sz="8" w:color="E5F1EE"/>
            </w:tcBorders>
          </w:tcPr>
          <w:p>
            <w:pPr>
              <w:spacing w:after="0"/>
              <w:rPr>
                <w:sz w:val="9"/>
                <w:szCs w:val="9"/>
                <w:color w:val="auto"/>
              </w:rPr>
            </w:pP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25,578</w:t>
            </w:r>
          </w:p>
        </w:tc>
        <w:tc>
          <w:tcPr>
            <w:tcW w:w="80" w:type="dxa"/>
            <w:vAlign w:val="bottom"/>
            <w:tcBorders>
              <w:bottom w:val="single" w:sz="8" w:color="E5F1EE"/>
            </w:tcBorders>
          </w:tcPr>
          <w:p>
            <w:pPr>
              <w:spacing w:after="0"/>
              <w:rPr>
                <w:sz w:val="9"/>
                <w:szCs w:val="9"/>
                <w:color w:val="auto"/>
              </w:rPr>
            </w:pPr>
          </w:p>
        </w:tc>
        <w:tc>
          <w:tcPr>
            <w:tcW w:w="44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6.58</w:t>
            </w:r>
          </w:p>
        </w:tc>
        <w:tc>
          <w:tcPr>
            <w:tcW w:w="20" w:type="dxa"/>
            <w:vAlign w:val="bottom"/>
            <w:tcBorders>
              <w:bottom w:val="single" w:sz="8" w:color="E5F1EE"/>
            </w:tcBorders>
          </w:tcPr>
          <w:p>
            <w:pPr>
              <w:spacing w:after="0"/>
              <w:rPr>
                <w:sz w:val="9"/>
                <w:szCs w:val="9"/>
                <w:color w:val="auto"/>
              </w:rPr>
            </w:pPr>
          </w:p>
        </w:tc>
        <w:tc>
          <w:tcPr>
            <w:tcW w:w="60" w:type="dxa"/>
            <w:vAlign w:val="bottom"/>
            <w:tcBorders>
              <w:bottom w:val="single" w:sz="8" w:color="E5F1EE"/>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22,519</w:t>
            </w:r>
          </w:p>
        </w:tc>
        <w:tc>
          <w:tcPr>
            <w:tcW w:w="80" w:type="dxa"/>
            <w:vAlign w:val="bottom"/>
            <w:tcBorders>
              <w:bottom w:val="single" w:sz="8" w:color="E5F1EE"/>
            </w:tcBorders>
          </w:tcPr>
          <w:p>
            <w:pPr>
              <w:spacing w:after="0"/>
              <w:rPr>
                <w:sz w:val="9"/>
                <w:szCs w:val="9"/>
                <w:color w:val="auto"/>
              </w:rPr>
            </w:pPr>
          </w:p>
        </w:tc>
        <w:tc>
          <w:tcPr>
            <w:tcW w:w="4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6.63</w:t>
            </w:r>
          </w:p>
        </w:tc>
        <w:tc>
          <w:tcPr>
            <w:tcW w:w="20" w:type="dxa"/>
            <w:vAlign w:val="bottom"/>
            <w:tcBorders>
              <w:bottom w:val="single" w:sz="8" w:color="E5F1EE"/>
            </w:tcBorders>
          </w:tcPr>
          <w:p>
            <w:pPr>
              <w:spacing w:after="0"/>
              <w:rPr>
                <w:sz w:val="9"/>
                <w:szCs w:val="9"/>
                <w:color w:val="auto"/>
              </w:rPr>
            </w:pPr>
          </w:p>
        </w:tc>
        <w:tc>
          <w:tcPr>
            <w:tcW w:w="66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20" w:type="dxa"/>
            <w:vAlign w:val="bottom"/>
            <w:tcBorders>
              <w:bottom w:val="single" w:sz="8" w:color="E5F1EE"/>
            </w:tcBorders>
          </w:tcPr>
          <w:p>
            <w:pPr>
              <w:spacing w:after="0"/>
              <w:rPr>
                <w:sz w:val="9"/>
                <w:szCs w:val="9"/>
                <w:color w:val="auto"/>
              </w:rPr>
            </w:pPr>
          </w:p>
        </w:tc>
      </w:tr>
      <w:tr>
        <w:trPr>
          <w:trHeight w:val="111"/>
        </w:trPr>
        <w:tc>
          <w:tcPr>
            <w:tcW w:w="24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Total loans</w:t>
            </w:r>
          </w:p>
        </w:tc>
        <w:tc>
          <w:tcPr>
            <w:tcW w:w="120" w:type="dxa"/>
            <w:vAlign w:val="bottom"/>
            <w:tcBorders>
              <w:bottom w:val="single" w:sz="8" w:color="auto"/>
            </w:tcBorders>
            <w:shd w:val="clear" w:color="auto" w:fill="E5F1EE"/>
          </w:tcPr>
          <w:p>
            <w:pPr>
              <w:spacing w:after="0"/>
              <w:rPr>
                <w:sz w:val="9"/>
                <w:szCs w:val="9"/>
                <w:color w:val="auto"/>
              </w:rPr>
            </w:pPr>
          </w:p>
        </w:tc>
        <w:tc>
          <w:tcPr>
            <w:tcW w:w="5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137,600</w:t>
            </w: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3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6.00</w:t>
            </w:r>
          </w:p>
        </w:tc>
        <w:tc>
          <w:tcPr>
            <w:tcW w:w="20" w:type="dxa"/>
            <w:vAlign w:val="bottom"/>
            <w:shd w:val="clear" w:color="auto" w:fill="E5F1EE"/>
          </w:tcPr>
          <w:p>
            <w:pPr>
              <w:spacing w:after="0"/>
              <w:rPr>
                <w:sz w:val="9"/>
                <w:szCs w:val="9"/>
                <w:color w:val="auto"/>
              </w:rPr>
            </w:pPr>
          </w:p>
        </w:tc>
        <w:tc>
          <w:tcPr>
            <w:tcW w:w="60" w:type="dxa"/>
            <w:vAlign w:val="bottom"/>
            <w:shd w:val="clear" w:color="auto" w:fill="E5F1EE"/>
          </w:tcPr>
          <w:p>
            <w:pPr>
              <w:spacing w:after="0"/>
              <w:rPr>
                <w:sz w:val="9"/>
                <w:szCs w:val="9"/>
                <w:color w:val="auto"/>
              </w:rPr>
            </w:pPr>
          </w:p>
        </w:tc>
        <w:tc>
          <w:tcPr>
            <w:tcW w:w="120" w:type="dxa"/>
            <w:vAlign w:val="bottom"/>
            <w:tcBorders>
              <w:bottom w:val="single" w:sz="8" w:color="auto"/>
            </w:tcBorders>
            <w:shd w:val="clear" w:color="auto" w:fill="E5F1EE"/>
          </w:tcPr>
          <w:p>
            <w:pPr>
              <w:spacing w:after="0"/>
              <w:rPr>
                <w:sz w:val="9"/>
                <w:szCs w:val="9"/>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136,527</w:t>
            </w: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6.14</w:t>
            </w:r>
          </w:p>
        </w:tc>
        <w:tc>
          <w:tcPr>
            <w:tcW w:w="20" w:type="dxa"/>
            <w:vAlign w:val="bottom"/>
            <w:shd w:val="clear" w:color="auto" w:fill="E5F1EE"/>
          </w:tcPr>
          <w:p>
            <w:pPr>
              <w:spacing w:after="0"/>
              <w:rPr>
                <w:sz w:val="9"/>
                <w:szCs w:val="9"/>
                <w:color w:val="auto"/>
              </w:rPr>
            </w:pPr>
          </w:p>
        </w:tc>
        <w:tc>
          <w:tcPr>
            <w:tcW w:w="80" w:type="dxa"/>
            <w:vAlign w:val="bottom"/>
            <w:shd w:val="clear" w:color="auto" w:fill="E5F1EE"/>
          </w:tcPr>
          <w:p>
            <w:pPr>
              <w:spacing w:after="0"/>
              <w:rPr>
                <w:sz w:val="9"/>
                <w:szCs w:val="9"/>
                <w:color w:val="auto"/>
              </w:rPr>
            </w:pPr>
          </w:p>
        </w:tc>
        <w:tc>
          <w:tcPr>
            <w:tcW w:w="120" w:type="dxa"/>
            <w:vAlign w:val="bottom"/>
            <w:tcBorders>
              <w:bottom w:val="single" w:sz="8" w:color="auto"/>
            </w:tcBorders>
            <w:shd w:val="clear" w:color="auto" w:fill="E5F1EE"/>
          </w:tcPr>
          <w:p>
            <w:pPr>
              <w:spacing w:after="0"/>
              <w:rPr>
                <w:sz w:val="9"/>
                <w:szCs w:val="9"/>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135,723</w:t>
            </w:r>
          </w:p>
        </w:tc>
        <w:tc>
          <w:tcPr>
            <w:tcW w:w="6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6.17</w:t>
            </w:r>
          </w:p>
        </w:tc>
        <w:tc>
          <w:tcPr>
            <w:tcW w:w="20" w:type="dxa"/>
            <w:vAlign w:val="bottom"/>
            <w:shd w:val="clear" w:color="auto" w:fill="E5F1EE"/>
          </w:tcPr>
          <w:p>
            <w:pPr>
              <w:spacing w:after="0"/>
              <w:rPr>
                <w:sz w:val="9"/>
                <w:szCs w:val="9"/>
                <w:color w:val="auto"/>
              </w:rPr>
            </w:pPr>
          </w:p>
        </w:tc>
        <w:tc>
          <w:tcPr>
            <w:tcW w:w="60" w:type="dxa"/>
            <w:vAlign w:val="bottom"/>
            <w:shd w:val="clear" w:color="auto" w:fill="E5F1EE"/>
          </w:tcPr>
          <w:p>
            <w:pPr>
              <w:spacing w:after="0"/>
              <w:rPr>
                <w:sz w:val="9"/>
                <w:szCs w:val="9"/>
                <w:color w:val="auto"/>
              </w:rPr>
            </w:pPr>
          </w:p>
        </w:tc>
        <w:tc>
          <w:tcPr>
            <w:tcW w:w="760" w:type="dxa"/>
            <w:vAlign w:val="bottom"/>
            <w:shd w:val="clear" w:color="auto" w:fill="E5F1EE"/>
          </w:tcPr>
          <w:p>
            <w:pPr>
              <w:spacing w:after="0"/>
              <w:rPr>
                <w:sz w:val="9"/>
                <w:szCs w:val="9"/>
                <w:color w:val="auto"/>
              </w:rPr>
            </w:pPr>
          </w:p>
        </w:tc>
        <w:tc>
          <w:tcPr>
            <w:tcW w:w="1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shd w:val="clear" w:color="auto" w:fill="E5F1EE"/>
          </w:tcPr>
          <w:p>
            <w:pPr>
              <w:spacing w:after="0"/>
              <w:rPr>
                <w:sz w:val="9"/>
                <w:szCs w:val="9"/>
                <w:color w:val="auto"/>
              </w:rPr>
            </w:pPr>
          </w:p>
        </w:tc>
        <w:tc>
          <w:tcPr>
            <w:tcW w:w="60" w:type="dxa"/>
            <w:vAlign w:val="bottom"/>
            <w:shd w:val="clear" w:color="auto" w:fill="E5F1EE"/>
          </w:tcPr>
          <w:p>
            <w:pPr>
              <w:spacing w:after="0"/>
              <w:rPr>
                <w:sz w:val="9"/>
                <w:szCs w:val="9"/>
                <w:color w:val="auto"/>
              </w:rPr>
            </w:pPr>
          </w:p>
        </w:tc>
        <w:tc>
          <w:tcPr>
            <w:tcW w:w="740" w:type="dxa"/>
            <w:vAlign w:val="bottom"/>
            <w:shd w:val="clear" w:color="auto" w:fill="E5F1EE"/>
          </w:tcPr>
          <w:p>
            <w:pPr>
              <w:spacing w:after="0"/>
              <w:rPr>
                <w:sz w:val="9"/>
                <w:szCs w:val="9"/>
                <w:color w:val="auto"/>
              </w:rPr>
            </w:pPr>
          </w:p>
        </w:tc>
        <w:tc>
          <w:tcPr>
            <w:tcW w:w="2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shd w:val="clear" w:color="auto" w:fill="E5F1EE"/>
          </w:tcPr>
          <w:p>
            <w:pPr>
              <w:spacing w:after="0"/>
              <w:rPr>
                <w:sz w:val="9"/>
                <w:szCs w:val="9"/>
                <w:color w:val="auto"/>
              </w:rPr>
            </w:pPr>
          </w:p>
        </w:tc>
        <w:tc>
          <w:tcPr>
            <w:tcW w:w="80" w:type="dxa"/>
            <w:vAlign w:val="bottom"/>
            <w:shd w:val="clear" w:color="auto" w:fill="E5F1EE"/>
          </w:tcPr>
          <w:p>
            <w:pPr>
              <w:spacing w:after="0"/>
              <w:rPr>
                <w:sz w:val="9"/>
                <w:szCs w:val="9"/>
                <w:color w:val="auto"/>
              </w:rPr>
            </w:pPr>
          </w:p>
        </w:tc>
        <w:tc>
          <w:tcPr>
            <w:tcW w:w="120" w:type="dxa"/>
            <w:vAlign w:val="bottom"/>
            <w:tcBorders>
              <w:bottom w:val="single" w:sz="8" w:color="auto"/>
            </w:tcBorders>
            <w:shd w:val="clear" w:color="auto" w:fill="E5F1EE"/>
          </w:tcPr>
          <w:p>
            <w:pPr>
              <w:spacing w:after="0"/>
              <w:rPr>
                <w:sz w:val="9"/>
                <w:szCs w:val="9"/>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136,103</w:t>
            </w:r>
          </w:p>
        </w:tc>
        <w:tc>
          <w:tcPr>
            <w:tcW w:w="80" w:type="dxa"/>
            <w:vAlign w:val="bottom"/>
            <w:shd w:val="clear" w:color="auto" w:fill="E5F1EE"/>
          </w:tcPr>
          <w:p>
            <w:pPr>
              <w:spacing w:after="0"/>
              <w:rPr>
                <w:sz w:val="9"/>
                <w:szCs w:val="9"/>
                <w:color w:val="auto"/>
              </w:rPr>
            </w:pPr>
          </w:p>
        </w:tc>
        <w:tc>
          <w:tcPr>
            <w:tcW w:w="4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6.08</w:t>
            </w:r>
          </w:p>
        </w:tc>
        <w:tc>
          <w:tcPr>
            <w:tcW w:w="20" w:type="dxa"/>
            <w:vAlign w:val="bottom"/>
            <w:shd w:val="clear" w:color="auto" w:fill="E5F1EE"/>
          </w:tcPr>
          <w:p>
            <w:pPr>
              <w:spacing w:after="0"/>
              <w:rPr>
                <w:sz w:val="9"/>
                <w:szCs w:val="9"/>
                <w:color w:val="auto"/>
              </w:rPr>
            </w:pPr>
          </w:p>
        </w:tc>
        <w:tc>
          <w:tcPr>
            <w:tcW w:w="60" w:type="dxa"/>
            <w:vAlign w:val="bottom"/>
            <w:shd w:val="clear" w:color="auto" w:fill="E5F1EE"/>
          </w:tcPr>
          <w:p>
            <w:pPr>
              <w:spacing w:after="0"/>
              <w:rPr>
                <w:sz w:val="9"/>
                <w:szCs w:val="9"/>
                <w:color w:val="auto"/>
              </w:rPr>
            </w:pPr>
          </w:p>
        </w:tc>
        <w:tc>
          <w:tcPr>
            <w:tcW w:w="180" w:type="dxa"/>
            <w:vAlign w:val="bottom"/>
            <w:tcBorders>
              <w:bottom w:val="single" w:sz="8" w:color="auto"/>
            </w:tcBorders>
            <w:shd w:val="clear" w:color="auto" w:fill="E5F1EE"/>
          </w:tcPr>
          <w:p>
            <w:pPr>
              <w:spacing w:after="0"/>
              <w:rPr>
                <w:sz w:val="9"/>
                <w:szCs w:val="9"/>
                <w:color w:val="auto"/>
              </w:rPr>
            </w:pPr>
          </w:p>
        </w:tc>
        <w:tc>
          <w:tcPr>
            <w:tcW w:w="4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134,717</w:t>
            </w:r>
          </w:p>
        </w:tc>
        <w:tc>
          <w:tcPr>
            <w:tcW w:w="80" w:type="dxa"/>
            <w:vAlign w:val="bottom"/>
            <w:shd w:val="clear" w:color="auto" w:fill="E5F1EE"/>
          </w:tcPr>
          <w:p>
            <w:pPr>
              <w:spacing w:after="0"/>
              <w:rPr>
                <w:sz w:val="9"/>
                <w:szCs w:val="9"/>
                <w:color w:val="auto"/>
              </w:rPr>
            </w:pPr>
          </w:p>
        </w:tc>
        <w:tc>
          <w:tcPr>
            <w:tcW w:w="4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6.31</w:t>
            </w:r>
          </w:p>
        </w:tc>
        <w:tc>
          <w:tcPr>
            <w:tcW w:w="20" w:type="dxa"/>
            <w:vAlign w:val="bottom"/>
            <w:shd w:val="clear" w:color="auto" w:fill="E5F1EE"/>
          </w:tcPr>
          <w:p>
            <w:pPr>
              <w:spacing w:after="0"/>
              <w:rPr>
                <w:sz w:val="9"/>
                <w:szCs w:val="9"/>
                <w:color w:val="auto"/>
              </w:rPr>
            </w:pPr>
          </w:p>
        </w:tc>
        <w:tc>
          <w:tcPr>
            <w:tcW w:w="6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shd w:val="clear" w:color="auto" w:fill="E5F1EE"/>
          </w:tcPr>
          <w:p>
            <w:pPr>
              <w:spacing w:after="0"/>
              <w:rPr>
                <w:sz w:val="9"/>
                <w:szCs w:val="9"/>
                <w:color w:val="auto"/>
              </w:rPr>
            </w:pPr>
          </w:p>
        </w:tc>
      </w:tr>
      <w:tr>
        <w:trPr>
          <w:trHeight w:val="96"/>
        </w:trPr>
        <w:tc>
          <w:tcPr>
            <w:tcW w:w="2440" w:type="dxa"/>
            <w:vAlign w:val="bottom"/>
          </w:tcPr>
          <w:p>
            <w:pPr>
              <w:spacing w:after="0" w:line="89" w:lineRule="exact"/>
              <w:rPr>
                <w:sz w:val="20"/>
                <w:szCs w:val="20"/>
                <w:color w:val="auto"/>
              </w:rPr>
            </w:pPr>
            <w:r>
              <w:rPr>
                <w:rFonts w:ascii="Times New Roman" w:cs="Times New Roman" w:eastAsia="Times New Roman" w:hAnsi="Times New Roman"/>
                <w:sz w:val="8"/>
                <w:szCs w:val="8"/>
                <w:b w:val="1"/>
                <w:bCs w:val="1"/>
                <w:color w:val="auto"/>
              </w:rPr>
              <w:t>Total earning assets</w:t>
            </w:r>
          </w:p>
        </w:tc>
        <w:tc>
          <w:tcPr>
            <w:tcW w:w="12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192,366</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5.46</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190,920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5.59</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193,106</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5.60</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190,744</w:t>
            </w:r>
          </w:p>
        </w:tc>
        <w:tc>
          <w:tcPr>
            <w:tcW w:w="8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5.52</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192,818</w:t>
            </w: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5.74</w:t>
            </w:r>
          </w:p>
        </w:tc>
        <w:tc>
          <w:tcPr>
            <w:tcW w:w="20" w:type="dxa"/>
            <w:vAlign w:val="bottom"/>
          </w:tcPr>
          <w:p>
            <w:pPr>
              <w:spacing w:after="0"/>
              <w:rPr>
                <w:sz w:val="8"/>
                <w:szCs w:val="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tcPr>
          <w:p>
            <w:pPr>
              <w:spacing w:after="0"/>
              <w:rPr>
                <w:sz w:val="8"/>
                <w:szCs w:val="8"/>
                <w:color w:val="auto"/>
              </w:rPr>
            </w:pPr>
          </w:p>
        </w:tc>
      </w:tr>
      <w:tr>
        <w:trPr>
          <w:trHeight w:val="127"/>
        </w:trPr>
        <w:tc>
          <w:tcPr>
            <w:tcW w:w="24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Goodwill</w:t>
            </w:r>
          </w:p>
        </w:tc>
        <w:tc>
          <w:tcPr>
            <w:tcW w:w="120" w:type="dxa"/>
            <w:vAlign w:val="bottom"/>
            <w:shd w:val="clear" w:color="auto" w:fill="E5F1EE"/>
          </w:tcPr>
          <w:p>
            <w:pPr>
              <w:spacing w:after="0"/>
              <w:rPr>
                <w:sz w:val="11"/>
                <w:szCs w:val="11"/>
                <w:color w:val="auto"/>
              </w:rPr>
            </w:pPr>
          </w:p>
        </w:tc>
        <w:tc>
          <w:tcPr>
            <w:tcW w:w="5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8,465</w:t>
            </w: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6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8,465</w:t>
            </w: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3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8,465</w:t>
            </w:r>
          </w:p>
        </w:tc>
        <w:tc>
          <w:tcPr>
            <w:tcW w:w="6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3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60" w:type="dxa"/>
            <w:vAlign w:val="bottom"/>
            <w:shd w:val="clear" w:color="auto" w:fill="E5F1EE"/>
          </w:tcPr>
          <w:p>
            <w:pPr>
              <w:spacing w:after="0"/>
              <w:rPr>
                <w:sz w:val="11"/>
                <w:szCs w:val="11"/>
                <w:color w:val="auto"/>
              </w:rPr>
            </w:pPr>
          </w:p>
        </w:tc>
        <w:tc>
          <w:tcPr>
            <w:tcW w:w="760" w:type="dxa"/>
            <w:vAlign w:val="bottom"/>
            <w:shd w:val="clear" w:color="auto" w:fill="E5F1EE"/>
          </w:tcPr>
          <w:p>
            <w:pPr>
              <w:spacing w:after="0"/>
              <w:rPr>
                <w:sz w:val="11"/>
                <w:szCs w:val="11"/>
                <w:color w:val="auto"/>
              </w:rPr>
            </w:pPr>
          </w:p>
        </w:tc>
        <w:tc>
          <w:tcPr>
            <w:tcW w:w="1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E5F1EE"/>
          </w:tcPr>
          <w:p>
            <w:pPr>
              <w:spacing w:after="0"/>
              <w:rPr>
                <w:sz w:val="11"/>
                <w:szCs w:val="11"/>
                <w:color w:val="auto"/>
              </w:rPr>
            </w:pPr>
          </w:p>
        </w:tc>
        <w:tc>
          <w:tcPr>
            <w:tcW w:w="60" w:type="dxa"/>
            <w:vAlign w:val="bottom"/>
            <w:shd w:val="clear" w:color="auto" w:fill="E5F1EE"/>
          </w:tcPr>
          <w:p>
            <w:pPr>
              <w:spacing w:after="0"/>
              <w:rPr>
                <w:sz w:val="11"/>
                <w:szCs w:val="11"/>
                <w:color w:val="auto"/>
              </w:rPr>
            </w:pPr>
          </w:p>
        </w:tc>
        <w:tc>
          <w:tcPr>
            <w:tcW w:w="740" w:type="dxa"/>
            <w:vAlign w:val="bottom"/>
            <w:shd w:val="clear" w:color="auto" w:fill="E5F1EE"/>
          </w:tcPr>
          <w:p>
            <w:pPr>
              <w:spacing w:after="0"/>
              <w:rPr>
                <w:sz w:val="11"/>
                <w:szCs w:val="11"/>
                <w:color w:val="auto"/>
              </w:rPr>
            </w:pPr>
          </w:p>
        </w:tc>
        <w:tc>
          <w:tcPr>
            <w:tcW w:w="2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E5F1EE"/>
          </w:tcPr>
          <w:p>
            <w:pPr>
              <w:spacing w:after="0"/>
              <w:rPr>
                <w:sz w:val="11"/>
                <w:szCs w:val="11"/>
                <w:color w:val="auto"/>
              </w:rPr>
            </w:pP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8,465</w:t>
            </w:r>
          </w:p>
        </w:tc>
        <w:tc>
          <w:tcPr>
            <w:tcW w:w="80" w:type="dxa"/>
            <w:vAlign w:val="bottom"/>
            <w:shd w:val="clear" w:color="auto" w:fill="E5F1EE"/>
          </w:tcPr>
          <w:p>
            <w:pPr>
              <w:spacing w:after="0"/>
              <w:rPr>
                <w:sz w:val="11"/>
                <w:szCs w:val="11"/>
                <w:color w:val="auto"/>
              </w:rPr>
            </w:pPr>
          </w:p>
        </w:tc>
        <w:tc>
          <w:tcPr>
            <w:tcW w:w="44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6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4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8,465</w:t>
            </w:r>
          </w:p>
        </w:tc>
        <w:tc>
          <w:tcPr>
            <w:tcW w:w="80" w:type="dxa"/>
            <w:vAlign w:val="bottom"/>
            <w:shd w:val="clear" w:color="auto" w:fill="E5F1EE"/>
          </w:tcPr>
          <w:p>
            <w:pPr>
              <w:spacing w:after="0"/>
              <w:rPr>
                <w:sz w:val="11"/>
                <w:szCs w:val="11"/>
                <w:color w:val="auto"/>
              </w:rPr>
            </w:pPr>
          </w:p>
        </w:tc>
        <w:tc>
          <w:tcPr>
            <w:tcW w:w="42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80" w:type="dxa"/>
            <w:vAlign w:val="bottom"/>
            <w:shd w:val="clear" w:color="auto" w:fill="E5F1EE"/>
          </w:tcPr>
          <w:p>
            <w:pPr>
              <w:spacing w:after="0"/>
              <w:rPr>
                <w:sz w:val="11"/>
                <w:szCs w:val="11"/>
                <w:color w:val="auto"/>
              </w:rPr>
            </w:pPr>
          </w:p>
        </w:tc>
        <w:tc>
          <w:tcPr>
            <w:tcW w:w="5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E5F1EE"/>
          </w:tcPr>
          <w:p>
            <w:pPr>
              <w:spacing w:after="0"/>
              <w:rPr>
                <w:sz w:val="11"/>
                <w:szCs w:val="11"/>
                <w:color w:val="auto"/>
              </w:rPr>
            </w:pPr>
          </w:p>
        </w:tc>
      </w:tr>
      <w:tr>
        <w:trPr>
          <w:trHeight w:val="112"/>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Core deposit and other intangible assets</w:t>
            </w:r>
          </w:p>
        </w:tc>
        <w:tc>
          <w:tcPr>
            <w:tcW w:w="12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82</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120</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-32</w:t>
            </w:r>
          </w:p>
        </w:tc>
        <w:tc>
          <w:tcPr>
            <w:tcW w:w="20" w:type="dxa"/>
            <w:vAlign w:val="bottom"/>
          </w:tcPr>
          <w:p>
            <w:pPr>
              <w:spacing w:after="0"/>
              <w:rPr>
                <w:sz w:val="9"/>
                <w:szCs w:val="9"/>
                <w:color w:val="auto"/>
              </w:rPr>
            </w:pPr>
          </w:p>
        </w:tc>
      </w:tr>
      <w:tr>
        <w:trPr>
          <w:trHeight w:val="122"/>
        </w:trPr>
        <w:tc>
          <w:tcPr>
            <w:tcW w:w="24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Other assets</w:t>
            </w:r>
          </w:p>
        </w:tc>
        <w:tc>
          <w:tcPr>
            <w:tcW w:w="120" w:type="dxa"/>
            <w:vAlign w:val="bottom"/>
            <w:tcBorders>
              <w:bottom w:val="single" w:sz="8" w:color="auto"/>
            </w:tcBorders>
            <w:shd w:val="clear" w:color="auto" w:fill="E5F1EE"/>
          </w:tcPr>
          <w:p>
            <w:pPr>
              <w:spacing w:after="0"/>
              <w:rPr>
                <w:sz w:val="10"/>
                <w:szCs w:val="10"/>
                <w:color w:val="auto"/>
              </w:rPr>
            </w:pPr>
          </w:p>
        </w:tc>
        <w:tc>
          <w:tcPr>
            <w:tcW w:w="5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11,991</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11,589</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10,182</w:t>
            </w: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40" w:type="dxa"/>
            <w:vAlign w:val="bottom"/>
            <w:shd w:val="clear" w:color="auto" w:fill="E5F1EE"/>
          </w:tcPr>
          <w:p>
            <w:pPr>
              <w:spacing w:after="0"/>
              <w:rPr>
                <w:sz w:val="10"/>
                <w:szCs w:val="10"/>
                <w:color w:val="auto"/>
              </w:rPr>
            </w:pPr>
          </w:p>
        </w:tc>
        <w:tc>
          <w:tcPr>
            <w:tcW w:w="2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18</w:t>
            </w: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11,354</w:t>
            </w:r>
          </w:p>
        </w:tc>
        <w:tc>
          <w:tcPr>
            <w:tcW w:w="80" w:type="dxa"/>
            <w:vAlign w:val="bottom"/>
            <w:shd w:val="clear" w:color="auto" w:fill="E5F1EE"/>
          </w:tcPr>
          <w:p>
            <w:pPr>
              <w:spacing w:after="0"/>
              <w:rPr>
                <w:sz w:val="10"/>
                <w:szCs w:val="10"/>
                <w:color w:val="auto"/>
              </w:rPr>
            </w:pPr>
          </w:p>
        </w:tc>
        <w:tc>
          <w:tcPr>
            <w:tcW w:w="44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80" w:type="dxa"/>
            <w:vAlign w:val="bottom"/>
            <w:tcBorders>
              <w:bottom w:val="single" w:sz="8" w:color="auto"/>
            </w:tcBorders>
            <w:shd w:val="clear" w:color="auto" w:fill="E5F1EE"/>
          </w:tcPr>
          <w:p>
            <w:pPr>
              <w:spacing w:after="0"/>
              <w:rPr>
                <w:sz w:val="10"/>
                <w:szCs w:val="10"/>
                <w:color w:val="auto"/>
              </w:rPr>
            </w:pPr>
          </w:p>
        </w:tc>
        <w:tc>
          <w:tcPr>
            <w:tcW w:w="4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9,817</w:t>
            </w:r>
          </w:p>
        </w:tc>
        <w:tc>
          <w:tcPr>
            <w:tcW w:w="80" w:type="dxa"/>
            <w:vAlign w:val="bottom"/>
            <w:shd w:val="clear" w:color="auto" w:fill="E5F1EE"/>
          </w:tcPr>
          <w:p>
            <w:pPr>
              <w:spacing w:after="0"/>
              <w:rPr>
                <w:sz w:val="10"/>
                <w:szCs w:val="10"/>
                <w:color w:val="auto"/>
              </w:rPr>
            </w:pPr>
          </w:p>
        </w:tc>
        <w:tc>
          <w:tcPr>
            <w:tcW w:w="4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16</w:t>
            </w:r>
          </w:p>
        </w:tc>
        <w:tc>
          <w:tcPr>
            <w:tcW w:w="20" w:type="dxa"/>
            <w:vAlign w:val="bottom"/>
            <w:shd w:val="clear" w:color="auto" w:fill="E5F1EE"/>
          </w:tcPr>
          <w:p>
            <w:pPr>
              <w:spacing w:after="0"/>
              <w:rPr>
                <w:sz w:val="10"/>
                <w:szCs w:val="10"/>
                <w:color w:val="auto"/>
              </w:rPr>
            </w:pPr>
          </w:p>
        </w:tc>
      </w:tr>
      <w:tr>
        <w:trPr>
          <w:trHeight w:val="122"/>
        </w:trPr>
        <w:tc>
          <w:tcPr>
            <w:tcW w:w="24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8"/>
                <w:szCs w:val="8"/>
                <w:color w:val="auto"/>
              </w:rPr>
              <w:t>Total assets</w:t>
            </w: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212,891</w:t>
            </w: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E5F1EE"/>
            </w:tcBorders>
          </w:tcPr>
          <w:p>
            <w:pPr>
              <w:spacing w:after="0"/>
              <w:rPr>
                <w:sz w:val="10"/>
                <w:szCs w:val="10"/>
                <w:color w:val="auto"/>
              </w:rPr>
            </w:pPr>
          </w:p>
        </w:tc>
        <w:tc>
          <w:tcPr>
            <w:tcW w:w="320" w:type="dxa"/>
            <w:vAlign w:val="bottom"/>
            <w:tcBorders>
              <w:bottom w:val="single" w:sz="8" w:color="E5F1EE"/>
            </w:tcBorders>
          </w:tcPr>
          <w:p>
            <w:pPr>
              <w:spacing w:after="0"/>
              <w:rPr>
                <w:sz w:val="10"/>
                <w:szCs w:val="10"/>
                <w:color w:val="auto"/>
              </w:rPr>
            </w:pPr>
          </w:p>
        </w:tc>
        <w:tc>
          <w:tcPr>
            <w:tcW w:w="20" w:type="dxa"/>
            <w:vAlign w:val="bottom"/>
            <w:tcBorders>
              <w:bottom w:val="single" w:sz="8" w:color="E5F1EE"/>
            </w:tcBorders>
          </w:tcPr>
          <w:p>
            <w:pPr>
              <w:spacing w:after="0"/>
              <w:rPr>
                <w:sz w:val="10"/>
                <w:szCs w:val="10"/>
                <w:color w:val="auto"/>
              </w:rPr>
            </w:pPr>
          </w:p>
        </w:tc>
        <w:tc>
          <w:tcPr>
            <w:tcW w:w="6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211,053</w:t>
            </w: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E5F1EE"/>
            </w:tcBorders>
          </w:tcPr>
          <w:p>
            <w:pPr>
              <w:spacing w:after="0"/>
              <w:rPr>
                <w:sz w:val="10"/>
                <w:szCs w:val="10"/>
                <w:color w:val="auto"/>
              </w:rPr>
            </w:pPr>
          </w:p>
        </w:tc>
        <w:tc>
          <w:tcPr>
            <w:tcW w:w="300" w:type="dxa"/>
            <w:vAlign w:val="bottom"/>
            <w:tcBorders>
              <w:bottom w:val="single" w:sz="8" w:color="E5F1EE"/>
            </w:tcBorders>
          </w:tcPr>
          <w:p>
            <w:pPr>
              <w:spacing w:after="0"/>
              <w:rPr>
                <w:sz w:val="10"/>
                <w:szCs w:val="10"/>
                <w:color w:val="auto"/>
              </w:rPr>
            </w:pPr>
          </w:p>
        </w:tc>
        <w:tc>
          <w:tcPr>
            <w:tcW w:w="20" w:type="dxa"/>
            <w:vAlign w:val="bottom"/>
            <w:tcBorders>
              <w:bottom w:val="single" w:sz="8" w:color="E5F1EE"/>
            </w:tcBorders>
          </w:tcPr>
          <w:p>
            <w:pPr>
              <w:spacing w:after="0"/>
              <w:rPr>
                <w:sz w:val="10"/>
                <w:szCs w:val="10"/>
                <w:color w:val="auto"/>
              </w:rPr>
            </w:pP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211,853</w:t>
            </w:r>
          </w:p>
        </w:tc>
        <w:tc>
          <w:tcPr>
            <w:tcW w:w="60" w:type="dxa"/>
            <w:vAlign w:val="bottom"/>
            <w:tcBorders>
              <w:bottom w:val="single" w:sz="8" w:color="E5F1EE"/>
            </w:tcBorders>
          </w:tcPr>
          <w:p>
            <w:pPr>
              <w:spacing w:after="0"/>
              <w:rPr>
                <w:sz w:val="10"/>
                <w:szCs w:val="10"/>
                <w:color w:val="auto"/>
              </w:rPr>
            </w:pPr>
          </w:p>
        </w:tc>
        <w:tc>
          <w:tcPr>
            <w:tcW w:w="120" w:type="dxa"/>
            <w:vAlign w:val="bottom"/>
            <w:tcBorders>
              <w:bottom w:val="single" w:sz="8" w:color="E5F1EE"/>
            </w:tcBorders>
          </w:tcPr>
          <w:p>
            <w:pPr>
              <w:spacing w:after="0"/>
              <w:rPr>
                <w:sz w:val="10"/>
                <w:szCs w:val="10"/>
                <w:color w:val="auto"/>
              </w:rPr>
            </w:pPr>
          </w:p>
        </w:tc>
        <w:tc>
          <w:tcPr>
            <w:tcW w:w="300" w:type="dxa"/>
            <w:vAlign w:val="bottom"/>
            <w:tcBorders>
              <w:bottom w:val="single" w:sz="8" w:color="E5F1EE"/>
            </w:tcBorders>
          </w:tcPr>
          <w:p>
            <w:pPr>
              <w:spacing w:after="0"/>
              <w:rPr>
                <w:sz w:val="10"/>
                <w:szCs w:val="10"/>
                <w:color w:val="auto"/>
              </w:rPr>
            </w:pPr>
          </w:p>
        </w:tc>
        <w:tc>
          <w:tcPr>
            <w:tcW w:w="20" w:type="dxa"/>
            <w:vAlign w:val="bottom"/>
            <w:tcBorders>
              <w:bottom w:val="single" w:sz="8" w:color="E5F1EE"/>
            </w:tcBorders>
          </w:tcPr>
          <w:p>
            <w:pPr>
              <w:spacing w:after="0"/>
              <w:rPr>
                <w:sz w:val="10"/>
                <w:szCs w:val="10"/>
                <w:color w:val="auto"/>
              </w:rPr>
            </w:pPr>
          </w:p>
        </w:tc>
        <w:tc>
          <w:tcPr>
            <w:tcW w:w="60" w:type="dxa"/>
            <w:vAlign w:val="bottom"/>
            <w:tcBorders>
              <w:bottom w:val="single" w:sz="8" w:color="E5F1EE"/>
            </w:tcBorders>
          </w:tcPr>
          <w:p>
            <w:pPr>
              <w:spacing w:after="0"/>
              <w:rPr>
                <w:sz w:val="10"/>
                <w:szCs w:val="10"/>
                <w:color w:val="auto"/>
              </w:rPr>
            </w:pPr>
          </w:p>
        </w:tc>
        <w:tc>
          <w:tcPr>
            <w:tcW w:w="760" w:type="dxa"/>
            <w:vAlign w:val="bottom"/>
            <w:tcBorders>
              <w:bottom w:val="single" w:sz="8" w:color="E5F1EE"/>
            </w:tcBorders>
          </w:tcPr>
          <w:p>
            <w:pPr>
              <w:spacing w:after="0"/>
              <w:rPr>
                <w:sz w:val="10"/>
                <w:szCs w:val="10"/>
                <w:color w:val="auto"/>
              </w:rPr>
            </w:pPr>
          </w:p>
        </w:tc>
        <w:tc>
          <w:tcPr>
            <w:tcW w:w="200" w:type="dxa"/>
            <w:vAlign w:val="bottom"/>
            <w:tcBorders>
              <w:bottom w:val="single" w:sz="8" w:color="E5F1EE"/>
            </w:tcBorders>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1 %</w:t>
            </w:r>
          </w:p>
        </w:tc>
        <w:tc>
          <w:tcPr>
            <w:tcW w:w="60" w:type="dxa"/>
            <w:vAlign w:val="bottom"/>
            <w:tcBorders>
              <w:bottom w:val="single" w:sz="8" w:color="E5F1EE"/>
            </w:tcBorders>
          </w:tcPr>
          <w:p>
            <w:pPr>
              <w:spacing w:after="0"/>
              <w:rPr>
                <w:sz w:val="10"/>
                <w:szCs w:val="10"/>
                <w:color w:val="auto"/>
              </w:rPr>
            </w:pPr>
          </w:p>
        </w:tc>
        <w:tc>
          <w:tcPr>
            <w:tcW w:w="740" w:type="dxa"/>
            <w:vAlign w:val="bottom"/>
            <w:tcBorders>
              <w:bottom w:val="single" w:sz="8" w:color="E5F1EE"/>
            </w:tcBorders>
          </w:tcPr>
          <w:p>
            <w:pPr>
              <w:spacing w:after="0"/>
              <w:rPr>
                <w:sz w:val="10"/>
                <w:szCs w:val="10"/>
                <w:color w:val="auto"/>
              </w:rPr>
            </w:pPr>
          </w:p>
        </w:tc>
        <w:tc>
          <w:tcPr>
            <w:tcW w:w="220" w:type="dxa"/>
            <w:vAlign w:val="bottom"/>
            <w:tcBorders>
              <w:bottom w:val="single" w:sz="8" w:color="E5F1EE"/>
            </w:tcBorders>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 %</w:t>
            </w: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210,645</w:t>
            </w:r>
          </w:p>
        </w:tc>
        <w:tc>
          <w:tcPr>
            <w:tcW w:w="80" w:type="dxa"/>
            <w:vAlign w:val="bottom"/>
            <w:tcBorders>
              <w:bottom w:val="single" w:sz="8" w:color="E5F1EE"/>
            </w:tcBorders>
          </w:tcPr>
          <w:p>
            <w:pPr>
              <w:spacing w:after="0"/>
              <w:rPr>
                <w:sz w:val="10"/>
                <w:szCs w:val="10"/>
                <w:color w:val="auto"/>
              </w:rPr>
            </w:pPr>
          </w:p>
        </w:tc>
        <w:tc>
          <w:tcPr>
            <w:tcW w:w="440" w:type="dxa"/>
            <w:vAlign w:val="bottom"/>
            <w:tcBorders>
              <w:bottom w:val="single" w:sz="8" w:color="E5F1EE"/>
            </w:tcBorders>
          </w:tcPr>
          <w:p>
            <w:pPr>
              <w:spacing w:after="0"/>
              <w:rPr>
                <w:sz w:val="10"/>
                <w:szCs w:val="10"/>
                <w:color w:val="auto"/>
              </w:rPr>
            </w:pPr>
          </w:p>
        </w:tc>
        <w:tc>
          <w:tcPr>
            <w:tcW w:w="20" w:type="dxa"/>
            <w:vAlign w:val="bottom"/>
            <w:tcBorders>
              <w:bottom w:val="single" w:sz="8" w:color="E5F1EE"/>
            </w:tcBorders>
          </w:tcPr>
          <w:p>
            <w:pPr>
              <w:spacing w:after="0"/>
              <w:rPr>
                <w:sz w:val="10"/>
                <w:szCs w:val="10"/>
                <w:color w:val="auto"/>
              </w:rPr>
            </w:pPr>
          </w:p>
        </w:tc>
        <w:tc>
          <w:tcPr>
            <w:tcW w:w="6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211,220</w:t>
            </w:r>
          </w:p>
        </w:tc>
        <w:tc>
          <w:tcPr>
            <w:tcW w:w="80" w:type="dxa"/>
            <w:vAlign w:val="bottom"/>
            <w:tcBorders>
              <w:bottom w:val="single" w:sz="8" w:color="E5F1EE"/>
            </w:tcBorders>
          </w:tcPr>
          <w:p>
            <w:pPr>
              <w:spacing w:after="0"/>
              <w:rPr>
                <w:sz w:val="10"/>
                <w:szCs w:val="10"/>
                <w:color w:val="auto"/>
              </w:rPr>
            </w:pPr>
          </w:p>
        </w:tc>
        <w:tc>
          <w:tcPr>
            <w:tcW w:w="420" w:type="dxa"/>
            <w:vAlign w:val="bottom"/>
            <w:tcBorders>
              <w:bottom w:val="single" w:sz="8" w:color="E5F1EE"/>
            </w:tcBorders>
          </w:tcPr>
          <w:p>
            <w:pPr>
              <w:spacing w:after="0"/>
              <w:rPr>
                <w:sz w:val="10"/>
                <w:szCs w:val="10"/>
                <w:color w:val="auto"/>
              </w:rPr>
            </w:pPr>
          </w:p>
        </w:tc>
        <w:tc>
          <w:tcPr>
            <w:tcW w:w="20" w:type="dxa"/>
            <w:vAlign w:val="bottom"/>
            <w:tcBorders>
              <w:bottom w:val="single" w:sz="8" w:color="E5F1EE"/>
            </w:tcBorders>
          </w:tcPr>
          <w:p>
            <w:pPr>
              <w:spacing w:after="0"/>
              <w:rPr>
                <w:sz w:val="10"/>
                <w:szCs w:val="10"/>
                <w:color w:val="auto"/>
              </w:rPr>
            </w:pPr>
          </w:p>
        </w:tc>
        <w:tc>
          <w:tcPr>
            <w:tcW w:w="80" w:type="dxa"/>
            <w:vAlign w:val="bottom"/>
            <w:tcBorders>
              <w:bottom w:val="single" w:sz="8" w:color="E5F1EE"/>
            </w:tcBorders>
          </w:tcPr>
          <w:p>
            <w:pPr>
              <w:spacing w:after="0"/>
              <w:rPr>
                <w:sz w:val="10"/>
                <w:szCs w:val="10"/>
                <w:color w:val="auto"/>
              </w:rPr>
            </w:pPr>
          </w:p>
        </w:tc>
        <w:tc>
          <w:tcPr>
            <w:tcW w:w="600" w:type="dxa"/>
            <w:vAlign w:val="bottom"/>
            <w:tcBorders>
              <w:bottom w:val="single" w:sz="8" w:color="E5F1EE"/>
            </w:tcBorders>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 %</w:t>
            </w:r>
          </w:p>
        </w:tc>
      </w:tr>
      <w:tr>
        <w:trPr>
          <w:trHeight w:val="117"/>
        </w:trPr>
        <w:tc>
          <w:tcPr>
            <w:tcW w:w="244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4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44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46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4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58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r>
      <w:tr>
        <w:trPr>
          <w:trHeight w:val="112"/>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LIABILITIES AND SHAREHOLDERS' EQUITY</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24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Interest-bearing deposits</w:t>
            </w:r>
          </w:p>
        </w:tc>
        <w:tc>
          <w:tcPr>
            <w:tcW w:w="120" w:type="dxa"/>
            <w:vAlign w:val="bottom"/>
            <w:shd w:val="clear" w:color="auto" w:fill="E5F1EE"/>
          </w:tcPr>
          <w:p>
            <w:pPr>
              <w:spacing w:after="0"/>
              <w:rPr>
                <w:sz w:val="10"/>
                <w:szCs w:val="10"/>
                <w:color w:val="auto"/>
              </w:rPr>
            </w:pPr>
          </w:p>
        </w:tc>
        <w:tc>
          <w:tcPr>
            <w:tcW w:w="5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4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44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46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4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58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r>
      <w:tr>
        <w:trPr>
          <w:trHeight w:val="81"/>
        </w:trPr>
        <w:tc>
          <w:tcPr>
            <w:tcW w:w="2440" w:type="dxa"/>
            <w:vAlign w:val="bottom"/>
          </w:tcPr>
          <w:p>
            <w:pPr>
              <w:ind w:left="140"/>
              <w:spacing w:after="0" w:line="81" w:lineRule="exact"/>
              <w:rPr>
                <w:sz w:val="20"/>
                <w:szCs w:val="20"/>
                <w:color w:val="auto"/>
              </w:rPr>
            </w:pPr>
            <w:r>
              <w:rPr>
                <w:rFonts w:ascii="Times New Roman" w:cs="Times New Roman" w:eastAsia="Times New Roman" w:hAnsi="Times New Roman"/>
                <w:sz w:val="8"/>
                <w:szCs w:val="8"/>
                <w:color w:val="auto"/>
              </w:rPr>
              <w:t>Savings and interest-checking</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20"/>
        </w:trPr>
        <w:tc>
          <w:tcPr>
            <w:tcW w:w="2440" w:type="dxa"/>
            <w:vAlign w:val="bottom"/>
          </w:tcPr>
          <w:p>
            <w:pPr>
              <w:ind w:left="280"/>
              <w:spacing w:after="0"/>
              <w:rPr>
                <w:sz w:val="20"/>
                <w:szCs w:val="20"/>
                <w:color w:val="auto"/>
              </w:rPr>
            </w:pPr>
            <w:r>
              <w:rPr>
                <w:rFonts w:ascii="Times New Roman" w:cs="Times New Roman" w:eastAsia="Times New Roman" w:hAnsi="Times New Roman"/>
                <w:sz w:val="8"/>
                <w:szCs w:val="8"/>
                <w:color w:val="auto"/>
              </w:rPr>
              <w:t>deposits</w:t>
            </w: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107,287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2.04 %</w:t>
            </w:r>
          </w:p>
        </w:tc>
        <w:tc>
          <w:tcPr>
            <w:tcW w:w="180" w:type="dxa"/>
            <w:vAlign w:val="bottom"/>
            <w:gridSpan w:val="2"/>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104,660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2.23 %</w:t>
            </w:r>
          </w:p>
        </w:tc>
        <w:tc>
          <w:tcPr>
            <w:tcW w:w="200" w:type="dxa"/>
            <w:vAlign w:val="bottom"/>
            <w:gridSpan w:val="2"/>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102,127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2.44 %</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3 %</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5 %</w:t>
            </w:r>
          </w:p>
        </w:tc>
        <w:tc>
          <w:tcPr>
            <w:tcW w:w="200" w:type="dxa"/>
            <w:vAlign w:val="bottom"/>
            <w:gridSpan w:val="2"/>
          </w:tcPr>
          <w:p>
            <w:pPr>
              <w:jc w:val="right"/>
              <w:ind w:right="54"/>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104,385</w:t>
            </w:r>
          </w:p>
        </w:tc>
        <w:tc>
          <w:tcPr>
            <w:tcW w:w="8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2.17 %</w:t>
            </w:r>
          </w:p>
        </w:tc>
        <w:tc>
          <w:tcPr>
            <w:tcW w:w="240" w:type="dxa"/>
            <w:vAlign w:val="bottom"/>
            <w:gridSpan w:val="2"/>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97,824</w:t>
            </w:r>
          </w:p>
        </w:tc>
        <w:tc>
          <w:tcPr>
            <w:tcW w:w="80" w:type="dxa"/>
            <w:vAlign w:val="bottom"/>
          </w:tcPr>
          <w:p>
            <w:pPr>
              <w:spacing w:after="0"/>
              <w:rPr>
                <w:sz w:val="10"/>
                <w:szCs w:val="1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2.57 %</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7 %</w:t>
            </w:r>
          </w:p>
        </w:tc>
      </w:tr>
      <w:tr>
        <w:trPr>
          <w:trHeight w:val="123"/>
        </w:trPr>
        <w:tc>
          <w:tcPr>
            <w:tcW w:w="244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Time deposits</w:t>
            </w:r>
          </w:p>
        </w:tc>
        <w:tc>
          <w:tcPr>
            <w:tcW w:w="120" w:type="dxa"/>
            <w:vAlign w:val="bottom"/>
            <w:tcBorders>
              <w:bottom w:val="single" w:sz="8" w:color="auto"/>
            </w:tcBorders>
            <w:shd w:val="clear" w:color="auto" w:fill="E5F1EE"/>
          </w:tcPr>
          <w:p>
            <w:pPr>
              <w:spacing w:after="0"/>
              <w:rPr>
                <w:sz w:val="10"/>
                <w:szCs w:val="10"/>
                <w:color w:val="auto"/>
              </w:rPr>
            </w:pPr>
          </w:p>
        </w:tc>
        <w:tc>
          <w:tcPr>
            <w:tcW w:w="5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13,586</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3.18</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13,990</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3.38</w:t>
            </w: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15,958</w:t>
            </w: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3.95</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40" w:type="dxa"/>
            <w:vAlign w:val="bottom"/>
            <w:shd w:val="clear" w:color="auto" w:fill="E5F1EE"/>
          </w:tcPr>
          <w:p>
            <w:pPr>
              <w:spacing w:after="0"/>
              <w:rPr>
                <w:sz w:val="10"/>
                <w:szCs w:val="10"/>
                <w:color w:val="auto"/>
              </w:rPr>
            </w:pPr>
          </w:p>
        </w:tc>
        <w:tc>
          <w:tcPr>
            <w:tcW w:w="2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-15</w:t>
            </w: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14,020</w:t>
            </w:r>
          </w:p>
        </w:tc>
        <w:tc>
          <w:tcPr>
            <w:tcW w:w="80" w:type="dxa"/>
            <w:vAlign w:val="bottom"/>
            <w:shd w:val="clear" w:color="auto" w:fill="E5F1EE"/>
          </w:tcPr>
          <w:p>
            <w:pPr>
              <w:spacing w:after="0"/>
              <w:rPr>
                <w:sz w:val="10"/>
                <w:szCs w:val="10"/>
                <w:color w:val="auto"/>
              </w:rPr>
            </w:pPr>
          </w:p>
        </w:tc>
        <w:tc>
          <w:tcPr>
            <w:tcW w:w="4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3.39</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80" w:type="dxa"/>
            <w:vAlign w:val="bottom"/>
            <w:tcBorders>
              <w:bottom w:val="single" w:sz="8" w:color="auto"/>
            </w:tcBorders>
            <w:shd w:val="clear" w:color="auto" w:fill="E5F1EE"/>
          </w:tcPr>
          <w:p>
            <w:pPr>
              <w:spacing w:after="0"/>
              <w:rPr>
                <w:sz w:val="10"/>
                <w:szCs w:val="10"/>
                <w:color w:val="auto"/>
              </w:rPr>
            </w:pPr>
          </w:p>
        </w:tc>
        <w:tc>
          <w:tcPr>
            <w:tcW w:w="4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18,339</w:t>
            </w:r>
          </w:p>
        </w:tc>
        <w:tc>
          <w:tcPr>
            <w:tcW w:w="80" w:type="dxa"/>
            <w:vAlign w:val="bottom"/>
            <w:shd w:val="clear" w:color="auto" w:fill="E5F1EE"/>
          </w:tcPr>
          <w:p>
            <w:pPr>
              <w:spacing w:after="0"/>
              <w:rPr>
                <w:sz w:val="10"/>
                <w:szCs w:val="10"/>
                <w:color w:val="auto"/>
              </w:rPr>
            </w:pPr>
          </w:p>
        </w:tc>
        <w:tc>
          <w:tcPr>
            <w:tcW w:w="4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4.26</w:t>
            </w:r>
          </w:p>
        </w:tc>
        <w:tc>
          <w:tcPr>
            <w:tcW w:w="20" w:type="dxa"/>
            <w:vAlign w:val="bottom"/>
            <w:shd w:val="clear" w:color="auto" w:fill="E5F1EE"/>
          </w:tcPr>
          <w:p>
            <w:pPr>
              <w:spacing w:after="0"/>
              <w:rPr>
                <w:sz w:val="10"/>
                <w:szCs w:val="10"/>
                <w:color w:val="auto"/>
              </w:rPr>
            </w:pPr>
          </w:p>
        </w:tc>
        <w:tc>
          <w:tcPr>
            <w:tcW w:w="6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-24</w:t>
            </w:r>
          </w:p>
        </w:tc>
        <w:tc>
          <w:tcPr>
            <w:tcW w:w="20" w:type="dxa"/>
            <w:vAlign w:val="bottom"/>
            <w:shd w:val="clear" w:color="auto" w:fill="E5F1EE"/>
          </w:tcPr>
          <w:p>
            <w:pPr>
              <w:spacing w:after="0"/>
              <w:rPr>
                <w:sz w:val="10"/>
                <w:szCs w:val="10"/>
                <w:color w:val="auto"/>
              </w:rPr>
            </w:pPr>
          </w:p>
        </w:tc>
      </w:tr>
      <w:tr>
        <w:trPr>
          <w:trHeight w:val="101"/>
        </w:trPr>
        <w:tc>
          <w:tcPr>
            <w:tcW w:w="2440" w:type="dxa"/>
            <w:vAlign w:val="bottom"/>
            <w:tcBorders>
              <w:bottom w:val="single" w:sz="8" w:color="E5F1EE"/>
            </w:tcBorders>
          </w:tcPr>
          <w:p>
            <w:pPr>
              <w:spacing w:after="0" w:line="87" w:lineRule="exact"/>
              <w:rPr>
                <w:sz w:val="20"/>
                <w:szCs w:val="20"/>
                <w:color w:val="auto"/>
              </w:rPr>
            </w:pPr>
            <w:r>
              <w:rPr>
                <w:rFonts w:ascii="Times New Roman" w:cs="Times New Roman" w:eastAsia="Times New Roman" w:hAnsi="Times New Roman"/>
                <w:sz w:val="8"/>
                <w:szCs w:val="8"/>
                <w:color w:val="auto"/>
              </w:rPr>
              <w:t>Total interest-bearing deposits</w:t>
            </w: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120,873</w:t>
            </w:r>
          </w:p>
        </w:tc>
        <w:tc>
          <w:tcPr>
            <w:tcW w:w="80" w:type="dxa"/>
            <w:vAlign w:val="bottom"/>
            <w:tcBorders>
              <w:bottom w:val="single" w:sz="8" w:color="E5F1EE"/>
            </w:tcBorders>
          </w:tcPr>
          <w:p>
            <w:pPr>
              <w:spacing w:after="0"/>
              <w:rPr>
                <w:sz w:val="8"/>
                <w:szCs w:val="8"/>
                <w:color w:val="auto"/>
              </w:rPr>
            </w:pPr>
          </w:p>
        </w:tc>
        <w:tc>
          <w:tcPr>
            <w:tcW w:w="120" w:type="dxa"/>
            <w:vAlign w:val="bottom"/>
            <w:tcBorders>
              <w:bottom w:val="single" w:sz="8" w:color="E5F1EE"/>
            </w:tcBorders>
          </w:tcPr>
          <w:p>
            <w:pPr>
              <w:spacing w:after="0"/>
              <w:rPr>
                <w:sz w:val="8"/>
                <w:szCs w:val="8"/>
                <w:color w:val="auto"/>
              </w:rPr>
            </w:pPr>
          </w:p>
        </w:tc>
        <w:tc>
          <w:tcPr>
            <w:tcW w:w="3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2.17</w:t>
            </w:r>
          </w:p>
        </w:tc>
        <w:tc>
          <w:tcPr>
            <w:tcW w:w="20" w:type="dxa"/>
            <w:vAlign w:val="bottom"/>
            <w:tcBorders>
              <w:bottom w:val="single" w:sz="8" w:color="E5F1EE"/>
            </w:tcBorders>
          </w:tcPr>
          <w:p>
            <w:pPr>
              <w:spacing w:after="0"/>
              <w:rPr>
                <w:sz w:val="8"/>
                <w:szCs w:val="8"/>
                <w:color w:val="auto"/>
              </w:rPr>
            </w:pPr>
          </w:p>
        </w:tc>
        <w:tc>
          <w:tcPr>
            <w:tcW w:w="60" w:type="dxa"/>
            <w:vAlign w:val="bottom"/>
            <w:tcBorders>
              <w:bottom w:val="single" w:sz="8" w:color="E5F1EE"/>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118,650</w:t>
            </w:r>
          </w:p>
        </w:tc>
        <w:tc>
          <w:tcPr>
            <w:tcW w:w="80" w:type="dxa"/>
            <w:vAlign w:val="bottom"/>
            <w:tcBorders>
              <w:bottom w:val="single" w:sz="8" w:color="E5F1EE"/>
            </w:tcBorders>
          </w:tcPr>
          <w:p>
            <w:pPr>
              <w:spacing w:after="0"/>
              <w:rPr>
                <w:sz w:val="8"/>
                <w:szCs w:val="8"/>
                <w:color w:val="auto"/>
              </w:rPr>
            </w:pPr>
          </w:p>
        </w:tc>
        <w:tc>
          <w:tcPr>
            <w:tcW w:w="120" w:type="dxa"/>
            <w:vAlign w:val="bottom"/>
            <w:tcBorders>
              <w:bottom w:val="single" w:sz="8" w:color="E5F1EE"/>
            </w:tcBorders>
          </w:tcPr>
          <w:p>
            <w:pPr>
              <w:spacing w:after="0"/>
              <w:rPr>
                <w:sz w:val="8"/>
                <w:szCs w:val="8"/>
                <w:color w:val="auto"/>
              </w:rPr>
            </w:pPr>
          </w:p>
        </w:tc>
        <w:tc>
          <w:tcPr>
            <w:tcW w:w="30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2.36</w:t>
            </w:r>
          </w:p>
        </w:tc>
        <w:tc>
          <w:tcPr>
            <w:tcW w:w="20" w:type="dxa"/>
            <w:vAlign w:val="bottom"/>
            <w:tcBorders>
              <w:bottom w:val="single" w:sz="8" w:color="E5F1EE"/>
            </w:tcBorders>
          </w:tcPr>
          <w:p>
            <w:pPr>
              <w:spacing w:after="0"/>
              <w:rPr>
                <w:sz w:val="8"/>
                <w:szCs w:val="8"/>
                <w:color w:val="auto"/>
              </w:rPr>
            </w:pPr>
          </w:p>
        </w:tc>
        <w:tc>
          <w:tcPr>
            <w:tcW w:w="80" w:type="dxa"/>
            <w:vAlign w:val="bottom"/>
            <w:tcBorders>
              <w:bottom w:val="single" w:sz="8" w:color="E5F1EE"/>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118,085</w:t>
            </w:r>
          </w:p>
        </w:tc>
        <w:tc>
          <w:tcPr>
            <w:tcW w:w="60" w:type="dxa"/>
            <w:vAlign w:val="bottom"/>
            <w:tcBorders>
              <w:bottom w:val="single" w:sz="8" w:color="E5F1EE"/>
            </w:tcBorders>
          </w:tcPr>
          <w:p>
            <w:pPr>
              <w:spacing w:after="0"/>
              <w:rPr>
                <w:sz w:val="8"/>
                <w:szCs w:val="8"/>
                <w:color w:val="auto"/>
              </w:rPr>
            </w:pPr>
          </w:p>
        </w:tc>
        <w:tc>
          <w:tcPr>
            <w:tcW w:w="120" w:type="dxa"/>
            <w:vAlign w:val="bottom"/>
            <w:tcBorders>
              <w:bottom w:val="single" w:sz="8" w:color="E5F1EE"/>
            </w:tcBorders>
          </w:tcPr>
          <w:p>
            <w:pPr>
              <w:spacing w:after="0"/>
              <w:rPr>
                <w:sz w:val="8"/>
                <w:szCs w:val="8"/>
                <w:color w:val="auto"/>
              </w:rPr>
            </w:pPr>
          </w:p>
        </w:tc>
        <w:tc>
          <w:tcPr>
            <w:tcW w:w="30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2.64</w:t>
            </w:r>
          </w:p>
        </w:tc>
        <w:tc>
          <w:tcPr>
            <w:tcW w:w="20" w:type="dxa"/>
            <w:vAlign w:val="bottom"/>
            <w:tcBorders>
              <w:bottom w:val="single" w:sz="8" w:color="E5F1EE"/>
            </w:tcBorders>
          </w:tcPr>
          <w:p>
            <w:pPr>
              <w:spacing w:after="0"/>
              <w:rPr>
                <w:sz w:val="8"/>
                <w:szCs w:val="8"/>
                <w:color w:val="auto"/>
              </w:rPr>
            </w:pPr>
          </w:p>
        </w:tc>
        <w:tc>
          <w:tcPr>
            <w:tcW w:w="60" w:type="dxa"/>
            <w:vAlign w:val="bottom"/>
            <w:tcBorders>
              <w:bottom w:val="single" w:sz="8" w:color="E5F1EE"/>
            </w:tcBorders>
          </w:tcPr>
          <w:p>
            <w:pPr>
              <w:spacing w:after="0"/>
              <w:rPr>
                <w:sz w:val="8"/>
                <w:szCs w:val="8"/>
                <w:color w:val="auto"/>
              </w:rPr>
            </w:pPr>
          </w:p>
        </w:tc>
        <w:tc>
          <w:tcPr>
            <w:tcW w:w="760" w:type="dxa"/>
            <w:vAlign w:val="bottom"/>
            <w:tcBorders>
              <w:bottom w:val="single" w:sz="8" w:color="E5F1EE"/>
            </w:tcBorders>
          </w:tcPr>
          <w:p>
            <w:pPr>
              <w:spacing w:after="0"/>
              <w:rPr>
                <w:sz w:val="8"/>
                <w:szCs w:val="8"/>
                <w:color w:val="auto"/>
              </w:rPr>
            </w:pPr>
          </w:p>
        </w:tc>
        <w:tc>
          <w:tcPr>
            <w:tcW w:w="18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0" w:type="dxa"/>
            <w:vAlign w:val="bottom"/>
            <w:tcBorders>
              <w:bottom w:val="single" w:sz="8" w:color="E5F1EE"/>
            </w:tcBorders>
          </w:tcPr>
          <w:p>
            <w:pPr>
              <w:spacing w:after="0"/>
              <w:rPr>
                <w:sz w:val="8"/>
                <w:szCs w:val="8"/>
                <w:color w:val="auto"/>
              </w:rPr>
            </w:pPr>
          </w:p>
        </w:tc>
        <w:tc>
          <w:tcPr>
            <w:tcW w:w="60" w:type="dxa"/>
            <w:vAlign w:val="bottom"/>
            <w:tcBorders>
              <w:bottom w:val="single" w:sz="8" w:color="E5F1EE"/>
            </w:tcBorders>
          </w:tcPr>
          <w:p>
            <w:pPr>
              <w:spacing w:after="0"/>
              <w:rPr>
                <w:sz w:val="8"/>
                <w:szCs w:val="8"/>
                <w:color w:val="auto"/>
              </w:rPr>
            </w:pPr>
          </w:p>
        </w:tc>
        <w:tc>
          <w:tcPr>
            <w:tcW w:w="740" w:type="dxa"/>
            <w:vAlign w:val="bottom"/>
            <w:tcBorders>
              <w:bottom w:val="single" w:sz="8" w:color="E5F1EE"/>
            </w:tcBorders>
          </w:tcPr>
          <w:p>
            <w:pPr>
              <w:spacing w:after="0"/>
              <w:rPr>
                <w:sz w:val="8"/>
                <w:szCs w:val="8"/>
                <w:color w:val="auto"/>
              </w:rPr>
            </w:pPr>
          </w:p>
        </w:tc>
        <w:tc>
          <w:tcPr>
            <w:tcW w:w="20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0" w:type="dxa"/>
            <w:vAlign w:val="bottom"/>
            <w:tcBorders>
              <w:bottom w:val="single" w:sz="8" w:color="E5F1EE"/>
            </w:tcBorders>
          </w:tcPr>
          <w:p>
            <w:pPr>
              <w:spacing w:after="0"/>
              <w:rPr>
                <w:sz w:val="8"/>
                <w:szCs w:val="8"/>
                <w:color w:val="auto"/>
              </w:rPr>
            </w:pPr>
          </w:p>
        </w:tc>
        <w:tc>
          <w:tcPr>
            <w:tcW w:w="80" w:type="dxa"/>
            <w:vAlign w:val="bottom"/>
            <w:tcBorders>
              <w:bottom w:val="single" w:sz="8" w:color="E5F1EE"/>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118,405</w:t>
            </w:r>
          </w:p>
        </w:tc>
        <w:tc>
          <w:tcPr>
            <w:tcW w:w="80" w:type="dxa"/>
            <w:vAlign w:val="bottom"/>
            <w:tcBorders>
              <w:bottom w:val="single" w:sz="8" w:color="E5F1EE"/>
            </w:tcBorders>
          </w:tcPr>
          <w:p>
            <w:pPr>
              <w:spacing w:after="0"/>
              <w:rPr>
                <w:sz w:val="8"/>
                <w:szCs w:val="8"/>
                <w:color w:val="auto"/>
              </w:rPr>
            </w:pPr>
          </w:p>
        </w:tc>
        <w:tc>
          <w:tcPr>
            <w:tcW w:w="44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2.32</w:t>
            </w:r>
          </w:p>
        </w:tc>
        <w:tc>
          <w:tcPr>
            <w:tcW w:w="20" w:type="dxa"/>
            <w:vAlign w:val="bottom"/>
            <w:tcBorders>
              <w:bottom w:val="single" w:sz="8" w:color="E5F1EE"/>
            </w:tcBorders>
          </w:tcPr>
          <w:p>
            <w:pPr>
              <w:spacing w:after="0"/>
              <w:rPr>
                <w:sz w:val="8"/>
                <w:szCs w:val="8"/>
                <w:color w:val="auto"/>
              </w:rPr>
            </w:pPr>
          </w:p>
        </w:tc>
        <w:tc>
          <w:tcPr>
            <w:tcW w:w="60" w:type="dxa"/>
            <w:vAlign w:val="bottom"/>
            <w:tcBorders>
              <w:bottom w:val="single" w:sz="8" w:color="E5F1EE"/>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116,163</w:t>
            </w:r>
          </w:p>
        </w:tc>
        <w:tc>
          <w:tcPr>
            <w:tcW w:w="80" w:type="dxa"/>
            <w:vAlign w:val="bottom"/>
            <w:tcBorders>
              <w:bottom w:val="single" w:sz="8" w:color="E5F1EE"/>
            </w:tcBorders>
          </w:tcPr>
          <w:p>
            <w:pPr>
              <w:spacing w:after="0"/>
              <w:rPr>
                <w:sz w:val="8"/>
                <w:szCs w:val="8"/>
                <w:color w:val="auto"/>
              </w:rPr>
            </w:pPr>
          </w:p>
        </w:tc>
        <w:tc>
          <w:tcPr>
            <w:tcW w:w="4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2.84</w:t>
            </w:r>
          </w:p>
        </w:tc>
        <w:tc>
          <w:tcPr>
            <w:tcW w:w="20" w:type="dxa"/>
            <w:vAlign w:val="bottom"/>
            <w:tcBorders>
              <w:bottom w:val="single" w:sz="8" w:color="E5F1EE"/>
            </w:tcBorders>
          </w:tcPr>
          <w:p>
            <w:pPr>
              <w:spacing w:after="0"/>
              <w:rPr>
                <w:sz w:val="8"/>
                <w:szCs w:val="8"/>
                <w:color w:val="auto"/>
              </w:rPr>
            </w:pPr>
          </w:p>
        </w:tc>
        <w:tc>
          <w:tcPr>
            <w:tcW w:w="66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0" w:type="dxa"/>
            <w:vAlign w:val="bottom"/>
            <w:tcBorders>
              <w:bottom w:val="single" w:sz="8" w:color="E5F1EE"/>
            </w:tcBorders>
          </w:tcPr>
          <w:p>
            <w:pPr>
              <w:spacing w:after="0"/>
              <w:rPr>
                <w:sz w:val="8"/>
                <w:szCs w:val="8"/>
                <w:color w:val="auto"/>
              </w:rPr>
            </w:pPr>
          </w:p>
        </w:tc>
      </w:tr>
      <w:tr>
        <w:trPr>
          <w:trHeight w:val="111"/>
        </w:trPr>
        <w:tc>
          <w:tcPr>
            <w:tcW w:w="24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Short-term borrowings</w:t>
            </w:r>
          </w:p>
        </w:tc>
        <w:tc>
          <w:tcPr>
            <w:tcW w:w="120" w:type="dxa"/>
            <w:vAlign w:val="bottom"/>
            <w:shd w:val="clear" w:color="auto" w:fill="E5F1EE"/>
          </w:tcPr>
          <w:p>
            <w:pPr>
              <w:spacing w:after="0"/>
              <w:rPr>
                <w:sz w:val="9"/>
                <w:szCs w:val="9"/>
                <w:color w:val="auto"/>
              </w:rPr>
            </w:pPr>
          </w:p>
        </w:tc>
        <w:tc>
          <w:tcPr>
            <w:tcW w:w="5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2,064</w:t>
            </w: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3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4.21</w:t>
            </w:r>
          </w:p>
        </w:tc>
        <w:tc>
          <w:tcPr>
            <w:tcW w:w="20" w:type="dxa"/>
            <w:vAlign w:val="bottom"/>
            <w:shd w:val="clear" w:color="auto" w:fill="E5F1EE"/>
          </w:tcPr>
          <w:p>
            <w:pPr>
              <w:spacing w:after="0"/>
              <w:rPr>
                <w:sz w:val="9"/>
                <w:szCs w:val="9"/>
                <w:color w:val="auto"/>
              </w:rPr>
            </w:pPr>
          </w:p>
        </w:tc>
        <w:tc>
          <w:tcPr>
            <w:tcW w:w="6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2,844</w:t>
            </w: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4.50</w:t>
            </w:r>
          </w:p>
        </w:tc>
        <w:tc>
          <w:tcPr>
            <w:tcW w:w="20" w:type="dxa"/>
            <w:vAlign w:val="bottom"/>
            <w:shd w:val="clear" w:color="auto" w:fill="E5F1EE"/>
          </w:tcPr>
          <w:p>
            <w:pPr>
              <w:spacing w:after="0"/>
              <w:rPr>
                <w:sz w:val="9"/>
                <w:szCs w:val="9"/>
                <w:color w:val="auto"/>
              </w:rPr>
            </w:pP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2,563</w:t>
            </w:r>
          </w:p>
        </w:tc>
        <w:tc>
          <w:tcPr>
            <w:tcW w:w="6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4.93</w:t>
            </w:r>
          </w:p>
        </w:tc>
        <w:tc>
          <w:tcPr>
            <w:tcW w:w="20" w:type="dxa"/>
            <w:vAlign w:val="bottom"/>
            <w:shd w:val="clear" w:color="auto" w:fill="E5F1EE"/>
          </w:tcPr>
          <w:p>
            <w:pPr>
              <w:spacing w:after="0"/>
              <w:rPr>
                <w:sz w:val="9"/>
                <w:szCs w:val="9"/>
                <w:color w:val="auto"/>
              </w:rPr>
            </w:pPr>
          </w:p>
        </w:tc>
        <w:tc>
          <w:tcPr>
            <w:tcW w:w="60" w:type="dxa"/>
            <w:vAlign w:val="bottom"/>
            <w:shd w:val="clear" w:color="auto" w:fill="E5F1EE"/>
          </w:tcPr>
          <w:p>
            <w:pPr>
              <w:spacing w:after="0"/>
              <w:rPr>
                <w:sz w:val="9"/>
                <w:szCs w:val="9"/>
                <w:color w:val="auto"/>
              </w:rPr>
            </w:pPr>
          </w:p>
        </w:tc>
        <w:tc>
          <w:tcPr>
            <w:tcW w:w="760" w:type="dxa"/>
            <w:vAlign w:val="bottom"/>
            <w:shd w:val="clear" w:color="auto" w:fill="E5F1EE"/>
          </w:tcPr>
          <w:p>
            <w:pPr>
              <w:spacing w:after="0"/>
              <w:rPr>
                <w:sz w:val="9"/>
                <w:szCs w:val="9"/>
                <w:color w:val="auto"/>
              </w:rPr>
            </w:pPr>
          </w:p>
        </w:tc>
        <w:tc>
          <w:tcPr>
            <w:tcW w:w="1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-27</w:t>
            </w:r>
          </w:p>
        </w:tc>
        <w:tc>
          <w:tcPr>
            <w:tcW w:w="20" w:type="dxa"/>
            <w:vAlign w:val="bottom"/>
            <w:shd w:val="clear" w:color="auto" w:fill="E5F1EE"/>
          </w:tcPr>
          <w:p>
            <w:pPr>
              <w:spacing w:after="0"/>
              <w:rPr>
                <w:sz w:val="9"/>
                <w:szCs w:val="9"/>
                <w:color w:val="auto"/>
              </w:rPr>
            </w:pPr>
          </w:p>
        </w:tc>
        <w:tc>
          <w:tcPr>
            <w:tcW w:w="60" w:type="dxa"/>
            <w:vAlign w:val="bottom"/>
            <w:shd w:val="clear" w:color="auto" w:fill="E5F1EE"/>
          </w:tcPr>
          <w:p>
            <w:pPr>
              <w:spacing w:after="0"/>
              <w:rPr>
                <w:sz w:val="9"/>
                <w:szCs w:val="9"/>
                <w:color w:val="auto"/>
              </w:rPr>
            </w:pPr>
          </w:p>
        </w:tc>
        <w:tc>
          <w:tcPr>
            <w:tcW w:w="740" w:type="dxa"/>
            <w:vAlign w:val="bottom"/>
            <w:shd w:val="clear" w:color="auto" w:fill="E5F1EE"/>
          </w:tcPr>
          <w:p>
            <w:pPr>
              <w:spacing w:after="0"/>
              <w:rPr>
                <w:sz w:val="9"/>
                <w:szCs w:val="9"/>
                <w:color w:val="auto"/>
              </w:rPr>
            </w:pPr>
          </w:p>
        </w:tc>
        <w:tc>
          <w:tcPr>
            <w:tcW w:w="2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-19</w:t>
            </w:r>
          </w:p>
        </w:tc>
        <w:tc>
          <w:tcPr>
            <w:tcW w:w="20" w:type="dxa"/>
            <w:vAlign w:val="bottom"/>
            <w:shd w:val="clear" w:color="auto" w:fill="E5F1EE"/>
          </w:tcPr>
          <w:p>
            <w:pPr>
              <w:spacing w:after="0"/>
              <w:rPr>
                <w:sz w:val="9"/>
                <w:szCs w:val="9"/>
                <w:color w:val="auto"/>
              </w:rPr>
            </w:pP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2,774</w:t>
            </w:r>
          </w:p>
        </w:tc>
        <w:tc>
          <w:tcPr>
            <w:tcW w:w="80" w:type="dxa"/>
            <w:vAlign w:val="bottom"/>
            <w:shd w:val="clear" w:color="auto" w:fill="E5F1EE"/>
          </w:tcPr>
          <w:p>
            <w:pPr>
              <w:spacing w:after="0"/>
              <w:rPr>
                <w:sz w:val="9"/>
                <w:szCs w:val="9"/>
                <w:color w:val="auto"/>
              </w:rPr>
            </w:pPr>
          </w:p>
        </w:tc>
        <w:tc>
          <w:tcPr>
            <w:tcW w:w="4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4.45</w:t>
            </w:r>
          </w:p>
        </w:tc>
        <w:tc>
          <w:tcPr>
            <w:tcW w:w="20" w:type="dxa"/>
            <w:vAlign w:val="bottom"/>
            <w:shd w:val="clear" w:color="auto" w:fill="E5F1EE"/>
          </w:tcPr>
          <w:p>
            <w:pPr>
              <w:spacing w:after="0"/>
              <w:rPr>
                <w:sz w:val="9"/>
                <w:szCs w:val="9"/>
                <w:color w:val="auto"/>
              </w:rPr>
            </w:pPr>
          </w:p>
        </w:tc>
        <w:tc>
          <w:tcPr>
            <w:tcW w:w="60" w:type="dxa"/>
            <w:vAlign w:val="bottom"/>
            <w:shd w:val="clear" w:color="auto" w:fill="E5F1EE"/>
          </w:tcPr>
          <w:p>
            <w:pPr>
              <w:spacing w:after="0"/>
              <w:rPr>
                <w:sz w:val="9"/>
                <w:szCs w:val="9"/>
                <w:color w:val="auto"/>
              </w:rPr>
            </w:pPr>
          </w:p>
        </w:tc>
        <w:tc>
          <w:tcPr>
            <w:tcW w:w="180" w:type="dxa"/>
            <w:vAlign w:val="bottom"/>
            <w:shd w:val="clear" w:color="auto" w:fill="E5F1EE"/>
          </w:tcPr>
          <w:p>
            <w:pPr>
              <w:spacing w:after="0"/>
              <w:rPr>
                <w:sz w:val="9"/>
                <w:szCs w:val="9"/>
                <w:color w:val="auto"/>
              </w:rPr>
            </w:pPr>
          </w:p>
        </w:tc>
        <w:tc>
          <w:tcPr>
            <w:tcW w:w="4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4,440</w:t>
            </w:r>
          </w:p>
        </w:tc>
        <w:tc>
          <w:tcPr>
            <w:tcW w:w="80" w:type="dxa"/>
            <w:vAlign w:val="bottom"/>
            <w:shd w:val="clear" w:color="auto" w:fill="E5F1EE"/>
          </w:tcPr>
          <w:p>
            <w:pPr>
              <w:spacing w:after="0"/>
              <w:rPr>
                <w:sz w:val="9"/>
                <w:szCs w:val="9"/>
                <w:color w:val="auto"/>
              </w:rPr>
            </w:pPr>
          </w:p>
        </w:tc>
        <w:tc>
          <w:tcPr>
            <w:tcW w:w="4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5.45</w:t>
            </w:r>
          </w:p>
        </w:tc>
        <w:tc>
          <w:tcPr>
            <w:tcW w:w="20" w:type="dxa"/>
            <w:vAlign w:val="bottom"/>
            <w:shd w:val="clear" w:color="auto" w:fill="E5F1EE"/>
          </w:tcPr>
          <w:p>
            <w:pPr>
              <w:spacing w:after="0"/>
              <w:rPr>
                <w:sz w:val="9"/>
                <w:szCs w:val="9"/>
                <w:color w:val="auto"/>
              </w:rPr>
            </w:pPr>
          </w:p>
        </w:tc>
        <w:tc>
          <w:tcPr>
            <w:tcW w:w="6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-38</w:t>
            </w:r>
          </w:p>
        </w:tc>
        <w:tc>
          <w:tcPr>
            <w:tcW w:w="20" w:type="dxa"/>
            <w:vAlign w:val="bottom"/>
            <w:shd w:val="clear" w:color="auto" w:fill="E5F1EE"/>
          </w:tcPr>
          <w:p>
            <w:pPr>
              <w:spacing w:after="0"/>
              <w:rPr>
                <w:sz w:val="9"/>
                <w:szCs w:val="9"/>
                <w:color w:val="auto"/>
              </w:rPr>
            </w:pPr>
          </w:p>
        </w:tc>
      </w:tr>
      <w:tr>
        <w:trPr>
          <w:trHeight w:val="112"/>
        </w:trPr>
        <w:tc>
          <w:tcPr>
            <w:tcW w:w="24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8"/>
                <w:szCs w:val="8"/>
                <w:color w:val="auto"/>
              </w:rPr>
              <w:t>Long-term borrowings</w:t>
            </w: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12,555</w:t>
            </w: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E5F1EE"/>
            </w:tcBorders>
          </w:tcPr>
          <w:p>
            <w:pPr>
              <w:spacing w:after="0"/>
              <w:rPr>
                <w:sz w:val="9"/>
                <w:szCs w:val="9"/>
                <w:color w:val="auto"/>
              </w:rPr>
            </w:pPr>
          </w:p>
        </w:tc>
        <w:tc>
          <w:tcPr>
            <w:tcW w:w="3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5.51</w:t>
            </w:r>
          </w:p>
        </w:tc>
        <w:tc>
          <w:tcPr>
            <w:tcW w:w="20" w:type="dxa"/>
            <w:vAlign w:val="bottom"/>
            <w:tcBorders>
              <w:bottom w:val="single" w:sz="8" w:color="E5F1EE"/>
            </w:tcBorders>
          </w:tcPr>
          <w:p>
            <w:pPr>
              <w:spacing w:after="0"/>
              <w:rPr>
                <w:sz w:val="9"/>
                <w:szCs w:val="9"/>
                <w:color w:val="auto"/>
              </w:rPr>
            </w:pPr>
          </w:p>
        </w:tc>
        <w:tc>
          <w:tcPr>
            <w:tcW w:w="6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12,789</w:t>
            </w: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E5F1EE"/>
            </w:tcBorders>
          </w:tcPr>
          <w:p>
            <w:pPr>
              <w:spacing w:after="0"/>
              <w:rPr>
                <w:sz w:val="9"/>
                <w:szCs w:val="9"/>
                <w:color w:val="auto"/>
              </w:rPr>
            </w:pPr>
          </w:p>
        </w:tc>
        <w:tc>
          <w:tcPr>
            <w:tcW w:w="30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5.59</w:t>
            </w:r>
          </w:p>
        </w:tc>
        <w:tc>
          <w:tcPr>
            <w:tcW w:w="20" w:type="dxa"/>
            <w:vAlign w:val="bottom"/>
            <w:tcBorders>
              <w:bottom w:val="single" w:sz="8" w:color="E5F1EE"/>
            </w:tcBorders>
          </w:tcPr>
          <w:p>
            <w:pPr>
              <w:spacing w:after="0"/>
              <w:rPr>
                <w:sz w:val="9"/>
                <w:szCs w:val="9"/>
                <w:color w:val="auto"/>
              </w:rPr>
            </w:pP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11,665</w:t>
            </w:r>
          </w:p>
        </w:tc>
        <w:tc>
          <w:tcPr>
            <w:tcW w:w="60" w:type="dxa"/>
            <w:vAlign w:val="bottom"/>
            <w:tcBorders>
              <w:bottom w:val="single" w:sz="8" w:color="E5F1EE"/>
            </w:tcBorders>
          </w:tcPr>
          <w:p>
            <w:pPr>
              <w:spacing w:after="0"/>
              <w:rPr>
                <w:sz w:val="9"/>
                <w:szCs w:val="9"/>
                <w:color w:val="auto"/>
              </w:rPr>
            </w:pPr>
          </w:p>
        </w:tc>
        <w:tc>
          <w:tcPr>
            <w:tcW w:w="120" w:type="dxa"/>
            <w:vAlign w:val="bottom"/>
            <w:tcBorders>
              <w:bottom w:val="single" w:sz="8" w:color="E5F1EE"/>
            </w:tcBorders>
          </w:tcPr>
          <w:p>
            <w:pPr>
              <w:spacing w:after="0"/>
              <w:rPr>
                <w:sz w:val="9"/>
                <w:szCs w:val="9"/>
                <w:color w:val="auto"/>
              </w:rPr>
            </w:pPr>
          </w:p>
        </w:tc>
        <w:tc>
          <w:tcPr>
            <w:tcW w:w="30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5.57</w:t>
            </w:r>
          </w:p>
        </w:tc>
        <w:tc>
          <w:tcPr>
            <w:tcW w:w="20" w:type="dxa"/>
            <w:vAlign w:val="bottom"/>
            <w:tcBorders>
              <w:bottom w:val="single" w:sz="8" w:color="E5F1EE"/>
            </w:tcBorders>
          </w:tcPr>
          <w:p>
            <w:pPr>
              <w:spacing w:after="0"/>
              <w:rPr>
                <w:sz w:val="9"/>
                <w:szCs w:val="9"/>
                <w:color w:val="auto"/>
              </w:rPr>
            </w:pPr>
          </w:p>
        </w:tc>
        <w:tc>
          <w:tcPr>
            <w:tcW w:w="60" w:type="dxa"/>
            <w:vAlign w:val="bottom"/>
            <w:tcBorders>
              <w:bottom w:val="single" w:sz="8" w:color="E5F1EE"/>
            </w:tcBorders>
          </w:tcPr>
          <w:p>
            <w:pPr>
              <w:spacing w:after="0"/>
              <w:rPr>
                <w:sz w:val="9"/>
                <w:szCs w:val="9"/>
                <w:color w:val="auto"/>
              </w:rPr>
            </w:pPr>
          </w:p>
        </w:tc>
        <w:tc>
          <w:tcPr>
            <w:tcW w:w="760" w:type="dxa"/>
            <w:vAlign w:val="bottom"/>
            <w:tcBorders>
              <w:bottom w:val="single" w:sz="8" w:color="E5F1EE"/>
            </w:tcBorders>
          </w:tcPr>
          <w:p>
            <w:pPr>
              <w:spacing w:after="0"/>
              <w:rPr>
                <w:sz w:val="9"/>
                <w:szCs w:val="9"/>
                <w:color w:val="auto"/>
              </w:rPr>
            </w:pPr>
          </w:p>
        </w:tc>
        <w:tc>
          <w:tcPr>
            <w:tcW w:w="18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0" w:type="dxa"/>
            <w:vAlign w:val="bottom"/>
            <w:tcBorders>
              <w:bottom w:val="single" w:sz="8" w:color="E5F1EE"/>
            </w:tcBorders>
          </w:tcPr>
          <w:p>
            <w:pPr>
              <w:spacing w:after="0"/>
              <w:rPr>
                <w:sz w:val="9"/>
                <w:szCs w:val="9"/>
                <w:color w:val="auto"/>
              </w:rPr>
            </w:pPr>
          </w:p>
        </w:tc>
        <w:tc>
          <w:tcPr>
            <w:tcW w:w="60" w:type="dxa"/>
            <w:vAlign w:val="bottom"/>
            <w:tcBorders>
              <w:bottom w:val="single" w:sz="8" w:color="E5F1EE"/>
            </w:tcBorders>
          </w:tcPr>
          <w:p>
            <w:pPr>
              <w:spacing w:after="0"/>
              <w:rPr>
                <w:sz w:val="9"/>
                <w:szCs w:val="9"/>
                <w:color w:val="auto"/>
              </w:rPr>
            </w:pPr>
          </w:p>
        </w:tc>
        <w:tc>
          <w:tcPr>
            <w:tcW w:w="740" w:type="dxa"/>
            <w:vAlign w:val="bottom"/>
            <w:tcBorders>
              <w:bottom w:val="single" w:sz="8" w:color="E5F1EE"/>
            </w:tcBorders>
          </w:tcPr>
          <w:p>
            <w:pPr>
              <w:spacing w:after="0"/>
              <w:rPr>
                <w:sz w:val="9"/>
                <w:szCs w:val="9"/>
                <w:color w:val="auto"/>
              </w:rPr>
            </w:pPr>
          </w:p>
        </w:tc>
        <w:tc>
          <w:tcPr>
            <w:tcW w:w="20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20" w:type="dxa"/>
            <w:vAlign w:val="bottom"/>
            <w:tcBorders>
              <w:bottom w:val="single" w:sz="8" w:color="E5F1EE"/>
            </w:tcBorders>
          </w:tcPr>
          <w:p>
            <w:pPr>
              <w:spacing w:after="0"/>
              <w:rPr>
                <w:sz w:val="9"/>
                <w:szCs w:val="9"/>
                <w:color w:val="auto"/>
              </w:rPr>
            </w:pP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11,897</w:t>
            </w:r>
          </w:p>
        </w:tc>
        <w:tc>
          <w:tcPr>
            <w:tcW w:w="80" w:type="dxa"/>
            <w:vAlign w:val="bottom"/>
            <w:tcBorders>
              <w:bottom w:val="single" w:sz="8" w:color="E5F1EE"/>
            </w:tcBorders>
          </w:tcPr>
          <w:p>
            <w:pPr>
              <w:spacing w:after="0"/>
              <w:rPr>
                <w:sz w:val="9"/>
                <w:szCs w:val="9"/>
                <w:color w:val="auto"/>
              </w:rPr>
            </w:pPr>
          </w:p>
        </w:tc>
        <w:tc>
          <w:tcPr>
            <w:tcW w:w="44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5.61</w:t>
            </w:r>
          </w:p>
        </w:tc>
        <w:tc>
          <w:tcPr>
            <w:tcW w:w="20" w:type="dxa"/>
            <w:vAlign w:val="bottom"/>
            <w:tcBorders>
              <w:bottom w:val="single" w:sz="8" w:color="E5F1EE"/>
            </w:tcBorders>
          </w:tcPr>
          <w:p>
            <w:pPr>
              <w:spacing w:after="0"/>
              <w:rPr>
                <w:sz w:val="9"/>
                <w:szCs w:val="9"/>
                <w:color w:val="auto"/>
              </w:rPr>
            </w:pPr>
          </w:p>
        </w:tc>
        <w:tc>
          <w:tcPr>
            <w:tcW w:w="60" w:type="dxa"/>
            <w:vAlign w:val="bottom"/>
            <w:tcBorders>
              <w:bottom w:val="single" w:sz="8" w:color="E5F1EE"/>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11,083</w:t>
            </w:r>
          </w:p>
        </w:tc>
        <w:tc>
          <w:tcPr>
            <w:tcW w:w="80" w:type="dxa"/>
            <w:vAlign w:val="bottom"/>
            <w:tcBorders>
              <w:bottom w:val="single" w:sz="8" w:color="E5F1EE"/>
            </w:tcBorders>
          </w:tcPr>
          <w:p>
            <w:pPr>
              <w:spacing w:after="0"/>
              <w:rPr>
                <w:sz w:val="9"/>
                <w:szCs w:val="9"/>
                <w:color w:val="auto"/>
              </w:rPr>
            </w:pPr>
          </w:p>
        </w:tc>
        <w:tc>
          <w:tcPr>
            <w:tcW w:w="4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5.76</w:t>
            </w:r>
          </w:p>
        </w:tc>
        <w:tc>
          <w:tcPr>
            <w:tcW w:w="20" w:type="dxa"/>
            <w:vAlign w:val="bottom"/>
            <w:tcBorders>
              <w:bottom w:val="single" w:sz="8" w:color="E5F1EE"/>
            </w:tcBorders>
          </w:tcPr>
          <w:p>
            <w:pPr>
              <w:spacing w:after="0"/>
              <w:rPr>
                <w:sz w:val="9"/>
                <w:szCs w:val="9"/>
                <w:color w:val="auto"/>
              </w:rPr>
            </w:pPr>
          </w:p>
        </w:tc>
        <w:tc>
          <w:tcPr>
            <w:tcW w:w="66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20" w:type="dxa"/>
            <w:vAlign w:val="bottom"/>
            <w:tcBorders>
              <w:bottom w:val="single" w:sz="8" w:color="E5F1EE"/>
            </w:tcBorders>
          </w:tcPr>
          <w:p>
            <w:pPr>
              <w:spacing w:after="0"/>
              <w:rPr>
                <w:sz w:val="9"/>
                <w:szCs w:val="9"/>
                <w:color w:val="auto"/>
              </w:rPr>
            </w:pPr>
          </w:p>
        </w:tc>
      </w:tr>
      <w:tr>
        <w:trPr>
          <w:trHeight w:val="111"/>
        </w:trPr>
        <w:tc>
          <w:tcPr>
            <w:tcW w:w="244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8"/>
                <w:szCs w:val="8"/>
                <w:b w:val="1"/>
                <w:bCs w:val="1"/>
                <w:color w:val="auto"/>
              </w:rPr>
              <w:t>Total interest-bearing liabilities</w:t>
            </w:r>
          </w:p>
        </w:tc>
        <w:tc>
          <w:tcPr>
            <w:tcW w:w="120" w:type="dxa"/>
            <w:vAlign w:val="bottom"/>
            <w:tcBorders>
              <w:bottom w:val="single" w:sz="8" w:color="E5F1EE"/>
            </w:tcBorders>
            <w:shd w:val="clear" w:color="auto" w:fill="E5F1EE"/>
          </w:tcPr>
          <w:p>
            <w:pPr>
              <w:spacing w:after="0"/>
              <w:rPr>
                <w:sz w:val="9"/>
                <w:szCs w:val="9"/>
                <w:color w:val="auto"/>
              </w:rPr>
            </w:pPr>
          </w:p>
        </w:tc>
        <w:tc>
          <w:tcPr>
            <w:tcW w:w="5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135,492</w:t>
            </w:r>
          </w:p>
        </w:tc>
        <w:tc>
          <w:tcPr>
            <w:tcW w:w="80" w:type="dxa"/>
            <w:vAlign w:val="bottom"/>
            <w:tcBorders>
              <w:bottom w:val="single" w:sz="8" w:color="E5F1EE"/>
            </w:tcBorders>
            <w:shd w:val="clear" w:color="auto" w:fill="E5F1EE"/>
          </w:tcPr>
          <w:p>
            <w:pPr>
              <w:spacing w:after="0"/>
              <w:rPr>
                <w:sz w:val="9"/>
                <w:szCs w:val="9"/>
                <w:color w:val="auto"/>
              </w:rPr>
            </w:pPr>
          </w:p>
        </w:tc>
        <w:tc>
          <w:tcPr>
            <w:tcW w:w="120" w:type="dxa"/>
            <w:vAlign w:val="bottom"/>
            <w:tcBorders>
              <w:bottom w:val="single" w:sz="8" w:color="E5F1EE"/>
            </w:tcBorders>
            <w:shd w:val="clear" w:color="auto" w:fill="E5F1EE"/>
          </w:tcPr>
          <w:p>
            <w:pPr>
              <w:spacing w:after="0"/>
              <w:rPr>
                <w:sz w:val="9"/>
                <w:szCs w:val="9"/>
                <w:color w:val="auto"/>
              </w:rPr>
            </w:pPr>
          </w:p>
        </w:tc>
        <w:tc>
          <w:tcPr>
            <w:tcW w:w="3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2.51</w:t>
            </w:r>
          </w:p>
        </w:tc>
        <w:tc>
          <w:tcPr>
            <w:tcW w:w="20" w:type="dxa"/>
            <w:vAlign w:val="bottom"/>
            <w:shd w:val="clear" w:color="auto" w:fill="E5F1EE"/>
          </w:tcPr>
          <w:p>
            <w:pPr>
              <w:spacing w:after="0"/>
              <w:rPr>
                <w:sz w:val="9"/>
                <w:szCs w:val="9"/>
                <w:color w:val="auto"/>
              </w:rPr>
            </w:pPr>
          </w:p>
        </w:tc>
        <w:tc>
          <w:tcPr>
            <w:tcW w:w="60" w:type="dxa"/>
            <w:vAlign w:val="bottom"/>
            <w:tcBorders>
              <w:bottom w:val="single" w:sz="8" w:color="E5F1EE"/>
            </w:tcBorders>
            <w:shd w:val="clear" w:color="auto" w:fill="E5F1EE"/>
          </w:tcPr>
          <w:p>
            <w:pPr>
              <w:spacing w:after="0"/>
              <w:rPr>
                <w:sz w:val="9"/>
                <w:szCs w:val="9"/>
                <w:color w:val="auto"/>
              </w:rPr>
            </w:pPr>
          </w:p>
        </w:tc>
        <w:tc>
          <w:tcPr>
            <w:tcW w:w="120" w:type="dxa"/>
            <w:vAlign w:val="bottom"/>
            <w:tcBorders>
              <w:bottom w:val="single" w:sz="8" w:color="E5F1EE"/>
            </w:tcBorders>
            <w:shd w:val="clear" w:color="auto" w:fill="E5F1EE"/>
          </w:tcPr>
          <w:p>
            <w:pPr>
              <w:spacing w:after="0"/>
              <w:rPr>
                <w:sz w:val="9"/>
                <w:szCs w:val="9"/>
                <w:color w:val="auto"/>
              </w:rPr>
            </w:pPr>
          </w:p>
        </w:tc>
        <w:tc>
          <w:tcPr>
            <w:tcW w:w="5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134,283</w:t>
            </w:r>
          </w:p>
        </w:tc>
        <w:tc>
          <w:tcPr>
            <w:tcW w:w="80" w:type="dxa"/>
            <w:vAlign w:val="bottom"/>
            <w:tcBorders>
              <w:bottom w:val="single" w:sz="8" w:color="E5F1EE"/>
            </w:tcBorders>
            <w:shd w:val="clear" w:color="auto" w:fill="E5F1EE"/>
          </w:tcPr>
          <w:p>
            <w:pPr>
              <w:spacing w:after="0"/>
              <w:rPr>
                <w:sz w:val="9"/>
                <w:szCs w:val="9"/>
                <w:color w:val="auto"/>
              </w:rPr>
            </w:pPr>
          </w:p>
        </w:tc>
        <w:tc>
          <w:tcPr>
            <w:tcW w:w="120" w:type="dxa"/>
            <w:vAlign w:val="bottom"/>
            <w:tcBorders>
              <w:bottom w:val="single" w:sz="8" w:color="E5F1EE"/>
            </w:tcBorders>
            <w:shd w:val="clear" w:color="auto" w:fill="E5F1EE"/>
          </w:tcPr>
          <w:p>
            <w:pPr>
              <w:spacing w:after="0"/>
              <w:rPr>
                <w:sz w:val="9"/>
                <w:szCs w:val="9"/>
                <w:color w:val="auto"/>
              </w:rPr>
            </w:pPr>
          </w:p>
        </w:tc>
        <w:tc>
          <w:tcPr>
            <w:tcW w:w="3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2.71</w:t>
            </w:r>
          </w:p>
        </w:tc>
        <w:tc>
          <w:tcPr>
            <w:tcW w:w="20" w:type="dxa"/>
            <w:vAlign w:val="bottom"/>
            <w:shd w:val="clear" w:color="auto" w:fill="E5F1EE"/>
          </w:tcPr>
          <w:p>
            <w:pPr>
              <w:spacing w:after="0"/>
              <w:rPr>
                <w:sz w:val="9"/>
                <w:szCs w:val="9"/>
                <w:color w:val="auto"/>
              </w:rPr>
            </w:pPr>
          </w:p>
        </w:tc>
        <w:tc>
          <w:tcPr>
            <w:tcW w:w="80" w:type="dxa"/>
            <w:vAlign w:val="bottom"/>
            <w:tcBorders>
              <w:bottom w:val="single" w:sz="8" w:color="E5F1EE"/>
            </w:tcBorders>
            <w:shd w:val="clear" w:color="auto" w:fill="E5F1EE"/>
          </w:tcPr>
          <w:p>
            <w:pPr>
              <w:spacing w:after="0"/>
              <w:rPr>
                <w:sz w:val="9"/>
                <w:szCs w:val="9"/>
                <w:color w:val="auto"/>
              </w:rPr>
            </w:pPr>
          </w:p>
        </w:tc>
        <w:tc>
          <w:tcPr>
            <w:tcW w:w="120" w:type="dxa"/>
            <w:vAlign w:val="bottom"/>
            <w:tcBorders>
              <w:bottom w:val="single" w:sz="8" w:color="E5F1EE"/>
            </w:tcBorders>
            <w:shd w:val="clear" w:color="auto" w:fill="E5F1EE"/>
          </w:tcPr>
          <w:p>
            <w:pPr>
              <w:spacing w:after="0"/>
              <w:rPr>
                <w:sz w:val="9"/>
                <w:szCs w:val="9"/>
                <w:color w:val="auto"/>
              </w:rPr>
            </w:pPr>
          </w:p>
        </w:tc>
        <w:tc>
          <w:tcPr>
            <w:tcW w:w="5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132,313</w:t>
            </w:r>
          </w:p>
        </w:tc>
        <w:tc>
          <w:tcPr>
            <w:tcW w:w="60" w:type="dxa"/>
            <w:vAlign w:val="bottom"/>
            <w:tcBorders>
              <w:bottom w:val="single" w:sz="8" w:color="E5F1EE"/>
            </w:tcBorders>
            <w:shd w:val="clear" w:color="auto" w:fill="E5F1EE"/>
          </w:tcPr>
          <w:p>
            <w:pPr>
              <w:spacing w:after="0"/>
              <w:rPr>
                <w:sz w:val="9"/>
                <w:szCs w:val="9"/>
                <w:color w:val="auto"/>
              </w:rPr>
            </w:pPr>
          </w:p>
        </w:tc>
        <w:tc>
          <w:tcPr>
            <w:tcW w:w="120" w:type="dxa"/>
            <w:vAlign w:val="bottom"/>
            <w:tcBorders>
              <w:bottom w:val="single" w:sz="8" w:color="E5F1EE"/>
            </w:tcBorders>
            <w:shd w:val="clear" w:color="auto" w:fill="E5F1EE"/>
          </w:tcPr>
          <w:p>
            <w:pPr>
              <w:spacing w:after="0"/>
              <w:rPr>
                <w:sz w:val="9"/>
                <w:szCs w:val="9"/>
                <w:color w:val="auto"/>
              </w:rPr>
            </w:pPr>
          </w:p>
        </w:tc>
        <w:tc>
          <w:tcPr>
            <w:tcW w:w="3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2.94</w:t>
            </w:r>
          </w:p>
        </w:tc>
        <w:tc>
          <w:tcPr>
            <w:tcW w:w="20" w:type="dxa"/>
            <w:vAlign w:val="bottom"/>
            <w:shd w:val="clear" w:color="auto" w:fill="E5F1EE"/>
          </w:tcPr>
          <w:p>
            <w:pPr>
              <w:spacing w:after="0"/>
              <w:rPr>
                <w:sz w:val="9"/>
                <w:szCs w:val="9"/>
                <w:color w:val="auto"/>
              </w:rPr>
            </w:pPr>
          </w:p>
        </w:tc>
        <w:tc>
          <w:tcPr>
            <w:tcW w:w="60" w:type="dxa"/>
            <w:vAlign w:val="bottom"/>
            <w:tcBorders>
              <w:bottom w:val="single" w:sz="8" w:color="E5F1EE"/>
            </w:tcBorders>
            <w:shd w:val="clear" w:color="auto" w:fill="E5F1EE"/>
          </w:tcPr>
          <w:p>
            <w:pPr>
              <w:spacing w:after="0"/>
              <w:rPr>
                <w:sz w:val="9"/>
                <w:szCs w:val="9"/>
                <w:color w:val="auto"/>
              </w:rPr>
            </w:pPr>
          </w:p>
        </w:tc>
        <w:tc>
          <w:tcPr>
            <w:tcW w:w="760" w:type="dxa"/>
            <w:vAlign w:val="bottom"/>
            <w:tcBorders>
              <w:bottom w:val="single" w:sz="8" w:color="E5F1EE"/>
            </w:tcBorders>
            <w:shd w:val="clear" w:color="auto" w:fill="E5F1EE"/>
          </w:tcPr>
          <w:p>
            <w:pPr>
              <w:spacing w:after="0"/>
              <w:rPr>
                <w:sz w:val="9"/>
                <w:szCs w:val="9"/>
                <w:color w:val="auto"/>
              </w:rPr>
            </w:pPr>
          </w:p>
        </w:tc>
        <w:tc>
          <w:tcPr>
            <w:tcW w:w="18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shd w:val="clear" w:color="auto" w:fill="E5F1EE"/>
          </w:tcPr>
          <w:p>
            <w:pPr>
              <w:spacing w:after="0"/>
              <w:rPr>
                <w:sz w:val="9"/>
                <w:szCs w:val="9"/>
                <w:color w:val="auto"/>
              </w:rPr>
            </w:pPr>
          </w:p>
        </w:tc>
        <w:tc>
          <w:tcPr>
            <w:tcW w:w="60" w:type="dxa"/>
            <w:vAlign w:val="bottom"/>
            <w:tcBorders>
              <w:bottom w:val="single" w:sz="8" w:color="E5F1EE"/>
            </w:tcBorders>
            <w:shd w:val="clear" w:color="auto" w:fill="E5F1EE"/>
          </w:tcPr>
          <w:p>
            <w:pPr>
              <w:spacing w:after="0"/>
              <w:rPr>
                <w:sz w:val="9"/>
                <w:szCs w:val="9"/>
                <w:color w:val="auto"/>
              </w:rPr>
            </w:pPr>
          </w:p>
        </w:tc>
        <w:tc>
          <w:tcPr>
            <w:tcW w:w="74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0" w:type="dxa"/>
            <w:vAlign w:val="bottom"/>
            <w:shd w:val="clear" w:color="auto" w:fill="E5F1EE"/>
          </w:tcPr>
          <w:p>
            <w:pPr>
              <w:spacing w:after="0"/>
              <w:rPr>
                <w:sz w:val="9"/>
                <w:szCs w:val="9"/>
                <w:color w:val="auto"/>
              </w:rPr>
            </w:pPr>
          </w:p>
        </w:tc>
        <w:tc>
          <w:tcPr>
            <w:tcW w:w="80" w:type="dxa"/>
            <w:vAlign w:val="bottom"/>
            <w:tcBorders>
              <w:bottom w:val="single" w:sz="8" w:color="E5F1EE"/>
            </w:tcBorders>
            <w:shd w:val="clear" w:color="auto" w:fill="E5F1EE"/>
          </w:tcPr>
          <w:p>
            <w:pPr>
              <w:spacing w:after="0"/>
              <w:rPr>
                <w:sz w:val="9"/>
                <w:szCs w:val="9"/>
                <w:color w:val="auto"/>
              </w:rPr>
            </w:pPr>
          </w:p>
        </w:tc>
        <w:tc>
          <w:tcPr>
            <w:tcW w:w="120" w:type="dxa"/>
            <w:vAlign w:val="bottom"/>
            <w:tcBorders>
              <w:bottom w:val="single" w:sz="8" w:color="E5F1EE"/>
            </w:tcBorders>
            <w:shd w:val="clear" w:color="auto" w:fill="E5F1EE"/>
          </w:tcPr>
          <w:p>
            <w:pPr>
              <w:spacing w:after="0"/>
              <w:rPr>
                <w:sz w:val="9"/>
                <w:szCs w:val="9"/>
                <w:color w:val="auto"/>
              </w:rPr>
            </w:pPr>
          </w:p>
        </w:tc>
        <w:tc>
          <w:tcPr>
            <w:tcW w:w="5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133,076</w:t>
            </w:r>
          </w:p>
        </w:tc>
        <w:tc>
          <w:tcPr>
            <w:tcW w:w="80" w:type="dxa"/>
            <w:vAlign w:val="bottom"/>
            <w:tcBorders>
              <w:bottom w:val="single" w:sz="8" w:color="E5F1EE"/>
            </w:tcBorders>
            <w:shd w:val="clear" w:color="auto" w:fill="E5F1EE"/>
          </w:tcPr>
          <w:p>
            <w:pPr>
              <w:spacing w:after="0"/>
              <w:rPr>
                <w:sz w:val="9"/>
                <w:szCs w:val="9"/>
                <w:color w:val="auto"/>
              </w:rPr>
            </w:pPr>
          </w:p>
        </w:tc>
        <w:tc>
          <w:tcPr>
            <w:tcW w:w="44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2.66</w:t>
            </w:r>
          </w:p>
        </w:tc>
        <w:tc>
          <w:tcPr>
            <w:tcW w:w="20" w:type="dxa"/>
            <w:vAlign w:val="bottom"/>
            <w:shd w:val="clear" w:color="auto" w:fill="E5F1EE"/>
          </w:tcPr>
          <w:p>
            <w:pPr>
              <w:spacing w:after="0"/>
              <w:rPr>
                <w:sz w:val="9"/>
                <w:szCs w:val="9"/>
                <w:color w:val="auto"/>
              </w:rPr>
            </w:pPr>
          </w:p>
        </w:tc>
        <w:tc>
          <w:tcPr>
            <w:tcW w:w="60" w:type="dxa"/>
            <w:vAlign w:val="bottom"/>
            <w:tcBorders>
              <w:bottom w:val="single" w:sz="8" w:color="E5F1EE"/>
            </w:tcBorders>
            <w:shd w:val="clear" w:color="auto" w:fill="E5F1EE"/>
          </w:tcPr>
          <w:p>
            <w:pPr>
              <w:spacing w:after="0"/>
              <w:rPr>
                <w:sz w:val="9"/>
                <w:szCs w:val="9"/>
                <w:color w:val="auto"/>
              </w:rPr>
            </w:pPr>
          </w:p>
        </w:tc>
        <w:tc>
          <w:tcPr>
            <w:tcW w:w="180" w:type="dxa"/>
            <w:vAlign w:val="bottom"/>
            <w:tcBorders>
              <w:bottom w:val="single" w:sz="8" w:color="E5F1EE"/>
            </w:tcBorders>
            <w:shd w:val="clear" w:color="auto" w:fill="E5F1EE"/>
          </w:tcPr>
          <w:p>
            <w:pPr>
              <w:spacing w:after="0"/>
              <w:rPr>
                <w:sz w:val="9"/>
                <w:szCs w:val="9"/>
                <w:color w:val="auto"/>
              </w:rPr>
            </w:pPr>
          </w:p>
        </w:tc>
        <w:tc>
          <w:tcPr>
            <w:tcW w:w="46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131,686</w:t>
            </w:r>
          </w:p>
        </w:tc>
        <w:tc>
          <w:tcPr>
            <w:tcW w:w="80" w:type="dxa"/>
            <w:vAlign w:val="bottom"/>
            <w:tcBorders>
              <w:bottom w:val="single" w:sz="8" w:color="E5F1EE"/>
            </w:tcBorders>
            <w:shd w:val="clear" w:color="auto" w:fill="E5F1EE"/>
          </w:tcPr>
          <w:p>
            <w:pPr>
              <w:spacing w:after="0"/>
              <w:rPr>
                <w:sz w:val="9"/>
                <w:szCs w:val="9"/>
                <w:color w:val="auto"/>
              </w:rPr>
            </w:pPr>
          </w:p>
        </w:tc>
        <w:tc>
          <w:tcPr>
            <w:tcW w:w="420" w:type="dxa"/>
            <w:vAlign w:val="bottom"/>
            <w:tcBorders>
              <w:bottom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3.17</w:t>
            </w:r>
          </w:p>
        </w:tc>
        <w:tc>
          <w:tcPr>
            <w:tcW w:w="20" w:type="dxa"/>
            <w:vAlign w:val="bottom"/>
            <w:shd w:val="clear" w:color="auto" w:fill="E5F1EE"/>
          </w:tcPr>
          <w:p>
            <w:pPr>
              <w:spacing w:after="0"/>
              <w:rPr>
                <w:sz w:val="9"/>
                <w:szCs w:val="9"/>
                <w:color w:val="auto"/>
              </w:rPr>
            </w:pPr>
          </w:p>
        </w:tc>
        <w:tc>
          <w:tcPr>
            <w:tcW w:w="66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shd w:val="clear" w:color="auto" w:fill="E5F1EE"/>
          </w:tcPr>
          <w:p>
            <w:pPr>
              <w:spacing w:after="0"/>
              <w:rPr>
                <w:sz w:val="9"/>
                <w:szCs w:val="9"/>
                <w:color w:val="auto"/>
              </w:rPr>
            </w:pPr>
          </w:p>
        </w:tc>
      </w:tr>
      <w:tr>
        <w:trPr>
          <w:trHeight w:val="92"/>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Noninterest-bearing deposits</w:t>
            </w:r>
          </w:p>
        </w:tc>
        <w:tc>
          <w:tcPr>
            <w:tcW w:w="12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44,184</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44,056</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46,554</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44,702</w:t>
            </w: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47,260</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20" w:type="dxa"/>
            <w:vAlign w:val="bottom"/>
          </w:tcPr>
          <w:p>
            <w:pPr>
              <w:spacing w:after="0"/>
              <w:rPr>
                <w:sz w:val="7"/>
                <w:szCs w:val="7"/>
                <w:color w:val="auto"/>
              </w:rPr>
            </w:pPr>
          </w:p>
        </w:tc>
      </w:tr>
      <w:tr>
        <w:trPr>
          <w:trHeight w:val="122"/>
        </w:trPr>
        <w:tc>
          <w:tcPr>
            <w:tcW w:w="24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Other liabilities</w:t>
            </w:r>
          </w:p>
        </w:tc>
        <w:tc>
          <w:tcPr>
            <w:tcW w:w="120" w:type="dxa"/>
            <w:vAlign w:val="bottom"/>
            <w:tcBorders>
              <w:bottom w:val="single" w:sz="8" w:color="auto"/>
            </w:tcBorders>
            <w:shd w:val="clear" w:color="auto" w:fill="E5F1EE"/>
          </w:tcPr>
          <w:p>
            <w:pPr>
              <w:spacing w:after="0"/>
              <w:rPr>
                <w:sz w:val="10"/>
                <w:szCs w:val="10"/>
                <w:color w:val="auto"/>
              </w:rPr>
            </w:pPr>
          </w:p>
        </w:tc>
        <w:tc>
          <w:tcPr>
            <w:tcW w:w="5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4,245</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4,131</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4,279</w:t>
            </w: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40" w:type="dxa"/>
            <w:vAlign w:val="bottom"/>
            <w:shd w:val="clear" w:color="auto" w:fill="E5F1EE"/>
          </w:tcPr>
          <w:p>
            <w:pPr>
              <w:spacing w:after="0"/>
              <w:rPr>
                <w:sz w:val="10"/>
                <w:szCs w:val="10"/>
                <w:color w:val="auto"/>
              </w:rPr>
            </w:pPr>
          </w:p>
        </w:tc>
        <w:tc>
          <w:tcPr>
            <w:tcW w:w="2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4,063</w:t>
            </w:r>
          </w:p>
        </w:tc>
        <w:tc>
          <w:tcPr>
            <w:tcW w:w="80" w:type="dxa"/>
            <w:vAlign w:val="bottom"/>
            <w:shd w:val="clear" w:color="auto" w:fill="E5F1EE"/>
          </w:tcPr>
          <w:p>
            <w:pPr>
              <w:spacing w:after="0"/>
              <w:rPr>
                <w:sz w:val="10"/>
                <w:szCs w:val="10"/>
                <w:color w:val="auto"/>
              </w:rPr>
            </w:pPr>
          </w:p>
        </w:tc>
        <w:tc>
          <w:tcPr>
            <w:tcW w:w="44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80" w:type="dxa"/>
            <w:vAlign w:val="bottom"/>
            <w:tcBorders>
              <w:bottom w:val="single" w:sz="8" w:color="auto"/>
            </w:tcBorders>
            <w:shd w:val="clear" w:color="auto" w:fill="E5F1EE"/>
          </w:tcPr>
          <w:p>
            <w:pPr>
              <w:spacing w:after="0"/>
              <w:rPr>
                <w:sz w:val="10"/>
                <w:szCs w:val="10"/>
                <w:color w:val="auto"/>
              </w:rPr>
            </w:pPr>
          </w:p>
        </w:tc>
        <w:tc>
          <w:tcPr>
            <w:tcW w:w="4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4,222</w:t>
            </w:r>
          </w:p>
        </w:tc>
        <w:tc>
          <w:tcPr>
            <w:tcW w:w="80" w:type="dxa"/>
            <w:vAlign w:val="bottom"/>
            <w:shd w:val="clear" w:color="auto" w:fill="E5F1EE"/>
          </w:tcPr>
          <w:p>
            <w:pPr>
              <w:spacing w:after="0"/>
              <w:rPr>
                <w:sz w:val="10"/>
                <w:szCs w:val="10"/>
                <w:color w:val="auto"/>
              </w:rPr>
            </w:pPr>
          </w:p>
        </w:tc>
        <w:tc>
          <w:tcPr>
            <w:tcW w:w="4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20" w:type="dxa"/>
            <w:vAlign w:val="bottom"/>
            <w:shd w:val="clear" w:color="auto" w:fill="E5F1EE"/>
          </w:tcPr>
          <w:p>
            <w:pPr>
              <w:spacing w:after="0"/>
              <w:rPr>
                <w:sz w:val="10"/>
                <w:szCs w:val="10"/>
                <w:color w:val="auto"/>
              </w:rPr>
            </w:pPr>
          </w:p>
        </w:tc>
      </w:tr>
      <w:tr>
        <w:trPr>
          <w:trHeight w:val="101"/>
        </w:trPr>
        <w:tc>
          <w:tcPr>
            <w:tcW w:w="2440" w:type="dxa"/>
            <w:vAlign w:val="bottom"/>
          </w:tcPr>
          <w:p>
            <w:pPr>
              <w:spacing w:after="0" w:line="87" w:lineRule="exact"/>
              <w:rPr>
                <w:sz w:val="20"/>
                <w:szCs w:val="20"/>
                <w:color w:val="auto"/>
              </w:rPr>
            </w:pPr>
            <w:r>
              <w:rPr>
                <w:rFonts w:ascii="Times New Roman" w:cs="Times New Roman" w:eastAsia="Times New Roman" w:hAnsi="Times New Roman"/>
                <w:sz w:val="8"/>
                <w:szCs w:val="8"/>
                <w:color w:val="auto"/>
              </w:rPr>
              <w:t>Total liabilities</w:t>
            </w:r>
          </w:p>
        </w:tc>
        <w:tc>
          <w:tcPr>
            <w:tcW w:w="12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183,921</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182,470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183,146</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181,841</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183,168</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tcPr>
          <w:p>
            <w:pPr>
              <w:spacing w:after="0"/>
              <w:rPr>
                <w:sz w:val="8"/>
                <w:szCs w:val="8"/>
                <w:color w:val="auto"/>
              </w:rPr>
            </w:pPr>
          </w:p>
        </w:tc>
      </w:tr>
      <w:tr>
        <w:trPr>
          <w:trHeight w:val="122"/>
        </w:trPr>
        <w:tc>
          <w:tcPr>
            <w:tcW w:w="24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Shareholders' equity</w:t>
            </w:r>
          </w:p>
        </w:tc>
        <w:tc>
          <w:tcPr>
            <w:tcW w:w="120" w:type="dxa"/>
            <w:vAlign w:val="bottom"/>
            <w:tcBorders>
              <w:bottom w:val="single" w:sz="8" w:color="auto"/>
            </w:tcBorders>
            <w:shd w:val="clear" w:color="auto" w:fill="E5F1EE"/>
          </w:tcPr>
          <w:p>
            <w:pPr>
              <w:spacing w:after="0"/>
              <w:rPr>
                <w:sz w:val="10"/>
                <w:szCs w:val="10"/>
                <w:color w:val="auto"/>
              </w:rPr>
            </w:pPr>
          </w:p>
        </w:tc>
        <w:tc>
          <w:tcPr>
            <w:tcW w:w="5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28,970</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28,583</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28,707</w:t>
            </w: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40" w:type="dxa"/>
            <w:vAlign w:val="bottom"/>
            <w:shd w:val="clear" w:color="auto" w:fill="E5F1EE"/>
          </w:tcPr>
          <w:p>
            <w:pPr>
              <w:spacing w:after="0"/>
              <w:rPr>
                <w:sz w:val="10"/>
                <w:szCs w:val="10"/>
                <w:color w:val="auto"/>
              </w:rPr>
            </w:pPr>
          </w:p>
        </w:tc>
        <w:tc>
          <w:tcPr>
            <w:tcW w:w="2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28,804</w:t>
            </w:r>
          </w:p>
        </w:tc>
        <w:tc>
          <w:tcPr>
            <w:tcW w:w="80" w:type="dxa"/>
            <w:vAlign w:val="bottom"/>
            <w:shd w:val="clear" w:color="auto" w:fill="E5F1EE"/>
          </w:tcPr>
          <w:p>
            <w:pPr>
              <w:spacing w:after="0"/>
              <w:rPr>
                <w:sz w:val="10"/>
                <w:szCs w:val="10"/>
                <w:color w:val="auto"/>
              </w:rPr>
            </w:pPr>
          </w:p>
        </w:tc>
        <w:tc>
          <w:tcPr>
            <w:tcW w:w="44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80" w:type="dxa"/>
            <w:vAlign w:val="bottom"/>
            <w:tcBorders>
              <w:bottom w:val="single" w:sz="8" w:color="auto"/>
            </w:tcBorders>
            <w:shd w:val="clear" w:color="auto" w:fill="E5F1EE"/>
          </w:tcPr>
          <w:p>
            <w:pPr>
              <w:spacing w:after="0"/>
              <w:rPr>
                <w:sz w:val="10"/>
                <w:szCs w:val="10"/>
                <w:color w:val="auto"/>
              </w:rPr>
            </w:pPr>
          </w:p>
        </w:tc>
        <w:tc>
          <w:tcPr>
            <w:tcW w:w="4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28,052</w:t>
            </w:r>
          </w:p>
        </w:tc>
        <w:tc>
          <w:tcPr>
            <w:tcW w:w="80" w:type="dxa"/>
            <w:vAlign w:val="bottom"/>
            <w:shd w:val="clear" w:color="auto" w:fill="E5F1EE"/>
          </w:tcPr>
          <w:p>
            <w:pPr>
              <w:spacing w:after="0"/>
              <w:rPr>
                <w:sz w:val="10"/>
                <w:szCs w:val="10"/>
                <w:color w:val="auto"/>
              </w:rPr>
            </w:pPr>
          </w:p>
        </w:tc>
        <w:tc>
          <w:tcPr>
            <w:tcW w:w="420" w:type="dxa"/>
            <w:vAlign w:val="bottom"/>
            <w:shd w:val="clear" w:color="auto" w:fill="E5F1EE"/>
          </w:tcPr>
          <w:p>
            <w:pPr>
              <w:spacing w:after="0"/>
              <w:rPr>
                <w:sz w:val="10"/>
                <w:szCs w:val="10"/>
                <w:color w:val="auto"/>
              </w:rPr>
            </w:pPr>
          </w:p>
        </w:tc>
        <w:tc>
          <w:tcPr>
            <w:tcW w:w="20" w:type="dxa"/>
            <w:vAlign w:val="bottom"/>
            <w:shd w:val="clear" w:color="auto" w:fill="E5F1EE"/>
          </w:tcPr>
          <w:p>
            <w:pPr>
              <w:spacing w:after="0"/>
              <w:rPr>
                <w:sz w:val="10"/>
                <w:szCs w:val="10"/>
                <w:color w:val="auto"/>
              </w:rPr>
            </w:pPr>
          </w:p>
        </w:tc>
        <w:tc>
          <w:tcPr>
            <w:tcW w:w="6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20" w:type="dxa"/>
            <w:vAlign w:val="bottom"/>
            <w:shd w:val="clear" w:color="auto" w:fill="E5F1EE"/>
          </w:tcPr>
          <w:p>
            <w:pPr>
              <w:spacing w:after="0"/>
              <w:rPr>
                <w:sz w:val="10"/>
                <w:szCs w:val="10"/>
                <w:color w:val="auto"/>
              </w:rPr>
            </w:pPr>
          </w:p>
        </w:tc>
      </w:tr>
      <w:tr>
        <w:trPr>
          <w:trHeight w:val="122"/>
        </w:trPr>
        <w:tc>
          <w:tcPr>
            <w:tcW w:w="24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8"/>
                <w:szCs w:val="8"/>
                <w:color w:val="auto"/>
              </w:rPr>
              <w:t>Total liabilities and shareholders' equity</w:t>
            </w: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212,891</w:t>
            </w: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E5F1EE"/>
            </w:tcBorders>
          </w:tcPr>
          <w:p>
            <w:pPr>
              <w:spacing w:after="0"/>
              <w:rPr>
                <w:sz w:val="10"/>
                <w:szCs w:val="10"/>
                <w:color w:val="auto"/>
              </w:rPr>
            </w:pPr>
          </w:p>
        </w:tc>
        <w:tc>
          <w:tcPr>
            <w:tcW w:w="320" w:type="dxa"/>
            <w:vAlign w:val="bottom"/>
            <w:tcBorders>
              <w:bottom w:val="single" w:sz="8" w:color="E5F1EE"/>
            </w:tcBorders>
          </w:tcPr>
          <w:p>
            <w:pPr>
              <w:spacing w:after="0"/>
              <w:rPr>
                <w:sz w:val="10"/>
                <w:szCs w:val="10"/>
                <w:color w:val="auto"/>
              </w:rPr>
            </w:pPr>
          </w:p>
        </w:tc>
        <w:tc>
          <w:tcPr>
            <w:tcW w:w="20" w:type="dxa"/>
            <w:vAlign w:val="bottom"/>
            <w:tcBorders>
              <w:bottom w:val="single" w:sz="8" w:color="E5F1EE"/>
            </w:tcBorders>
          </w:tcPr>
          <w:p>
            <w:pPr>
              <w:spacing w:after="0"/>
              <w:rPr>
                <w:sz w:val="10"/>
                <w:szCs w:val="10"/>
                <w:color w:val="auto"/>
              </w:rPr>
            </w:pPr>
          </w:p>
        </w:tc>
        <w:tc>
          <w:tcPr>
            <w:tcW w:w="6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211,053</w:t>
            </w: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E5F1EE"/>
            </w:tcBorders>
          </w:tcPr>
          <w:p>
            <w:pPr>
              <w:spacing w:after="0"/>
              <w:rPr>
                <w:sz w:val="10"/>
                <w:szCs w:val="10"/>
                <w:color w:val="auto"/>
              </w:rPr>
            </w:pPr>
          </w:p>
        </w:tc>
        <w:tc>
          <w:tcPr>
            <w:tcW w:w="300" w:type="dxa"/>
            <w:vAlign w:val="bottom"/>
            <w:tcBorders>
              <w:bottom w:val="single" w:sz="8" w:color="E5F1EE"/>
            </w:tcBorders>
          </w:tcPr>
          <w:p>
            <w:pPr>
              <w:spacing w:after="0"/>
              <w:rPr>
                <w:sz w:val="10"/>
                <w:szCs w:val="10"/>
                <w:color w:val="auto"/>
              </w:rPr>
            </w:pPr>
          </w:p>
        </w:tc>
        <w:tc>
          <w:tcPr>
            <w:tcW w:w="20" w:type="dxa"/>
            <w:vAlign w:val="bottom"/>
            <w:tcBorders>
              <w:bottom w:val="single" w:sz="8" w:color="E5F1EE"/>
            </w:tcBorders>
          </w:tcPr>
          <w:p>
            <w:pPr>
              <w:spacing w:after="0"/>
              <w:rPr>
                <w:sz w:val="10"/>
                <w:szCs w:val="10"/>
                <w:color w:val="auto"/>
              </w:rPr>
            </w:pP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211,853</w:t>
            </w:r>
          </w:p>
        </w:tc>
        <w:tc>
          <w:tcPr>
            <w:tcW w:w="60" w:type="dxa"/>
            <w:vAlign w:val="bottom"/>
            <w:tcBorders>
              <w:bottom w:val="single" w:sz="8" w:color="E5F1EE"/>
            </w:tcBorders>
          </w:tcPr>
          <w:p>
            <w:pPr>
              <w:spacing w:after="0"/>
              <w:rPr>
                <w:sz w:val="10"/>
                <w:szCs w:val="10"/>
                <w:color w:val="auto"/>
              </w:rPr>
            </w:pPr>
          </w:p>
        </w:tc>
        <w:tc>
          <w:tcPr>
            <w:tcW w:w="120" w:type="dxa"/>
            <w:vAlign w:val="bottom"/>
            <w:tcBorders>
              <w:bottom w:val="single" w:sz="8" w:color="E5F1EE"/>
            </w:tcBorders>
          </w:tcPr>
          <w:p>
            <w:pPr>
              <w:spacing w:after="0"/>
              <w:rPr>
                <w:sz w:val="10"/>
                <w:szCs w:val="10"/>
                <w:color w:val="auto"/>
              </w:rPr>
            </w:pPr>
          </w:p>
        </w:tc>
        <w:tc>
          <w:tcPr>
            <w:tcW w:w="300" w:type="dxa"/>
            <w:vAlign w:val="bottom"/>
            <w:tcBorders>
              <w:bottom w:val="single" w:sz="8" w:color="E5F1EE"/>
            </w:tcBorders>
          </w:tcPr>
          <w:p>
            <w:pPr>
              <w:spacing w:after="0"/>
              <w:rPr>
                <w:sz w:val="10"/>
                <w:szCs w:val="10"/>
                <w:color w:val="auto"/>
              </w:rPr>
            </w:pPr>
          </w:p>
        </w:tc>
        <w:tc>
          <w:tcPr>
            <w:tcW w:w="20" w:type="dxa"/>
            <w:vAlign w:val="bottom"/>
            <w:tcBorders>
              <w:bottom w:val="single" w:sz="8" w:color="E5F1EE"/>
            </w:tcBorders>
          </w:tcPr>
          <w:p>
            <w:pPr>
              <w:spacing w:after="0"/>
              <w:rPr>
                <w:sz w:val="10"/>
                <w:szCs w:val="10"/>
                <w:color w:val="auto"/>
              </w:rPr>
            </w:pPr>
          </w:p>
        </w:tc>
        <w:tc>
          <w:tcPr>
            <w:tcW w:w="60" w:type="dxa"/>
            <w:vAlign w:val="bottom"/>
            <w:tcBorders>
              <w:bottom w:val="single" w:sz="8" w:color="E5F1EE"/>
            </w:tcBorders>
          </w:tcPr>
          <w:p>
            <w:pPr>
              <w:spacing w:after="0"/>
              <w:rPr>
                <w:sz w:val="10"/>
                <w:szCs w:val="10"/>
                <w:color w:val="auto"/>
              </w:rPr>
            </w:pPr>
          </w:p>
        </w:tc>
        <w:tc>
          <w:tcPr>
            <w:tcW w:w="760" w:type="dxa"/>
            <w:vAlign w:val="bottom"/>
            <w:tcBorders>
              <w:bottom w:val="single" w:sz="8" w:color="E5F1EE"/>
            </w:tcBorders>
          </w:tcPr>
          <w:p>
            <w:pPr>
              <w:spacing w:after="0"/>
              <w:rPr>
                <w:sz w:val="10"/>
                <w:szCs w:val="10"/>
                <w:color w:val="auto"/>
              </w:rPr>
            </w:pPr>
          </w:p>
        </w:tc>
        <w:tc>
          <w:tcPr>
            <w:tcW w:w="200" w:type="dxa"/>
            <w:vAlign w:val="bottom"/>
            <w:tcBorders>
              <w:bottom w:val="single" w:sz="8" w:color="E5F1EE"/>
            </w:tcBorders>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1 %</w:t>
            </w:r>
          </w:p>
        </w:tc>
        <w:tc>
          <w:tcPr>
            <w:tcW w:w="60" w:type="dxa"/>
            <w:vAlign w:val="bottom"/>
            <w:tcBorders>
              <w:bottom w:val="single" w:sz="8" w:color="E5F1EE"/>
            </w:tcBorders>
          </w:tcPr>
          <w:p>
            <w:pPr>
              <w:spacing w:after="0"/>
              <w:rPr>
                <w:sz w:val="10"/>
                <w:szCs w:val="10"/>
                <w:color w:val="auto"/>
              </w:rPr>
            </w:pPr>
          </w:p>
        </w:tc>
        <w:tc>
          <w:tcPr>
            <w:tcW w:w="740" w:type="dxa"/>
            <w:vAlign w:val="bottom"/>
            <w:tcBorders>
              <w:bottom w:val="single" w:sz="8" w:color="E5F1EE"/>
            </w:tcBorders>
          </w:tcPr>
          <w:p>
            <w:pPr>
              <w:spacing w:after="0"/>
              <w:rPr>
                <w:sz w:val="10"/>
                <w:szCs w:val="10"/>
                <w:color w:val="auto"/>
              </w:rPr>
            </w:pPr>
          </w:p>
        </w:tc>
        <w:tc>
          <w:tcPr>
            <w:tcW w:w="220" w:type="dxa"/>
            <w:vAlign w:val="bottom"/>
            <w:tcBorders>
              <w:bottom w:val="single" w:sz="8" w:color="E5F1EE"/>
            </w:tcBorders>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 %</w:t>
            </w: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210,645</w:t>
            </w:r>
          </w:p>
        </w:tc>
        <w:tc>
          <w:tcPr>
            <w:tcW w:w="80" w:type="dxa"/>
            <w:vAlign w:val="bottom"/>
            <w:tcBorders>
              <w:bottom w:val="single" w:sz="8" w:color="E5F1EE"/>
            </w:tcBorders>
          </w:tcPr>
          <w:p>
            <w:pPr>
              <w:spacing w:after="0"/>
              <w:rPr>
                <w:sz w:val="10"/>
                <w:szCs w:val="10"/>
                <w:color w:val="auto"/>
              </w:rPr>
            </w:pPr>
          </w:p>
        </w:tc>
        <w:tc>
          <w:tcPr>
            <w:tcW w:w="440" w:type="dxa"/>
            <w:vAlign w:val="bottom"/>
            <w:tcBorders>
              <w:bottom w:val="single" w:sz="8" w:color="E5F1EE"/>
            </w:tcBorders>
          </w:tcPr>
          <w:p>
            <w:pPr>
              <w:spacing w:after="0"/>
              <w:rPr>
                <w:sz w:val="10"/>
                <w:szCs w:val="10"/>
                <w:color w:val="auto"/>
              </w:rPr>
            </w:pPr>
          </w:p>
        </w:tc>
        <w:tc>
          <w:tcPr>
            <w:tcW w:w="20" w:type="dxa"/>
            <w:vAlign w:val="bottom"/>
            <w:tcBorders>
              <w:bottom w:val="single" w:sz="8" w:color="E5F1EE"/>
            </w:tcBorders>
          </w:tcPr>
          <w:p>
            <w:pPr>
              <w:spacing w:after="0"/>
              <w:rPr>
                <w:sz w:val="10"/>
                <w:szCs w:val="10"/>
                <w:color w:val="auto"/>
              </w:rPr>
            </w:pPr>
          </w:p>
        </w:tc>
        <w:tc>
          <w:tcPr>
            <w:tcW w:w="6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211,220</w:t>
            </w:r>
          </w:p>
        </w:tc>
        <w:tc>
          <w:tcPr>
            <w:tcW w:w="80" w:type="dxa"/>
            <w:vAlign w:val="bottom"/>
            <w:tcBorders>
              <w:bottom w:val="single" w:sz="8" w:color="E5F1EE"/>
            </w:tcBorders>
          </w:tcPr>
          <w:p>
            <w:pPr>
              <w:spacing w:after="0"/>
              <w:rPr>
                <w:sz w:val="10"/>
                <w:szCs w:val="10"/>
                <w:color w:val="auto"/>
              </w:rPr>
            </w:pPr>
          </w:p>
        </w:tc>
        <w:tc>
          <w:tcPr>
            <w:tcW w:w="420" w:type="dxa"/>
            <w:vAlign w:val="bottom"/>
            <w:tcBorders>
              <w:bottom w:val="single" w:sz="8" w:color="E5F1EE"/>
            </w:tcBorders>
          </w:tcPr>
          <w:p>
            <w:pPr>
              <w:spacing w:after="0"/>
              <w:rPr>
                <w:sz w:val="10"/>
                <w:szCs w:val="10"/>
                <w:color w:val="auto"/>
              </w:rPr>
            </w:pPr>
          </w:p>
        </w:tc>
        <w:tc>
          <w:tcPr>
            <w:tcW w:w="20" w:type="dxa"/>
            <w:vAlign w:val="bottom"/>
            <w:tcBorders>
              <w:bottom w:val="single" w:sz="8" w:color="E5F1EE"/>
            </w:tcBorders>
          </w:tcPr>
          <w:p>
            <w:pPr>
              <w:spacing w:after="0"/>
              <w:rPr>
                <w:sz w:val="10"/>
                <w:szCs w:val="10"/>
                <w:color w:val="auto"/>
              </w:rPr>
            </w:pPr>
          </w:p>
        </w:tc>
        <w:tc>
          <w:tcPr>
            <w:tcW w:w="80" w:type="dxa"/>
            <w:vAlign w:val="bottom"/>
            <w:tcBorders>
              <w:bottom w:val="single" w:sz="8" w:color="E5F1EE"/>
            </w:tcBorders>
          </w:tcPr>
          <w:p>
            <w:pPr>
              <w:spacing w:after="0"/>
              <w:rPr>
                <w:sz w:val="10"/>
                <w:szCs w:val="10"/>
                <w:color w:val="auto"/>
              </w:rPr>
            </w:pPr>
          </w:p>
        </w:tc>
        <w:tc>
          <w:tcPr>
            <w:tcW w:w="600" w:type="dxa"/>
            <w:vAlign w:val="bottom"/>
            <w:tcBorders>
              <w:bottom w:val="single" w:sz="8" w:color="E5F1EE"/>
            </w:tcBorders>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 %</w:t>
            </w:r>
          </w:p>
        </w:tc>
      </w:tr>
      <w:tr>
        <w:trPr>
          <w:trHeight w:val="99"/>
        </w:trPr>
        <w:tc>
          <w:tcPr>
            <w:tcW w:w="2440" w:type="dxa"/>
            <w:vAlign w:val="bottom"/>
            <w:shd w:val="clear" w:color="auto" w:fill="E5F1EE"/>
          </w:tcPr>
          <w:p>
            <w:pPr>
              <w:spacing w:after="0" w:line="89" w:lineRule="exact"/>
              <w:rPr>
                <w:sz w:val="20"/>
                <w:szCs w:val="20"/>
                <w:color w:val="auto"/>
              </w:rPr>
            </w:pPr>
            <w:r>
              <w:rPr>
                <w:rFonts w:ascii="Times New Roman" w:cs="Times New Roman" w:eastAsia="Times New Roman" w:hAnsi="Times New Roman"/>
                <w:sz w:val="8"/>
                <w:szCs w:val="8"/>
                <w:color w:val="auto"/>
              </w:rPr>
              <w:t>Net interest spread</w:t>
            </w:r>
          </w:p>
        </w:tc>
        <w:tc>
          <w:tcPr>
            <w:tcW w:w="120" w:type="dxa"/>
            <w:vAlign w:val="bottom"/>
            <w:shd w:val="clear" w:color="auto" w:fill="E5F1EE"/>
          </w:tcPr>
          <w:p>
            <w:pPr>
              <w:spacing w:after="0"/>
              <w:rPr>
                <w:sz w:val="8"/>
                <w:szCs w:val="8"/>
                <w:color w:val="auto"/>
              </w:rPr>
            </w:pPr>
          </w:p>
        </w:tc>
        <w:tc>
          <w:tcPr>
            <w:tcW w:w="50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320" w:type="dxa"/>
            <w:vAlign w:val="bottom"/>
            <w:shd w:val="clear" w:color="auto" w:fill="E5F1EE"/>
          </w:tcPr>
          <w:p>
            <w:pPr>
              <w:jc w:val="right"/>
              <w:spacing w:after="0" w:line="89" w:lineRule="exact"/>
              <w:rPr>
                <w:sz w:val="20"/>
                <w:szCs w:val="20"/>
                <w:color w:val="auto"/>
              </w:rPr>
            </w:pPr>
            <w:r>
              <w:rPr>
                <w:rFonts w:ascii="Times New Roman" w:cs="Times New Roman" w:eastAsia="Times New Roman" w:hAnsi="Times New Roman"/>
                <w:sz w:val="8"/>
                <w:szCs w:val="8"/>
                <w:color w:val="auto"/>
              </w:rPr>
              <w:t>2.95</w:t>
            </w:r>
          </w:p>
        </w:tc>
        <w:tc>
          <w:tcPr>
            <w:tcW w:w="20" w:type="dxa"/>
            <w:vAlign w:val="bottom"/>
            <w:shd w:val="clear" w:color="auto" w:fill="E5F1EE"/>
          </w:tcPr>
          <w:p>
            <w:pPr>
              <w:spacing w:after="0"/>
              <w:rPr>
                <w:sz w:val="8"/>
                <w:szCs w:val="8"/>
                <w:color w:val="auto"/>
              </w:rPr>
            </w:pPr>
          </w:p>
        </w:tc>
        <w:tc>
          <w:tcPr>
            <w:tcW w:w="6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52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300" w:type="dxa"/>
            <w:vAlign w:val="bottom"/>
            <w:shd w:val="clear" w:color="auto" w:fill="E5F1EE"/>
          </w:tcPr>
          <w:p>
            <w:pPr>
              <w:jc w:val="right"/>
              <w:spacing w:after="0" w:line="89" w:lineRule="exact"/>
              <w:rPr>
                <w:sz w:val="20"/>
                <w:szCs w:val="20"/>
                <w:color w:val="auto"/>
              </w:rPr>
            </w:pPr>
            <w:r>
              <w:rPr>
                <w:rFonts w:ascii="Times New Roman" w:cs="Times New Roman" w:eastAsia="Times New Roman" w:hAnsi="Times New Roman"/>
                <w:sz w:val="8"/>
                <w:szCs w:val="8"/>
                <w:color w:val="auto"/>
              </w:rPr>
              <w:t>2.88</w:t>
            </w:r>
          </w:p>
        </w:tc>
        <w:tc>
          <w:tcPr>
            <w:tcW w:w="2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520" w:type="dxa"/>
            <w:vAlign w:val="bottom"/>
            <w:shd w:val="clear" w:color="auto" w:fill="E5F1EE"/>
          </w:tcPr>
          <w:p>
            <w:pPr>
              <w:spacing w:after="0"/>
              <w:rPr>
                <w:sz w:val="8"/>
                <w:szCs w:val="8"/>
                <w:color w:val="auto"/>
              </w:rPr>
            </w:pPr>
          </w:p>
        </w:tc>
        <w:tc>
          <w:tcPr>
            <w:tcW w:w="6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300" w:type="dxa"/>
            <w:vAlign w:val="bottom"/>
            <w:shd w:val="clear" w:color="auto" w:fill="E5F1EE"/>
          </w:tcPr>
          <w:p>
            <w:pPr>
              <w:jc w:val="right"/>
              <w:spacing w:after="0" w:line="89" w:lineRule="exact"/>
              <w:rPr>
                <w:sz w:val="20"/>
                <w:szCs w:val="20"/>
                <w:color w:val="auto"/>
              </w:rPr>
            </w:pPr>
            <w:r>
              <w:rPr>
                <w:rFonts w:ascii="Times New Roman" w:cs="Times New Roman" w:eastAsia="Times New Roman" w:hAnsi="Times New Roman"/>
                <w:sz w:val="8"/>
                <w:szCs w:val="8"/>
                <w:color w:val="auto"/>
              </w:rPr>
              <w:t>2.66</w:t>
            </w:r>
          </w:p>
        </w:tc>
        <w:tc>
          <w:tcPr>
            <w:tcW w:w="20" w:type="dxa"/>
            <w:vAlign w:val="bottom"/>
            <w:shd w:val="clear" w:color="auto" w:fill="E5F1EE"/>
          </w:tcPr>
          <w:p>
            <w:pPr>
              <w:spacing w:after="0"/>
              <w:rPr>
                <w:sz w:val="8"/>
                <w:szCs w:val="8"/>
                <w:color w:val="auto"/>
              </w:rPr>
            </w:pPr>
          </w:p>
        </w:tc>
        <w:tc>
          <w:tcPr>
            <w:tcW w:w="60" w:type="dxa"/>
            <w:vAlign w:val="bottom"/>
            <w:shd w:val="clear" w:color="auto" w:fill="E5F1EE"/>
          </w:tcPr>
          <w:p>
            <w:pPr>
              <w:spacing w:after="0"/>
              <w:rPr>
                <w:sz w:val="8"/>
                <w:szCs w:val="8"/>
                <w:color w:val="auto"/>
              </w:rPr>
            </w:pPr>
          </w:p>
        </w:tc>
        <w:tc>
          <w:tcPr>
            <w:tcW w:w="760" w:type="dxa"/>
            <w:vAlign w:val="bottom"/>
            <w:shd w:val="clear" w:color="auto" w:fill="E5F1EE"/>
          </w:tcPr>
          <w:p>
            <w:pPr>
              <w:spacing w:after="0"/>
              <w:rPr>
                <w:sz w:val="8"/>
                <w:szCs w:val="8"/>
                <w:color w:val="auto"/>
              </w:rPr>
            </w:pPr>
          </w:p>
        </w:tc>
        <w:tc>
          <w:tcPr>
            <w:tcW w:w="180" w:type="dxa"/>
            <w:vAlign w:val="bottom"/>
            <w:shd w:val="clear" w:color="auto" w:fill="E5F1EE"/>
          </w:tcPr>
          <w:p>
            <w:pPr>
              <w:spacing w:after="0"/>
              <w:rPr>
                <w:sz w:val="8"/>
                <w:szCs w:val="8"/>
                <w:color w:val="auto"/>
              </w:rPr>
            </w:pPr>
          </w:p>
        </w:tc>
        <w:tc>
          <w:tcPr>
            <w:tcW w:w="20" w:type="dxa"/>
            <w:vAlign w:val="bottom"/>
            <w:shd w:val="clear" w:color="auto" w:fill="E5F1EE"/>
          </w:tcPr>
          <w:p>
            <w:pPr>
              <w:spacing w:after="0"/>
              <w:rPr>
                <w:sz w:val="8"/>
                <w:szCs w:val="8"/>
                <w:color w:val="auto"/>
              </w:rPr>
            </w:pPr>
          </w:p>
        </w:tc>
        <w:tc>
          <w:tcPr>
            <w:tcW w:w="60" w:type="dxa"/>
            <w:vAlign w:val="bottom"/>
            <w:shd w:val="clear" w:color="auto" w:fill="E5F1EE"/>
          </w:tcPr>
          <w:p>
            <w:pPr>
              <w:spacing w:after="0"/>
              <w:rPr>
                <w:sz w:val="8"/>
                <w:szCs w:val="8"/>
                <w:color w:val="auto"/>
              </w:rPr>
            </w:pPr>
          </w:p>
        </w:tc>
        <w:tc>
          <w:tcPr>
            <w:tcW w:w="740" w:type="dxa"/>
            <w:vAlign w:val="bottom"/>
            <w:shd w:val="clear" w:color="auto" w:fill="E5F1EE"/>
          </w:tcPr>
          <w:p>
            <w:pPr>
              <w:spacing w:after="0"/>
              <w:rPr>
                <w:sz w:val="8"/>
                <w:szCs w:val="8"/>
                <w:color w:val="auto"/>
              </w:rPr>
            </w:pPr>
          </w:p>
        </w:tc>
        <w:tc>
          <w:tcPr>
            <w:tcW w:w="200" w:type="dxa"/>
            <w:vAlign w:val="bottom"/>
            <w:shd w:val="clear" w:color="auto" w:fill="E5F1EE"/>
          </w:tcPr>
          <w:p>
            <w:pPr>
              <w:spacing w:after="0"/>
              <w:rPr>
                <w:sz w:val="8"/>
                <w:szCs w:val="8"/>
                <w:color w:val="auto"/>
              </w:rPr>
            </w:pPr>
          </w:p>
        </w:tc>
        <w:tc>
          <w:tcPr>
            <w:tcW w:w="2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52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440" w:type="dxa"/>
            <w:vAlign w:val="bottom"/>
            <w:shd w:val="clear" w:color="auto" w:fill="E5F1EE"/>
          </w:tcPr>
          <w:p>
            <w:pPr>
              <w:jc w:val="right"/>
              <w:spacing w:after="0" w:line="89" w:lineRule="exact"/>
              <w:rPr>
                <w:sz w:val="20"/>
                <w:szCs w:val="20"/>
                <w:color w:val="auto"/>
              </w:rPr>
            </w:pPr>
            <w:r>
              <w:rPr>
                <w:rFonts w:ascii="Times New Roman" w:cs="Times New Roman" w:eastAsia="Times New Roman" w:hAnsi="Times New Roman"/>
                <w:sz w:val="8"/>
                <w:szCs w:val="8"/>
                <w:color w:val="auto"/>
              </w:rPr>
              <w:t>2.86</w:t>
            </w:r>
          </w:p>
        </w:tc>
        <w:tc>
          <w:tcPr>
            <w:tcW w:w="20" w:type="dxa"/>
            <w:vAlign w:val="bottom"/>
            <w:shd w:val="clear" w:color="auto" w:fill="E5F1EE"/>
          </w:tcPr>
          <w:p>
            <w:pPr>
              <w:spacing w:after="0"/>
              <w:rPr>
                <w:sz w:val="8"/>
                <w:szCs w:val="8"/>
                <w:color w:val="auto"/>
              </w:rPr>
            </w:pPr>
          </w:p>
        </w:tc>
        <w:tc>
          <w:tcPr>
            <w:tcW w:w="60" w:type="dxa"/>
            <w:vAlign w:val="bottom"/>
            <w:shd w:val="clear" w:color="auto" w:fill="E5F1EE"/>
          </w:tcPr>
          <w:p>
            <w:pPr>
              <w:spacing w:after="0"/>
              <w:rPr>
                <w:sz w:val="8"/>
                <w:szCs w:val="8"/>
                <w:color w:val="auto"/>
              </w:rPr>
            </w:pPr>
          </w:p>
        </w:tc>
        <w:tc>
          <w:tcPr>
            <w:tcW w:w="180" w:type="dxa"/>
            <w:vAlign w:val="bottom"/>
            <w:shd w:val="clear" w:color="auto" w:fill="E5F1EE"/>
          </w:tcPr>
          <w:p>
            <w:pPr>
              <w:spacing w:after="0"/>
              <w:rPr>
                <w:sz w:val="8"/>
                <w:szCs w:val="8"/>
                <w:color w:val="auto"/>
              </w:rPr>
            </w:pPr>
          </w:p>
        </w:tc>
        <w:tc>
          <w:tcPr>
            <w:tcW w:w="46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420" w:type="dxa"/>
            <w:vAlign w:val="bottom"/>
            <w:shd w:val="clear" w:color="auto" w:fill="E5F1EE"/>
          </w:tcPr>
          <w:p>
            <w:pPr>
              <w:jc w:val="right"/>
              <w:spacing w:after="0" w:line="89" w:lineRule="exact"/>
              <w:rPr>
                <w:sz w:val="20"/>
                <w:szCs w:val="20"/>
                <w:color w:val="auto"/>
              </w:rPr>
            </w:pPr>
            <w:r>
              <w:rPr>
                <w:rFonts w:ascii="Times New Roman" w:cs="Times New Roman" w:eastAsia="Times New Roman" w:hAnsi="Times New Roman"/>
                <w:sz w:val="8"/>
                <w:szCs w:val="8"/>
                <w:color w:val="auto"/>
              </w:rPr>
              <w:t>2.57</w:t>
            </w:r>
          </w:p>
        </w:tc>
        <w:tc>
          <w:tcPr>
            <w:tcW w:w="2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580" w:type="dxa"/>
            <w:vAlign w:val="bottom"/>
            <w:shd w:val="clear" w:color="auto" w:fill="E5F1EE"/>
          </w:tcPr>
          <w:p>
            <w:pPr>
              <w:spacing w:after="0"/>
              <w:rPr>
                <w:sz w:val="8"/>
                <w:szCs w:val="8"/>
                <w:color w:val="auto"/>
              </w:rPr>
            </w:pPr>
          </w:p>
        </w:tc>
        <w:tc>
          <w:tcPr>
            <w:tcW w:w="20" w:type="dxa"/>
            <w:vAlign w:val="bottom"/>
            <w:shd w:val="clear" w:color="auto" w:fill="E5F1EE"/>
          </w:tcPr>
          <w:p>
            <w:pPr>
              <w:spacing w:after="0"/>
              <w:rPr>
                <w:sz w:val="8"/>
                <w:szCs w:val="8"/>
                <w:color w:val="auto"/>
              </w:rPr>
            </w:pPr>
          </w:p>
        </w:tc>
      </w:tr>
      <w:tr>
        <w:trPr>
          <w:trHeight w:val="107"/>
        </w:trPr>
        <w:tc>
          <w:tcPr>
            <w:tcW w:w="2440" w:type="dxa"/>
            <w:vAlign w:val="bottom"/>
          </w:tcPr>
          <w:p>
            <w:pPr>
              <w:spacing w:after="0"/>
              <w:rPr>
                <w:sz w:val="20"/>
                <w:szCs w:val="20"/>
                <w:color w:val="auto"/>
              </w:rPr>
            </w:pPr>
            <w:r>
              <w:rPr>
                <w:rFonts w:ascii="Times New Roman" w:cs="Times New Roman" w:eastAsia="Times New Roman" w:hAnsi="Times New Roman"/>
                <w:sz w:val="8"/>
                <w:szCs w:val="8"/>
                <w:color w:val="auto"/>
              </w:rPr>
              <w:t>Contribution of interest-free funds</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7"/>
        </w:trPr>
        <w:tc>
          <w:tcPr>
            <w:tcW w:w="24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Net interest margin</w:t>
            </w:r>
          </w:p>
        </w:tc>
        <w:tc>
          <w:tcPr>
            <w:tcW w:w="120" w:type="dxa"/>
            <w:vAlign w:val="bottom"/>
            <w:shd w:val="clear" w:color="auto" w:fill="E5F1EE"/>
          </w:tcPr>
          <w:p>
            <w:pPr>
              <w:spacing w:after="0"/>
              <w:rPr>
                <w:sz w:val="11"/>
                <w:szCs w:val="11"/>
                <w:color w:val="auto"/>
              </w:rPr>
            </w:pPr>
          </w:p>
        </w:tc>
        <w:tc>
          <w:tcPr>
            <w:tcW w:w="500" w:type="dxa"/>
            <w:vAlign w:val="bottom"/>
            <w:shd w:val="clear" w:color="auto" w:fill="E5F1EE"/>
          </w:tcPr>
          <w:p>
            <w:pPr>
              <w:spacing w:after="0"/>
              <w:rPr>
                <w:sz w:val="11"/>
                <w:szCs w:val="11"/>
                <w:color w:val="auto"/>
              </w:rPr>
            </w:pP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3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3.69 %</w:t>
            </w:r>
          </w:p>
        </w:tc>
        <w:tc>
          <w:tcPr>
            <w:tcW w:w="20" w:type="dxa"/>
            <w:vAlign w:val="bottom"/>
            <w:shd w:val="clear" w:color="auto" w:fill="E5F1EE"/>
          </w:tcPr>
          <w:p>
            <w:pPr>
              <w:spacing w:after="0"/>
              <w:rPr>
                <w:sz w:val="11"/>
                <w:szCs w:val="11"/>
                <w:color w:val="auto"/>
              </w:rPr>
            </w:pPr>
          </w:p>
        </w:tc>
        <w:tc>
          <w:tcPr>
            <w:tcW w:w="6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520" w:type="dxa"/>
            <w:vAlign w:val="bottom"/>
            <w:shd w:val="clear" w:color="auto" w:fill="E5F1EE"/>
          </w:tcPr>
          <w:p>
            <w:pPr>
              <w:spacing w:after="0"/>
              <w:rPr>
                <w:sz w:val="11"/>
                <w:szCs w:val="11"/>
                <w:color w:val="auto"/>
              </w:rPr>
            </w:pP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3.68 %</w:t>
            </w:r>
          </w:p>
        </w:tc>
        <w:tc>
          <w:tcPr>
            <w:tcW w:w="20" w:type="dxa"/>
            <w:vAlign w:val="bottom"/>
            <w:shd w:val="clear" w:color="auto" w:fill="E5F1EE"/>
          </w:tcPr>
          <w:p>
            <w:pPr>
              <w:spacing w:after="0"/>
              <w:rPr>
                <w:sz w:val="11"/>
                <w:szCs w:val="11"/>
                <w:color w:val="auto"/>
              </w:rPr>
            </w:pP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520" w:type="dxa"/>
            <w:vAlign w:val="bottom"/>
            <w:shd w:val="clear" w:color="auto" w:fill="E5F1EE"/>
          </w:tcPr>
          <w:p>
            <w:pPr>
              <w:spacing w:after="0"/>
              <w:rPr>
                <w:sz w:val="11"/>
                <w:szCs w:val="11"/>
                <w:color w:val="auto"/>
              </w:rPr>
            </w:pPr>
          </w:p>
        </w:tc>
        <w:tc>
          <w:tcPr>
            <w:tcW w:w="6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3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3.58 %</w:t>
            </w:r>
          </w:p>
        </w:tc>
        <w:tc>
          <w:tcPr>
            <w:tcW w:w="20" w:type="dxa"/>
            <w:vAlign w:val="bottom"/>
            <w:shd w:val="clear" w:color="auto" w:fill="E5F1EE"/>
          </w:tcPr>
          <w:p>
            <w:pPr>
              <w:spacing w:after="0"/>
              <w:rPr>
                <w:sz w:val="11"/>
                <w:szCs w:val="11"/>
                <w:color w:val="auto"/>
              </w:rPr>
            </w:pPr>
          </w:p>
        </w:tc>
        <w:tc>
          <w:tcPr>
            <w:tcW w:w="60" w:type="dxa"/>
            <w:vAlign w:val="bottom"/>
            <w:shd w:val="clear" w:color="auto" w:fill="E5F1EE"/>
          </w:tcPr>
          <w:p>
            <w:pPr>
              <w:spacing w:after="0"/>
              <w:rPr>
                <w:sz w:val="11"/>
                <w:szCs w:val="11"/>
                <w:color w:val="auto"/>
              </w:rPr>
            </w:pPr>
          </w:p>
        </w:tc>
        <w:tc>
          <w:tcPr>
            <w:tcW w:w="76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60" w:type="dxa"/>
            <w:vAlign w:val="bottom"/>
            <w:shd w:val="clear" w:color="auto" w:fill="E5F1EE"/>
          </w:tcPr>
          <w:p>
            <w:pPr>
              <w:spacing w:after="0"/>
              <w:rPr>
                <w:sz w:val="11"/>
                <w:szCs w:val="11"/>
                <w:color w:val="auto"/>
              </w:rPr>
            </w:pPr>
          </w:p>
        </w:tc>
        <w:tc>
          <w:tcPr>
            <w:tcW w:w="74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520" w:type="dxa"/>
            <w:vAlign w:val="bottom"/>
            <w:shd w:val="clear" w:color="auto" w:fill="E5F1EE"/>
          </w:tcPr>
          <w:p>
            <w:pPr>
              <w:spacing w:after="0"/>
              <w:rPr>
                <w:sz w:val="11"/>
                <w:szCs w:val="11"/>
                <w:color w:val="auto"/>
              </w:rPr>
            </w:pPr>
          </w:p>
        </w:tc>
        <w:tc>
          <w:tcPr>
            <w:tcW w:w="80" w:type="dxa"/>
            <w:vAlign w:val="bottom"/>
            <w:shd w:val="clear" w:color="auto" w:fill="E5F1EE"/>
          </w:tcPr>
          <w:p>
            <w:pPr>
              <w:spacing w:after="0"/>
              <w:rPr>
                <w:sz w:val="11"/>
                <w:szCs w:val="11"/>
                <w:color w:val="auto"/>
              </w:rPr>
            </w:pPr>
          </w:p>
        </w:tc>
        <w:tc>
          <w:tcPr>
            <w:tcW w:w="4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3.67 %</w:t>
            </w:r>
          </w:p>
        </w:tc>
        <w:tc>
          <w:tcPr>
            <w:tcW w:w="20" w:type="dxa"/>
            <w:vAlign w:val="bottom"/>
            <w:shd w:val="clear" w:color="auto" w:fill="E5F1EE"/>
          </w:tcPr>
          <w:p>
            <w:pPr>
              <w:spacing w:after="0"/>
              <w:rPr>
                <w:sz w:val="11"/>
                <w:szCs w:val="11"/>
                <w:color w:val="auto"/>
              </w:rPr>
            </w:pPr>
          </w:p>
        </w:tc>
        <w:tc>
          <w:tcPr>
            <w:tcW w:w="6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460" w:type="dxa"/>
            <w:vAlign w:val="bottom"/>
            <w:shd w:val="clear" w:color="auto" w:fill="E5F1EE"/>
          </w:tcPr>
          <w:p>
            <w:pPr>
              <w:spacing w:after="0"/>
              <w:rPr>
                <w:sz w:val="11"/>
                <w:szCs w:val="11"/>
                <w:color w:val="auto"/>
              </w:rPr>
            </w:pPr>
          </w:p>
        </w:tc>
        <w:tc>
          <w:tcPr>
            <w:tcW w:w="80" w:type="dxa"/>
            <w:vAlign w:val="bottom"/>
            <w:shd w:val="clear" w:color="auto" w:fill="E5F1EE"/>
          </w:tcPr>
          <w:p>
            <w:pPr>
              <w:spacing w:after="0"/>
              <w:rPr>
                <w:sz w:val="11"/>
                <w:szCs w:val="11"/>
                <w:color w:val="auto"/>
              </w:rPr>
            </w:pPr>
          </w:p>
        </w:tc>
        <w:tc>
          <w:tcPr>
            <w:tcW w:w="4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3.58 %</w:t>
            </w:r>
          </w:p>
        </w:tc>
        <w:tc>
          <w:tcPr>
            <w:tcW w:w="20" w:type="dxa"/>
            <w:vAlign w:val="bottom"/>
            <w:shd w:val="clear" w:color="auto" w:fill="E5F1EE"/>
          </w:tcPr>
          <w:p>
            <w:pPr>
              <w:spacing w:after="0"/>
              <w:rPr>
                <w:sz w:val="11"/>
                <w:szCs w:val="11"/>
                <w:color w:val="auto"/>
              </w:rPr>
            </w:pPr>
          </w:p>
        </w:tc>
        <w:tc>
          <w:tcPr>
            <w:tcW w:w="80" w:type="dxa"/>
            <w:vAlign w:val="bottom"/>
            <w:shd w:val="clear" w:color="auto" w:fill="E5F1EE"/>
          </w:tcPr>
          <w:p>
            <w:pPr>
              <w:spacing w:after="0"/>
              <w:rPr>
                <w:sz w:val="11"/>
                <w:szCs w:val="11"/>
                <w:color w:val="auto"/>
              </w:rPr>
            </w:pPr>
          </w:p>
        </w:tc>
        <w:tc>
          <w:tcPr>
            <w:tcW w:w="580" w:type="dxa"/>
            <w:vAlign w:val="bottom"/>
            <w:shd w:val="clear" w:color="auto" w:fill="E5F1EE"/>
          </w:tcPr>
          <w:p>
            <w:pPr>
              <w:spacing w:after="0"/>
              <w:rPr>
                <w:sz w:val="11"/>
                <w:szCs w:val="11"/>
                <w:color w:val="auto"/>
              </w:rPr>
            </w:pPr>
          </w:p>
        </w:tc>
        <w:tc>
          <w:tcPr>
            <w:tcW w:w="20" w:type="dxa"/>
            <w:vAlign w:val="bottom"/>
            <w:shd w:val="clear" w:color="auto" w:fill="E5F1EE"/>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102298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2985"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Yields on investment securities for the year ended December 31, 2025 reflect $18 million of lower taxable-equivalent interest income resulting from an alignment of amortization periods for certain municipal bonds obtained from the acquisition of People’s United Financial, Inc.</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240"/>
          </w:cols>
          <w:pgMar w:left="300" w:top="332" w:right="359" w:bottom="1440" w:gutter="0" w:footer="0" w:header="0"/>
        </w:sectPr>
      </w:pPr>
    </w:p>
    <w:bookmarkStart w:id="19" w:name="page20"/>
    <w:bookmarkEnd w:id="19"/>
    <w:p>
      <w:pPr>
        <w:ind w:left="972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Fourth Quarter 2025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Reconciliation of Quarterly GAAP to Non-GAAP Measures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Three Months Ended</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tcPr>
          <w:p>
            <w:pPr>
              <w:jc w:val="right"/>
              <w:ind w:right="93"/>
              <w:spacing w:after="0"/>
              <w:rPr>
                <w:sz w:val="20"/>
                <w:szCs w:val="20"/>
                <w:color w:val="auto"/>
              </w:rPr>
            </w:pPr>
            <w:r>
              <w:rPr>
                <w:rFonts w:ascii="Times New Roman" w:cs="Times New Roman" w:eastAsia="Times New Roman" w:hAnsi="Times New Roman"/>
                <w:sz w:val="9"/>
                <w:szCs w:val="9"/>
                <w:color w:val="auto"/>
              </w:rPr>
              <w:t>Year Ended</w:t>
            </w:r>
          </w:p>
        </w:tc>
        <w:tc>
          <w:tcPr>
            <w:tcW w:w="620" w:type="dxa"/>
            <w:vAlign w:val="bottom"/>
          </w:tcPr>
          <w:p>
            <w:pPr>
              <w:spacing w:after="0"/>
              <w:rPr>
                <w:sz w:val="10"/>
                <w:szCs w:val="10"/>
                <w:color w:val="auto"/>
              </w:rPr>
            </w:pPr>
          </w:p>
        </w:tc>
      </w:tr>
      <w:tr>
        <w:trPr>
          <w:trHeight w:val="127"/>
        </w:trPr>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9"/>
                <w:szCs w:val="9"/>
                <w:color w:val="auto"/>
              </w:rPr>
              <w:t>December 31,</w:t>
            </w: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9"/>
                <w:szCs w:val="9"/>
                <w:color w:val="auto"/>
              </w:rPr>
              <w:t>December 31,</w:t>
            </w:r>
          </w:p>
        </w:tc>
        <w:tc>
          <w:tcPr>
            <w:tcW w:w="620" w:type="dxa"/>
            <w:vAlign w:val="bottom"/>
            <w:tcBorders>
              <w:bottom w:val="single" w:sz="8" w:color="auto"/>
            </w:tcBorders>
          </w:tcPr>
          <w:p>
            <w:pPr>
              <w:spacing w:after="0"/>
              <w:rPr>
                <w:sz w:val="11"/>
                <w:szCs w:val="11"/>
                <w:color w:val="auto"/>
              </w:rPr>
            </w:pPr>
          </w:p>
        </w:tc>
      </w:tr>
      <w:tr>
        <w:trPr>
          <w:trHeight w:val="114"/>
        </w:trPr>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9"/>
                <w:szCs w:val="9"/>
                <w:color w:val="auto"/>
              </w:rPr>
              <w:t>2025</w:t>
            </w:r>
          </w:p>
        </w:tc>
        <w:tc>
          <w:tcPr>
            <w:tcW w:w="2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9"/>
                <w:szCs w:val="9"/>
                <w:color w:val="auto"/>
              </w:rPr>
              <w:t>2024</w:t>
            </w: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9"/>
                <w:szCs w:val="9"/>
                <w:color w:val="auto"/>
              </w:rPr>
              <w:t>2025</w:t>
            </w:r>
          </w:p>
        </w:tc>
        <w:tc>
          <w:tcPr>
            <w:tcW w:w="2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9"/>
                <w:szCs w:val="9"/>
                <w:color w:val="auto"/>
              </w:rPr>
              <w:t>2024</w:t>
            </w:r>
          </w:p>
        </w:tc>
      </w:tr>
      <w:tr>
        <w:trPr>
          <w:trHeight w:val="103"/>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(Dollars in millions, except per share)</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6"/>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9"/>
                <w:szCs w:val="9"/>
                <w:b w:val="1"/>
                <w:bCs w:val="1"/>
                <w:color w:val="auto"/>
              </w:rPr>
              <w:t>Income statement data</w:t>
            </w:r>
          </w:p>
        </w:tc>
        <w:tc>
          <w:tcPr>
            <w:tcW w:w="6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9"/>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Net income</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0"/>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Net income</w:t>
            </w:r>
          </w:p>
        </w:tc>
        <w:tc>
          <w:tcPr>
            <w:tcW w:w="200" w:type="dxa"/>
            <w:vAlign w:val="bottom"/>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759</w:t>
            </w:r>
          </w:p>
        </w:tc>
        <w:tc>
          <w:tcPr>
            <w:tcW w:w="220" w:type="dxa"/>
            <w:vAlign w:val="bottom"/>
            <w:shd w:val="clear" w:color="auto" w:fill="E5F1EE"/>
          </w:tcPr>
          <w:p>
            <w:pPr>
              <w:spacing w:after="0"/>
              <w:rPr>
                <w:sz w:val="11"/>
                <w:szCs w:val="11"/>
                <w:color w:val="auto"/>
              </w:rPr>
            </w:pPr>
          </w:p>
        </w:tc>
        <w:tc>
          <w:tcPr>
            <w:tcW w:w="300" w:type="dxa"/>
            <w:vAlign w:val="bottom"/>
            <w:shd w:val="clear" w:color="auto" w:fill="E5F1EE"/>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681</w:t>
            </w:r>
          </w:p>
        </w:tc>
        <w:tc>
          <w:tcPr>
            <w:tcW w:w="420" w:type="dxa"/>
            <w:vAlign w:val="bottom"/>
            <w:gridSpan w:val="2"/>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2,851</w:t>
            </w: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2,588</w:t>
            </w:r>
          </w:p>
        </w:tc>
      </w:tr>
      <w:tr>
        <w:trPr>
          <w:trHeight w:val="124"/>
        </w:trPr>
        <w:tc>
          <w:tcPr>
            <w:tcW w:w="720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Amortization of core deposit and other intangible assets (1)</w:t>
            </w: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220" w:type="dxa"/>
            <w:vAlign w:val="bottom"/>
            <w:tcBorders>
              <w:bottom w:val="single" w:sz="8" w:color="E5F1EE"/>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220" w:type="dxa"/>
            <w:vAlign w:val="bottom"/>
            <w:tcBorders>
              <w:bottom w:val="single" w:sz="8" w:color="E5F1EE"/>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32</w:t>
            </w:r>
          </w:p>
        </w:tc>
        <w:tc>
          <w:tcPr>
            <w:tcW w:w="220" w:type="dxa"/>
            <w:vAlign w:val="bottom"/>
            <w:tcBorders>
              <w:bottom w:val="single" w:sz="8" w:color="E5F1EE"/>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42</w:t>
            </w:r>
          </w:p>
        </w:tc>
      </w:tr>
      <w:tr>
        <w:trPr>
          <w:trHeight w:val="135"/>
        </w:trPr>
        <w:tc>
          <w:tcPr>
            <w:tcW w:w="7200" w:type="dxa"/>
            <w:vAlign w:val="bottom"/>
            <w:tcBorders>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Net operating income</w:t>
            </w:r>
          </w:p>
        </w:tc>
        <w:tc>
          <w:tcPr>
            <w:tcW w:w="200" w:type="dxa"/>
            <w:vAlign w:val="bottom"/>
            <w:tcBorders>
              <w:bottom w:val="single" w:sz="8" w:color="auto"/>
            </w:tcBorders>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767</w:t>
            </w:r>
          </w:p>
        </w:tc>
        <w:tc>
          <w:tcPr>
            <w:tcW w:w="220" w:type="dxa"/>
            <w:vAlign w:val="bottom"/>
            <w:tcBorders>
              <w:bottom w:val="single" w:sz="8" w:color="E5F1EE"/>
            </w:tcBorders>
            <w:shd w:val="clear" w:color="auto" w:fill="E5F1EE"/>
          </w:tcPr>
          <w:p>
            <w:pPr>
              <w:spacing w:after="0"/>
              <w:rPr>
                <w:sz w:val="11"/>
                <w:szCs w:val="11"/>
                <w:color w:val="auto"/>
              </w:rPr>
            </w:pPr>
          </w:p>
        </w:tc>
        <w:tc>
          <w:tcPr>
            <w:tcW w:w="300" w:type="dxa"/>
            <w:vAlign w:val="bottom"/>
            <w:tcBorders>
              <w:bottom w:val="single" w:sz="8" w:color="auto"/>
            </w:tcBorders>
            <w:shd w:val="clear" w:color="auto" w:fill="E5F1EE"/>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691</w:t>
            </w:r>
          </w:p>
        </w:tc>
        <w:tc>
          <w:tcPr>
            <w:tcW w:w="22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2,883</w:t>
            </w:r>
          </w:p>
        </w:tc>
        <w:tc>
          <w:tcPr>
            <w:tcW w:w="220" w:type="dxa"/>
            <w:vAlign w:val="bottom"/>
            <w:tcBorders>
              <w:bottom w:val="single" w:sz="8" w:color="E5F1EE"/>
            </w:tcBorders>
            <w:shd w:val="clear" w:color="auto" w:fill="E5F1EE"/>
          </w:tcPr>
          <w:p>
            <w:pPr>
              <w:spacing w:after="0"/>
              <w:rPr>
                <w:sz w:val="11"/>
                <w:szCs w:val="11"/>
                <w:color w:val="auto"/>
              </w:rPr>
            </w:pPr>
          </w:p>
        </w:tc>
        <w:tc>
          <w:tcPr>
            <w:tcW w:w="240" w:type="dxa"/>
            <w:vAlign w:val="bottom"/>
            <w:tcBorders>
              <w:bottom w:val="single" w:sz="8" w:color="auto"/>
            </w:tcBorders>
            <w:shd w:val="clear" w:color="auto" w:fill="E5F1EE"/>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2,630</w:t>
            </w:r>
          </w:p>
        </w:tc>
      </w:tr>
      <w:tr>
        <w:trPr>
          <w:trHeight w:val="105"/>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Earnings per common share</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7"/>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Diluted earnings per common share</w:t>
            </w:r>
          </w:p>
        </w:tc>
        <w:tc>
          <w:tcPr>
            <w:tcW w:w="200" w:type="dxa"/>
            <w:vAlign w:val="bottom"/>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4.67</w:t>
            </w:r>
          </w:p>
        </w:tc>
        <w:tc>
          <w:tcPr>
            <w:tcW w:w="220" w:type="dxa"/>
            <w:vAlign w:val="bottom"/>
            <w:shd w:val="clear" w:color="auto" w:fill="E5F1EE"/>
          </w:tcPr>
          <w:p>
            <w:pPr>
              <w:spacing w:after="0"/>
              <w:rPr>
                <w:sz w:val="11"/>
                <w:szCs w:val="11"/>
                <w:color w:val="auto"/>
              </w:rPr>
            </w:pPr>
          </w:p>
        </w:tc>
        <w:tc>
          <w:tcPr>
            <w:tcW w:w="300" w:type="dxa"/>
            <w:vAlign w:val="bottom"/>
            <w:shd w:val="clear" w:color="auto" w:fill="E5F1EE"/>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3.86</w:t>
            </w:r>
          </w:p>
        </w:tc>
        <w:tc>
          <w:tcPr>
            <w:tcW w:w="420" w:type="dxa"/>
            <w:vAlign w:val="bottom"/>
            <w:gridSpan w:val="2"/>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17.00</w:t>
            </w: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14.64</w:t>
            </w:r>
          </w:p>
        </w:tc>
      </w:tr>
      <w:tr>
        <w:trPr>
          <w:trHeight w:val="124"/>
        </w:trPr>
        <w:tc>
          <w:tcPr>
            <w:tcW w:w="720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Amortization of core deposit and other intangible assets (1)</w:t>
            </w: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.05</w:t>
            </w:r>
          </w:p>
        </w:tc>
        <w:tc>
          <w:tcPr>
            <w:tcW w:w="220" w:type="dxa"/>
            <w:vAlign w:val="bottom"/>
            <w:tcBorders>
              <w:bottom w:val="single" w:sz="8" w:color="E5F1EE"/>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.06</w:t>
            </w:r>
          </w:p>
        </w:tc>
        <w:tc>
          <w:tcPr>
            <w:tcW w:w="220" w:type="dxa"/>
            <w:vAlign w:val="bottom"/>
            <w:tcBorders>
              <w:bottom w:val="single" w:sz="8" w:color="E5F1EE"/>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w:t>
            </w:r>
          </w:p>
        </w:tc>
        <w:tc>
          <w:tcPr>
            <w:tcW w:w="220" w:type="dxa"/>
            <w:vAlign w:val="bottom"/>
            <w:tcBorders>
              <w:bottom w:val="single" w:sz="8" w:color="E5F1EE"/>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.24</w:t>
            </w:r>
          </w:p>
        </w:tc>
      </w:tr>
      <w:tr>
        <w:trPr>
          <w:trHeight w:val="135"/>
        </w:trPr>
        <w:tc>
          <w:tcPr>
            <w:tcW w:w="7200" w:type="dxa"/>
            <w:vAlign w:val="bottom"/>
            <w:tcBorders>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Diluted net operating earnings per common share</w:t>
            </w:r>
          </w:p>
        </w:tc>
        <w:tc>
          <w:tcPr>
            <w:tcW w:w="200" w:type="dxa"/>
            <w:vAlign w:val="bottom"/>
            <w:tcBorders>
              <w:bottom w:val="single" w:sz="8" w:color="auto"/>
            </w:tcBorders>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4.72</w:t>
            </w:r>
          </w:p>
        </w:tc>
        <w:tc>
          <w:tcPr>
            <w:tcW w:w="220" w:type="dxa"/>
            <w:vAlign w:val="bottom"/>
            <w:tcBorders>
              <w:bottom w:val="single" w:sz="8" w:color="E5F1EE"/>
            </w:tcBorders>
            <w:shd w:val="clear" w:color="auto" w:fill="E5F1EE"/>
          </w:tcPr>
          <w:p>
            <w:pPr>
              <w:spacing w:after="0"/>
              <w:rPr>
                <w:sz w:val="11"/>
                <w:szCs w:val="11"/>
                <w:color w:val="auto"/>
              </w:rPr>
            </w:pPr>
          </w:p>
        </w:tc>
        <w:tc>
          <w:tcPr>
            <w:tcW w:w="300" w:type="dxa"/>
            <w:vAlign w:val="bottom"/>
            <w:tcBorders>
              <w:bottom w:val="single" w:sz="8" w:color="auto"/>
            </w:tcBorders>
            <w:shd w:val="clear" w:color="auto" w:fill="E5F1EE"/>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3.92</w:t>
            </w:r>
          </w:p>
        </w:tc>
        <w:tc>
          <w:tcPr>
            <w:tcW w:w="22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17.20</w:t>
            </w:r>
          </w:p>
        </w:tc>
        <w:tc>
          <w:tcPr>
            <w:tcW w:w="220" w:type="dxa"/>
            <w:vAlign w:val="bottom"/>
            <w:tcBorders>
              <w:bottom w:val="single" w:sz="8" w:color="E5F1EE"/>
            </w:tcBorders>
            <w:shd w:val="clear" w:color="auto" w:fill="E5F1EE"/>
          </w:tcPr>
          <w:p>
            <w:pPr>
              <w:spacing w:after="0"/>
              <w:rPr>
                <w:sz w:val="11"/>
                <w:szCs w:val="11"/>
                <w:color w:val="auto"/>
              </w:rPr>
            </w:pPr>
          </w:p>
        </w:tc>
        <w:tc>
          <w:tcPr>
            <w:tcW w:w="240" w:type="dxa"/>
            <w:vAlign w:val="bottom"/>
            <w:tcBorders>
              <w:bottom w:val="single" w:sz="8" w:color="auto"/>
            </w:tcBorders>
            <w:shd w:val="clear" w:color="auto" w:fill="E5F1EE"/>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14.88</w:t>
            </w:r>
          </w:p>
        </w:tc>
      </w:tr>
      <w:tr>
        <w:trPr>
          <w:trHeight w:val="105"/>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Other expense</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7"/>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Other expense</w:t>
            </w:r>
          </w:p>
        </w:tc>
        <w:tc>
          <w:tcPr>
            <w:tcW w:w="200" w:type="dxa"/>
            <w:vAlign w:val="bottom"/>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1,379</w:t>
            </w:r>
          </w:p>
        </w:tc>
        <w:tc>
          <w:tcPr>
            <w:tcW w:w="220" w:type="dxa"/>
            <w:vAlign w:val="bottom"/>
            <w:shd w:val="clear" w:color="auto" w:fill="E5F1EE"/>
          </w:tcPr>
          <w:p>
            <w:pPr>
              <w:spacing w:after="0"/>
              <w:rPr>
                <w:sz w:val="11"/>
                <w:szCs w:val="11"/>
                <w:color w:val="auto"/>
              </w:rPr>
            </w:pPr>
          </w:p>
        </w:tc>
        <w:tc>
          <w:tcPr>
            <w:tcW w:w="300" w:type="dxa"/>
            <w:vAlign w:val="bottom"/>
            <w:shd w:val="clear" w:color="auto" w:fill="E5F1EE"/>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1,363</w:t>
            </w:r>
          </w:p>
        </w:tc>
        <w:tc>
          <w:tcPr>
            <w:tcW w:w="420" w:type="dxa"/>
            <w:vAlign w:val="bottom"/>
            <w:gridSpan w:val="2"/>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5,493</w:t>
            </w: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5,359</w:t>
            </w:r>
          </w:p>
        </w:tc>
      </w:tr>
      <w:tr>
        <w:trPr>
          <w:trHeight w:val="124"/>
        </w:trPr>
        <w:tc>
          <w:tcPr>
            <w:tcW w:w="720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Amortization of core deposit and other intangible assets</w:t>
            </w: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220" w:type="dxa"/>
            <w:vAlign w:val="bottom"/>
            <w:tcBorders>
              <w:bottom w:val="single" w:sz="8" w:color="E5F1EE"/>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w:t>
            </w:r>
          </w:p>
        </w:tc>
        <w:tc>
          <w:tcPr>
            <w:tcW w:w="220" w:type="dxa"/>
            <w:vAlign w:val="bottom"/>
            <w:tcBorders>
              <w:bottom w:val="single" w:sz="8" w:color="E5F1EE"/>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(42)</w:t>
            </w:r>
          </w:p>
        </w:tc>
        <w:tc>
          <w:tcPr>
            <w:tcW w:w="220" w:type="dxa"/>
            <w:vAlign w:val="bottom"/>
            <w:tcBorders>
              <w:bottom w:val="single" w:sz="8" w:color="E5F1EE"/>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(53)</w:t>
            </w:r>
          </w:p>
        </w:tc>
      </w:tr>
      <w:tr>
        <w:trPr>
          <w:trHeight w:val="119"/>
        </w:trPr>
        <w:tc>
          <w:tcPr>
            <w:tcW w:w="7200" w:type="dxa"/>
            <w:vAlign w:val="bottom"/>
            <w:tcBorders>
              <w:bottom w:val="single" w:sz="8" w:color="E5F1EE"/>
            </w:tcBorders>
            <w:gridSpan w:val="3"/>
            <w:shd w:val="clear" w:color="auto" w:fill="E5F1EE"/>
          </w:tcPr>
          <w:p>
            <w:pPr>
              <w:spacing w:after="0" w:line="100" w:lineRule="exact"/>
              <w:rPr>
                <w:sz w:val="20"/>
                <w:szCs w:val="20"/>
                <w:color w:val="auto"/>
              </w:rPr>
            </w:pPr>
            <w:r>
              <w:rPr>
                <w:rFonts w:ascii="Times New Roman" w:cs="Times New Roman" w:eastAsia="Times New Roman" w:hAnsi="Times New Roman"/>
                <w:sz w:val="9"/>
                <w:szCs w:val="9"/>
                <w:color w:val="auto"/>
              </w:rPr>
              <w:t>Noninterest operating expense</w:t>
            </w:r>
          </w:p>
        </w:tc>
        <w:tc>
          <w:tcPr>
            <w:tcW w:w="200" w:type="dxa"/>
            <w:vAlign w:val="bottom"/>
            <w:tcBorders>
              <w:bottom w:val="single" w:sz="8" w:color="auto"/>
            </w:tcBorders>
            <w:shd w:val="clear" w:color="auto" w:fill="E5F1EE"/>
          </w:tcPr>
          <w:p>
            <w:pPr>
              <w:jc w:val="right"/>
              <w:ind w:right="93"/>
              <w:spacing w:after="0" w:line="100"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line="100" w:lineRule="exact"/>
              <w:rPr>
                <w:sz w:val="20"/>
                <w:szCs w:val="20"/>
                <w:color w:val="auto"/>
              </w:rPr>
            </w:pPr>
            <w:r>
              <w:rPr>
                <w:rFonts w:ascii="Times New Roman" w:cs="Times New Roman" w:eastAsia="Times New Roman" w:hAnsi="Times New Roman"/>
                <w:sz w:val="9"/>
                <w:szCs w:val="9"/>
                <w:color w:val="auto"/>
              </w:rPr>
              <w:t>1,369</w:t>
            </w:r>
          </w:p>
        </w:tc>
        <w:tc>
          <w:tcPr>
            <w:tcW w:w="220" w:type="dxa"/>
            <w:vAlign w:val="bottom"/>
            <w:tcBorders>
              <w:bottom w:val="single" w:sz="8" w:color="E5F1EE"/>
            </w:tcBorders>
            <w:shd w:val="clear" w:color="auto" w:fill="E5F1EE"/>
          </w:tcPr>
          <w:p>
            <w:pPr>
              <w:spacing w:after="0"/>
              <w:rPr>
                <w:sz w:val="10"/>
                <w:szCs w:val="10"/>
                <w:color w:val="auto"/>
              </w:rPr>
            </w:pPr>
          </w:p>
        </w:tc>
        <w:tc>
          <w:tcPr>
            <w:tcW w:w="300" w:type="dxa"/>
            <w:vAlign w:val="bottom"/>
            <w:tcBorders>
              <w:bottom w:val="single" w:sz="8" w:color="auto"/>
            </w:tcBorders>
            <w:shd w:val="clear" w:color="auto" w:fill="E5F1EE"/>
          </w:tcPr>
          <w:p>
            <w:pPr>
              <w:jc w:val="right"/>
              <w:ind w:right="193"/>
              <w:spacing w:after="0" w:line="100" w:lineRule="exact"/>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Borders>
              <w:bottom w:val="single" w:sz="8" w:color="auto"/>
            </w:tcBorders>
            <w:shd w:val="clear" w:color="auto" w:fill="E5F1EE"/>
          </w:tcPr>
          <w:p>
            <w:pPr>
              <w:jc w:val="right"/>
              <w:spacing w:after="0" w:line="100" w:lineRule="exact"/>
              <w:rPr>
                <w:sz w:val="20"/>
                <w:szCs w:val="20"/>
                <w:color w:val="auto"/>
              </w:rPr>
            </w:pPr>
            <w:r>
              <w:rPr>
                <w:rFonts w:ascii="Times New Roman" w:cs="Times New Roman" w:eastAsia="Times New Roman" w:hAnsi="Times New Roman"/>
                <w:sz w:val="9"/>
                <w:szCs w:val="9"/>
                <w:color w:val="auto"/>
              </w:rPr>
              <w:t>1,350</w:t>
            </w:r>
          </w:p>
        </w:tc>
        <w:tc>
          <w:tcPr>
            <w:tcW w:w="220" w:type="dxa"/>
            <w:vAlign w:val="bottom"/>
            <w:tcBorders>
              <w:bottom w:val="single" w:sz="8" w:color="E5F1EE"/>
            </w:tcBorders>
            <w:shd w:val="clear" w:color="auto" w:fill="E5F1EE"/>
          </w:tcPr>
          <w:p>
            <w:pPr>
              <w:spacing w:after="0"/>
              <w:rPr>
                <w:sz w:val="10"/>
                <w:szCs w:val="10"/>
                <w:color w:val="auto"/>
              </w:rPr>
            </w:pPr>
          </w:p>
        </w:tc>
        <w:tc>
          <w:tcPr>
            <w:tcW w:w="200" w:type="dxa"/>
            <w:vAlign w:val="bottom"/>
            <w:tcBorders>
              <w:bottom w:val="single" w:sz="8" w:color="auto"/>
            </w:tcBorders>
            <w:shd w:val="clear" w:color="auto" w:fill="E5F1EE"/>
          </w:tcPr>
          <w:p>
            <w:pPr>
              <w:jc w:val="right"/>
              <w:ind w:right="93"/>
              <w:spacing w:after="0" w:line="100"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line="100" w:lineRule="exact"/>
              <w:rPr>
                <w:sz w:val="20"/>
                <w:szCs w:val="20"/>
                <w:color w:val="auto"/>
              </w:rPr>
            </w:pPr>
            <w:r>
              <w:rPr>
                <w:rFonts w:ascii="Times New Roman" w:cs="Times New Roman" w:eastAsia="Times New Roman" w:hAnsi="Times New Roman"/>
                <w:sz w:val="9"/>
                <w:szCs w:val="9"/>
                <w:color w:val="auto"/>
              </w:rPr>
              <w:t>5,451</w:t>
            </w:r>
          </w:p>
        </w:tc>
        <w:tc>
          <w:tcPr>
            <w:tcW w:w="220" w:type="dxa"/>
            <w:vAlign w:val="bottom"/>
            <w:tcBorders>
              <w:bottom w:val="single" w:sz="8" w:color="E5F1EE"/>
            </w:tcBorders>
            <w:shd w:val="clear" w:color="auto" w:fill="E5F1EE"/>
          </w:tcPr>
          <w:p>
            <w:pPr>
              <w:spacing w:after="0"/>
              <w:rPr>
                <w:sz w:val="10"/>
                <w:szCs w:val="10"/>
                <w:color w:val="auto"/>
              </w:rPr>
            </w:pPr>
          </w:p>
        </w:tc>
        <w:tc>
          <w:tcPr>
            <w:tcW w:w="240" w:type="dxa"/>
            <w:vAlign w:val="bottom"/>
            <w:tcBorders>
              <w:bottom w:val="single" w:sz="8" w:color="auto"/>
            </w:tcBorders>
            <w:shd w:val="clear" w:color="auto" w:fill="E5F1EE"/>
          </w:tcPr>
          <w:p>
            <w:pPr>
              <w:jc w:val="right"/>
              <w:ind w:right="133"/>
              <w:spacing w:after="0" w:line="100" w:lineRule="exact"/>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spacing w:after="0" w:line="100" w:lineRule="exact"/>
              <w:rPr>
                <w:sz w:val="20"/>
                <w:szCs w:val="20"/>
                <w:color w:val="auto"/>
              </w:rPr>
            </w:pPr>
            <w:r>
              <w:rPr>
                <w:rFonts w:ascii="Times New Roman" w:cs="Times New Roman" w:eastAsia="Times New Roman" w:hAnsi="Times New Roman"/>
                <w:sz w:val="9"/>
                <w:szCs w:val="9"/>
                <w:color w:val="auto"/>
              </w:rPr>
              <w:t>5,306</w:t>
            </w:r>
          </w:p>
        </w:tc>
      </w:tr>
      <w:tr>
        <w:trPr>
          <w:trHeight w:val="103"/>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Efficiency ratio</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47"/>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Noninterest operating expense (numerator)</w:t>
            </w:r>
          </w:p>
        </w:tc>
        <w:tc>
          <w:tcPr>
            <w:tcW w:w="200" w:type="dxa"/>
            <w:vAlign w:val="bottom"/>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1,369</w:t>
            </w:r>
          </w:p>
        </w:tc>
        <w:tc>
          <w:tcPr>
            <w:tcW w:w="220" w:type="dxa"/>
            <w:vAlign w:val="bottom"/>
            <w:shd w:val="clear" w:color="auto" w:fill="E5F1EE"/>
          </w:tcPr>
          <w:p>
            <w:pPr>
              <w:spacing w:after="0"/>
              <w:rPr>
                <w:sz w:val="12"/>
                <w:szCs w:val="12"/>
                <w:color w:val="auto"/>
              </w:rPr>
            </w:pPr>
          </w:p>
        </w:tc>
        <w:tc>
          <w:tcPr>
            <w:tcW w:w="300" w:type="dxa"/>
            <w:vAlign w:val="bottom"/>
            <w:shd w:val="clear" w:color="auto" w:fill="E5F1EE"/>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1,350</w:t>
            </w:r>
          </w:p>
        </w:tc>
        <w:tc>
          <w:tcPr>
            <w:tcW w:w="420" w:type="dxa"/>
            <w:vAlign w:val="bottom"/>
            <w:gridSpan w:val="2"/>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5,451</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5,306</w:t>
            </w:r>
          </w:p>
        </w:tc>
      </w:tr>
      <w:tr>
        <w:trPr>
          <w:trHeight w:val="120"/>
        </w:trPr>
        <w:tc>
          <w:tcPr>
            <w:tcW w:w="7200" w:type="dxa"/>
            <w:vAlign w:val="bottom"/>
            <w:tcBorders>
              <w:top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Taxable-equivalent net interest income</w:t>
            </w:r>
          </w:p>
        </w:tc>
        <w:tc>
          <w:tcPr>
            <w:tcW w:w="2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1,790</w:t>
            </w:r>
          </w:p>
        </w:tc>
        <w:tc>
          <w:tcPr>
            <w:tcW w:w="220" w:type="dxa"/>
            <w:vAlign w:val="bottom"/>
            <w:tcBorders>
              <w:top w:val="single" w:sz="8" w:color="E5F1EE"/>
            </w:tcBorders>
          </w:tcPr>
          <w:p>
            <w:pPr>
              <w:spacing w:after="0"/>
              <w:rPr>
                <w:sz w:val="10"/>
                <w:szCs w:val="10"/>
                <w:color w:val="auto"/>
              </w:rPr>
            </w:pPr>
          </w:p>
        </w:tc>
        <w:tc>
          <w:tcPr>
            <w:tcW w:w="3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1,740</w:t>
            </w:r>
          </w:p>
        </w:tc>
        <w:tc>
          <w:tcPr>
            <w:tcW w:w="220" w:type="dxa"/>
            <w:vAlign w:val="bottom"/>
            <w:tcBorders>
              <w:top w:val="single" w:sz="8" w:color="E5F1EE"/>
            </w:tcBorders>
          </w:tcPr>
          <w:p>
            <w:pPr>
              <w:spacing w:after="0"/>
              <w:rPr>
                <w:sz w:val="10"/>
                <w:szCs w:val="10"/>
                <w:color w:val="auto"/>
              </w:rPr>
            </w:pPr>
          </w:p>
        </w:tc>
        <w:tc>
          <w:tcPr>
            <w:tcW w:w="2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6,992</w:t>
            </w:r>
          </w:p>
        </w:tc>
        <w:tc>
          <w:tcPr>
            <w:tcW w:w="220" w:type="dxa"/>
            <w:vAlign w:val="bottom"/>
            <w:tcBorders>
              <w:top w:val="single" w:sz="8" w:color="E5F1EE"/>
            </w:tcBorders>
          </w:tcPr>
          <w:p>
            <w:pPr>
              <w:spacing w:after="0"/>
              <w:rPr>
                <w:sz w:val="10"/>
                <w:szCs w:val="10"/>
                <w:color w:val="auto"/>
              </w:rPr>
            </w:pPr>
          </w:p>
        </w:tc>
        <w:tc>
          <w:tcPr>
            <w:tcW w:w="2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6,902</w:t>
            </w:r>
          </w:p>
        </w:tc>
      </w:tr>
      <w:tr>
        <w:trPr>
          <w:trHeight w:val="128"/>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Other income</w:t>
            </w: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696</w:t>
            </w:r>
          </w:p>
        </w:tc>
        <w:tc>
          <w:tcPr>
            <w:tcW w:w="220" w:type="dxa"/>
            <w:vAlign w:val="bottom"/>
            <w:shd w:val="clear" w:color="auto" w:fill="E5F1EE"/>
          </w:tcPr>
          <w:p>
            <w:pPr>
              <w:spacing w:after="0"/>
              <w:rPr>
                <w:sz w:val="11"/>
                <w:szCs w:val="11"/>
                <w:color w:val="auto"/>
              </w:rPr>
            </w:pPr>
          </w:p>
        </w:tc>
        <w:tc>
          <w:tcPr>
            <w:tcW w:w="300" w:type="dxa"/>
            <w:vAlign w:val="bottom"/>
            <w:shd w:val="clear" w:color="auto" w:fill="E5F1EE"/>
          </w:tcPr>
          <w:p>
            <w:pPr>
              <w:spacing w:after="0"/>
              <w:rPr>
                <w:sz w:val="11"/>
                <w:szCs w:val="11"/>
                <w:color w:val="auto"/>
              </w:rPr>
            </w:pP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657</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2,742</w:t>
            </w: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2,427</w:t>
            </w:r>
          </w:p>
        </w:tc>
      </w:tr>
      <w:tr>
        <w:trPr>
          <w:trHeight w:val="124"/>
        </w:trPr>
        <w:tc>
          <w:tcPr>
            <w:tcW w:w="720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Less: Gain (loss) on bank investment securities</w:t>
            </w: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20" w:type="dxa"/>
            <w:vAlign w:val="bottom"/>
            <w:tcBorders>
              <w:bottom w:val="single" w:sz="8" w:color="E5F1EE"/>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18</w:t>
            </w:r>
          </w:p>
        </w:tc>
        <w:tc>
          <w:tcPr>
            <w:tcW w:w="220" w:type="dxa"/>
            <w:vAlign w:val="bottom"/>
            <w:tcBorders>
              <w:bottom w:val="single" w:sz="8" w:color="E5F1EE"/>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220" w:type="dxa"/>
            <w:vAlign w:val="bottom"/>
            <w:tcBorders>
              <w:bottom w:val="single" w:sz="8" w:color="E5F1EE"/>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w:t>
            </w:r>
          </w:p>
        </w:tc>
      </w:tr>
      <w:tr>
        <w:trPr>
          <w:trHeight w:val="135"/>
        </w:trPr>
        <w:tc>
          <w:tcPr>
            <w:tcW w:w="7200" w:type="dxa"/>
            <w:vAlign w:val="bottom"/>
            <w:tcBorders>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Denominator</w:t>
            </w:r>
          </w:p>
        </w:tc>
        <w:tc>
          <w:tcPr>
            <w:tcW w:w="200" w:type="dxa"/>
            <w:vAlign w:val="bottom"/>
            <w:tcBorders>
              <w:bottom w:val="single" w:sz="8" w:color="auto"/>
            </w:tcBorders>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2,485</w:t>
            </w:r>
          </w:p>
        </w:tc>
        <w:tc>
          <w:tcPr>
            <w:tcW w:w="220" w:type="dxa"/>
            <w:vAlign w:val="bottom"/>
            <w:tcBorders>
              <w:bottom w:val="single" w:sz="8" w:color="E5F1EE"/>
            </w:tcBorders>
            <w:shd w:val="clear" w:color="auto" w:fill="E5F1EE"/>
          </w:tcPr>
          <w:p>
            <w:pPr>
              <w:spacing w:after="0"/>
              <w:rPr>
                <w:sz w:val="11"/>
                <w:szCs w:val="11"/>
                <w:color w:val="auto"/>
              </w:rPr>
            </w:pPr>
          </w:p>
        </w:tc>
        <w:tc>
          <w:tcPr>
            <w:tcW w:w="300" w:type="dxa"/>
            <w:vAlign w:val="bottom"/>
            <w:tcBorders>
              <w:bottom w:val="single" w:sz="8" w:color="auto"/>
            </w:tcBorders>
            <w:shd w:val="clear" w:color="auto" w:fill="E5F1EE"/>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2,379</w:t>
            </w:r>
          </w:p>
        </w:tc>
        <w:tc>
          <w:tcPr>
            <w:tcW w:w="22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9,732</w:t>
            </w:r>
          </w:p>
        </w:tc>
        <w:tc>
          <w:tcPr>
            <w:tcW w:w="220" w:type="dxa"/>
            <w:vAlign w:val="bottom"/>
            <w:tcBorders>
              <w:bottom w:val="single" w:sz="8" w:color="E5F1EE"/>
            </w:tcBorders>
            <w:shd w:val="clear" w:color="auto" w:fill="E5F1EE"/>
          </w:tcPr>
          <w:p>
            <w:pPr>
              <w:spacing w:after="0"/>
              <w:rPr>
                <w:sz w:val="11"/>
                <w:szCs w:val="11"/>
                <w:color w:val="auto"/>
              </w:rPr>
            </w:pPr>
          </w:p>
        </w:tc>
        <w:tc>
          <w:tcPr>
            <w:tcW w:w="240" w:type="dxa"/>
            <w:vAlign w:val="bottom"/>
            <w:tcBorders>
              <w:bottom w:val="single" w:sz="8" w:color="auto"/>
            </w:tcBorders>
            <w:shd w:val="clear" w:color="auto" w:fill="E5F1EE"/>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9,319</w:t>
            </w:r>
          </w:p>
        </w:tc>
      </w:tr>
      <w:tr>
        <w:trPr>
          <w:trHeight w:val="142"/>
        </w:trPr>
        <w:tc>
          <w:tcPr>
            <w:tcW w:w="720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Efficiency ratio</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55.1 %</w:t>
            </w:r>
          </w:p>
        </w:tc>
        <w:tc>
          <w:tcPr>
            <w:tcW w:w="220" w:type="dxa"/>
            <w:vAlign w:val="bottom"/>
            <w:tcBorders>
              <w:bottom w:val="single" w:sz="8" w:color="E5F1EE"/>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56.8 %</w:t>
            </w:r>
          </w:p>
        </w:tc>
        <w:tc>
          <w:tcPr>
            <w:tcW w:w="220" w:type="dxa"/>
            <w:vAlign w:val="bottom"/>
            <w:tcBorders>
              <w:bottom w:val="single" w:sz="8" w:color="E5F1EE"/>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56.0 %</w:t>
            </w:r>
          </w:p>
        </w:tc>
        <w:tc>
          <w:tcPr>
            <w:tcW w:w="220" w:type="dxa"/>
            <w:vAlign w:val="bottom"/>
            <w:tcBorders>
              <w:bottom w:val="single" w:sz="8" w:color="E5F1EE"/>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56.9 %</w:t>
            </w:r>
          </w:p>
        </w:tc>
      </w:tr>
      <w:tr>
        <w:trPr>
          <w:trHeight w:val="86"/>
        </w:trPr>
        <w:tc>
          <w:tcPr>
            <w:tcW w:w="7200" w:type="dxa"/>
            <w:vAlign w:val="bottom"/>
            <w:gridSpan w:val="3"/>
            <w:shd w:val="clear" w:color="auto" w:fill="E5F1EE"/>
          </w:tcPr>
          <w:p>
            <w:pPr>
              <w:spacing w:after="0" w:line="79" w:lineRule="exact"/>
              <w:rPr>
                <w:sz w:val="20"/>
                <w:szCs w:val="20"/>
                <w:color w:val="auto"/>
              </w:rPr>
            </w:pPr>
            <w:r>
              <w:rPr>
                <w:rFonts w:ascii="Times New Roman" w:cs="Times New Roman" w:eastAsia="Times New Roman" w:hAnsi="Times New Roman"/>
                <w:sz w:val="9"/>
                <w:szCs w:val="9"/>
                <w:b w:val="1"/>
                <w:bCs w:val="1"/>
                <w:color w:val="auto"/>
              </w:rPr>
              <w:t>Balance sheet data</w:t>
            </w:r>
          </w:p>
        </w:tc>
        <w:tc>
          <w:tcPr>
            <w:tcW w:w="200" w:type="dxa"/>
            <w:vAlign w:val="bottom"/>
            <w:shd w:val="clear" w:color="auto" w:fill="E5F1EE"/>
          </w:tcPr>
          <w:p>
            <w:pPr>
              <w:spacing w:after="0"/>
              <w:rPr>
                <w:sz w:val="7"/>
                <w:szCs w:val="7"/>
                <w:color w:val="auto"/>
              </w:rPr>
            </w:pPr>
          </w:p>
        </w:tc>
        <w:tc>
          <w:tcPr>
            <w:tcW w:w="660" w:type="dxa"/>
            <w:vAlign w:val="bottom"/>
            <w:shd w:val="clear" w:color="auto" w:fill="E5F1EE"/>
          </w:tcPr>
          <w:p>
            <w:pPr>
              <w:spacing w:after="0"/>
              <w:rPr>
                <w:sz w:val="7"/>
                <w:szCs w:val="7"/>
                <w:color w:val="auto"/>
              </w:rPr>
            </w:pPr>
          </w:p>
        </w:tc>
        <w:tc>
          <w:tcPr>
            <w:tcW w:w="220" w:type="dxa"/>
            <w:vAlign w:val="bottom"/>
            <w:shd w:val="clear" w:color="auto" w:fill="E5F1EE"/>
          </w:tcPr>
          <w:p>
            <w:pPr>
              <w:spacing w:after="0"/>
              <w:rPr>
                <w:sz w:val="7"/>
                <w:szCs w:val="7"/>
                <w:color w:val="auto"/>
              </w:rPr>
            </w:pPr>
          </w:p>
        </w:tc>
        <w:tc>
          <w:tcPr>
            <w:tcW w:w="300" w:type="dxa"/>
            <w:vAlign w:val="bottom"/>
            <w:shd w:val="clear" w:color="auto" w:fill="E5F1EE"/>
          </w:tcPr>
          <w:p>
            <w:pPr>
              <w:spacing w:after="0"/>
              <w:rPr>
                <w:sz w:val="7"/>
                <w:szCs w:val="7"/>
                <w:color w:val="auto"/>
              </w:rPr>
            </w:pPr>
          </w:p>
        </w:tc>
        <w:tc>
          <w:tcPr>
            <w:tcW w:w="560" w:type="dxa"/>
            <w:vAlign w:val="bottom"/>
            <w:shd w:val="clear" w:color="auto" w:fill="E5F1EE"/>
          </w:tcPr>
          <w:p>
            <w:pPr>
              <w:spacing w:after="0"/>
              <w:rPr>
                <w:sz w:val="7"/>
                <w:szCs w:val="7"/>
                <w:color w:val="auto"/>
              </w:rPr>
            </w:pPr>
          </w:p>
        </w:tc>
        <w:tc>
          <w:tcPr>
            <w:tcW w:w="220" w:type="dxa"/>
            <w:vAlign w:val="bottom"/>
            <w:shd w:val="clear" w:color="auto" w:fill="E5F1EE"/>
          </w:tcPr>
          <w:p>
            <w:pPr>
              <w:spacing w:after="0"/>
              <w:rPr>
                <w:sz w:val="7"/>
                <w:szCs w:val="7"/>
                <w:color w:val="auto"/>
              </w:rPr>
            </w:pPr>
          </w:p>
        </w:tc>
        <w:tc>
          <w:tcPr>
            <w:tcW w:w="200" w:type="dxa"/>
            <w:vAlign w:val="bottom"/>
            <w:shd w:val="clear" w:color="auto" w:fill="E5F1EE"/>
          </w:tcPr>
          <w:p>
            <w:pPr>
              <w:spacing w:after="0"/>
              <w:rPr>
                <w:sz w:val="7"/>
                <w:szCs w:val="7"/>
                <w:color w:val="auto"/>
              </w:rPr>
            </w:pPr>
          </w:p>
        </w:tc>
        <w:tc>
          <w:tcPr>
            <w:tcW w:w="660" w:type="dxa"/>
            <w:vAlign w:val="bottom"/>
            <w:shd w:val="clear" w:color="auto" w:fill="E5F1EE"/>
          </w:tcPr>
          <w:p>
            <w:pPr>
              <w:spacing w:after="0"/>
              <w:rPr>
                <w:sz w:val="7"/>
                <w:szCs w:val="7"/>
                <w:color w:val="auto"/>
              </w:rPr>
            </w:pPr>
          </w:p>
        </w:tc>
        <w:tc>
          <w:tcPr>
            <w:tcW w:w="220" w:type="dxa"/>
            <w:vAlign w:val="bottom"/>
            <w:shd w:val="clear" w:color="auto" w:fill="E5F1EE"/>
          </w:tcPr>
          <w:p>
            <w:pPr>
              <w:spacing w:after="0"/>
              <w:rPr>
                <w:sz w:val="7"/>
                <w:szCs w:val="7"/>
                <w:color w:val="auto"/>
              </w:rPr>
            </w:pPr>
          </w:p>
        </w:tc>
        <w:tc>
          <w:tcPr>
            <w:tcW w:w="240" w:type="dxa"/>
            <w:vAlign w:val="bottom"/>
            <w:shd w:val="clear" w:color="auto" w:fill="E5F1EE"/>
          </w:tcPr>
          <w:p>
            <w:pPr>
              <w:spacing w:after="0"/>
              <w:rPr>
                <w:sz w:val="7"/>
                <w:szCs w:val="7"/>
                <w:color w:val="auto"/>
              </w:rPr>
            </w:pPr>
          </w:p>
        </w:tc>
        <w:tc>
          <w:tcPr>
            <w:tcW w:w="620" w:type="dxa"/>
            <w:vAlign w:val="bottom"/>
            <w:shd w:val="clear" w:color="auto" w:fill="E5F1EE"/>
          </w:tcPr>
          <w:p>
            <w:pPr>
              <w:spacing w:after="0"/>
              <w:rPr>
                <w:sz w:val="7"/>
                <w:szCs w:val="7"/>
                <w:color w:val="auto"/>
              </w:rPr>
            </w:pPr>
          </w:p>
        </w:tc>
      </w:tr>
      <w:tr>
        <w:trPr>
          <w:trHeight w:val="125"/>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Average assets</w:t>
            </w:r>
          </w:p>
        </w:tc>
        <w:tc>
          <w:tcPr>
            <w:tcW w:w="6460" w:type="dxa"/>
            <w:vAlign w:val="bottom"/>
            <w:tcBorders>
              <w:top w:val="single" w:sz="8" w:color="E5F1EE"/>
            </w:tcBorders>
            <w:gridSpan w:val="2"/>
          </w:tcPr>
          <w:p>
            <w:pPr>
              <w:spacing w:after="0"/>
              <w:rPr>
                <w:sz w:val="10"/>
                <w:szCs w:val="10"/>
                <w:color w:val="auto"/>
              </w:rPr>
            </w:pPr>
          </w:p>
        </w:tc>
        <w:tc>
          <w:tcPr>
            <w:tcW w:w="200" w:type="dxa"/>
            <w:vAlign w:val="bottom"/>
            <w:tcBorders>
              <w:top w:val="single" w:sz="8" w:color="E5F1EE"/>
            </w:tcBorders>
          </w:tcPr>
          <w:p>
            <w:pPr>
              <w:spacing w:after="0"/>
              <w:rPr>
                <w:sz w:val="10"/>
                <w:szCs w:val="10"/>
                <w:color w:val="auto"/>
              </w:rPr>
            </w:pPr>
          </w:p>
        </w:tc>
        <w:tc>
          <w:tcPr>
            <w:tcW w:w="660" w:type="dxa"/>
            <w:vAlign w:val="bottom"/>
            <w:tcBorders>
              <w:top w:val="single" w:sz="8" w:color="E5F1EE"/>
            </w:tcBorders>
          </w:tcPr>
          <w:p>
            <w:pPr>
              <w:spacing w:after="0"/>
              <w:rPr>
                <w:sz w:val="10"/>
                <w:szCs w:val="10"/>
                <w:color w:val="auto"/>
              </w:rPr>
            </w:pPr>
          </w:p>
        </w:tc>
        <w:tc>
          <w:tcPr>
            <w:tcW w:w="220" w:type="dxa"/>
            <w:vAlign w:val="bottom"/>
            <w:tcBorders>
              <w:top w:val="single" w:sz="8" w:color="E5F1EE"/>
            </w:tcBorders>
          </w:tcPr>
          <w:p>
            <w:pPr>
              <w:spacing w:after="0"/>
              <w:rPr>
                <w:sz w:val="10"/>
                <w:szCs w:val="10"/>
                <w:color w:val="auto"/>
              </w:rPr>
            </w:pPr>
          </w:p>
        </w:tc>
        <w:tc>
          <w:tcPr>
            <w:tcW w:w="300" w:type="dxa"/>
            <w:vAlign w:val="bottom"/>
            <w:tcBorders>
              <w:top w:val="single" w:sz="8" w:color="E5F1EE"/>
            </w:tcBorders>
          </w:tcPr>
          <w:p>
            <w:pPr>
              <w:spacing w:after="0"/>
              <w:rPr>
                <w:sz w:val="10"/>
                <w:szCs w:val="10"/>
                <w:color w:val="auto"/>
              </w:rPr>
            </w:pPr>
          </w:p>
        </w:tc>
        <w:tc>
          <w:tcPr>
            <w:tcW w:w="560" w:type="dxa"/>
            <w:vAlign w:val="bottom"/>
            <w:tcBorders>
              <w:top w:val="single" w:sz="8" w:color="E5F1EE"/>
            </w:tcBorders>
          </w:tcPr>
          <w:p>
            <w:pPr>
              <w:spacing w:after="0"/>
              <w:rPr>
                <w:sz w:val="10"/>
                <w:szCs w:val="10"/>
                <w:color w:val="auto"/>
              </w:rPr>
            </w:pPr>
          </w:p>
        </w:tc>
        <w:tc>
          <w:tcPr>
            <w:tcW w:w="220" w:type="dxa"/>
            <w:vAlign w:val="bottom"/>
            <w:tcBorders>
              <w:top w:val="single" w:sz="8" w:color="E5F1EE"/>
            </w:tcBorders>
          </w:tcPr>
          <w:p>
            <w:pPr>
              <w:spacing w:after="0"/>
              <w:rPr>
                <w:sz w:val="10"/>
                <w:szCs w:val="10"/>
                <w:color w:val="auto"/>
              </w:rPr>
            </w:pPr>
          </w:p>
        </w:tc>
        <w:tc>
          <w:tcPr>
            <w:tcW w:w="200" w:type="dxa"/>
            <w:vAlign w:val="bottom"/>
            <w:tcBorders>
              <w:top w:val="single" w:sz="8" w:color="E5F1EE"/>
            </w:tcBorders>
          </w:tcPr>
          <w:p>
            <w:pPr>
              <w:spacing w:after="0"/>
              <w:rPr>
                <w:sz w:val="10"/>
                <w:szCs w:val="10"/>
                <w:color w:val="auto"/>
              </w:rPr>
            </w:pPr>
          </w:p>
        </w:tc>
        <w:tc>
          <w:tcPr>
            <w:tcW w:w="660" w:type="dxa"/>
            <w:vAlign w:val="bottom"/>
            <w:tcBorders>
              <w:top w:val="single" w:sz="8" w:color="E5F1EE"/>
            </w:tcBorders>
          </w:tcPr>
          <w:p>
            <w:pPr>
              <w:spacing w:after="0"/>
              <w:rPr>
                <w:sz w:val="10"/>
                <w:szCs w:val="10"/>
                <w:color w:val="auto"/>
              </w:rPr>
            </w:pPr>
          </w:p>
        </w:tc>
        <w:tc>
          <w:tcPr>
            <w:tcW w:w="220" w:type="dxa"/>
            <w:vAlign w:val="bottom"/>
            <w:tcBorders>
              <w:top w:val="single" w:sz="8" w:color="E5F1EE"/>
            </w:tcBorders>
          </w:tcPr>
          <w:p>
            <w:pPr>
              <w:spacing w:after="0"/>
              <w:rPr>
                <w:sz w:val="10"/>
                <w:szCs w:val="10"/>
                <w:color w:val="auto"/>
              </w:rPr>
            </w:pPr>
          </w:p>
        </w:tc>
        <w:tc>
          <w:tcPr>
            <w:tcW w:w="240" w:type="dxa"/>
            <w:vAlign w:val="bottom"/>
            <w:tcBorders>
              <w:top w:val="single" w:sz="8" w:color="E5F1EE"/>
            </w:tcBorders>
          </w:tcPr>
          <w:p>
            <w:pPr>
              <w:spacing w:after="0"/>
              <w:rPr>
                <w:sz w:val="10"/>
                <w:szCs w:val="10"/>
                <w:color w:val="auto"/>
              </w:rPr>
            </w:pPr>
          </w:p>
        </w:tc>
        <w:tc>
          <w:tcPr>
            <w:tcW w:w="620" w:type="dxa"/>
            <w:vAlign w:val="bottom"/>
            <w:tcBorders>
              <w:top w:val="single" w:sz="8" w:color="E5F1EE"/>
            </w:tcBorders>
          </w:tcPr>
          <w:p>
            <w:pPr>
              <w:spacing w:after="0"/>
              <w:rPr>
                <w:sz w:val="10"/>
                <w:szCs w:val="10"/>
                <w:color w:val="auto"/>
              </w:rPr>
            </w:pPr>
          </w:p>
        </w:tc>
      </w:tr>
      <w:tr>
        <w:trPr>
          <w:trHeight w:val="127"/>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assets</w:t>
            </w:r>
          </w:p>
        </w:tc>
        <w:tc>
          <w:tcPr>
            <w:tcW w:w="200" w:type="dxa"/>
            <w:vAlign w:val="bottom"/>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212,891</w:t>
            </w:r>
          </w:p>
        </w:tc>
        <w:tc>
          <w:tcPr>
            <w:tcW w:w="220" w:type="dxa"/>
            <w:vAlign w:val="bottom"/>
            <w:shd w:val="clear" w:color="auto" w:fill="E5F1EE"/>
          </w:tcPr>
          <w:p>
            <w:pPr>
              <w:spacing w:after="0"/>
              <w:rPr>
                <w:sz w:val="11"/>
                <w:szCs w:val="11"/>
                <w:color w:val="auto"/>
              </w:rPr>
            </w:pPr>
          </w:p>
        </w:tc>
        <w:tc>
          <w:tcPr>
            <w:tcW w:w="300" w:type="dxa"/>
            <w:vAlign w:val="bottom"/>
            <w:shd w:val="clear" w:color="auto" w:fill="E5F1EE"/>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211,853</w:t>
            </w:r>
          </w:p>
        </w:tc>
        <w:tc>
          <w:tcPr>
            <w:tcW w:w="420" w:type="dxa"/>
            <w:vAlign w:val="bottom"/>
            <w:gridSpan w:val="2"/>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210,645</w:t>
            </w: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211,220</w:t>
            </w:r>
          </w:p>
        </w:tc>
      </w:tr>
      <w:tr>
        <w:trPr>
          <w:trHeight w:val="124"/>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Goodwill</w:t>
            </w: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r>
      <w:tr>
        <w:trPr>
          <w:trHeight w:val="128"/>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220" w:type="dxa"/>
            <w:vAlign w:val="bottom"/>
            <w:shd w:val="clear" w:color="auto" w:fill="E5F1EE"/>
          </w:tcPr>
          <w:p>
            <w:pPr>
              <w:spacing w:after="0"/>
              <w:rPr>
                <w:sz w:val="11"/>
                <w:szCs w:val="11"/>
                <w:color w:val="auto"/>
              </w:rPr>
            </w:pPr>
          </w:p>
        </w:tc>
        <w:tc>
          <w:tcPr>
            <w:tcW w:w="300" w:type="dxa"/>
            <w:vAlign w:val="bottom"/>
            <w:shd w:val="clear" w:color="auto" w:fill="E5F1EE"/>
          </w:tcPr>
          <w:p>
            <w:pPr>
              <w:spacing w:after="0"/>
              <w:rPr>
                <w:sz w:val="11"/>
                <w:szCs w:val="11"/>
                <w:color w:val="auto"/>
              </w:rPr>
            </w:pP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(100)</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(82)</w:t>
            </w: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(120)</w:t>
            </w:r>
          </w:p>
        </w:tc>
      </w:tr>
      <w:tr>
        <w:trPr>
          <w:trHeight w:val="124"/>
        </w:trPr>
        <w:tc>
          <w:tcPr>
            <w:tcW w:w="720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w:t>
            </w:r>
          </w:p>
        </w:tc>
        <w:tc>
          <w:tcPr>
            <w:tcW w:w="220" w:type="dxa"/>
            <w:vAlign w:val="bottom"/>
            <w:tcBorders>
              <w:bottom w:val="single" w:sz="8" w:color="E5F1EE"/>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29</w:t>
            </w:r>
          </w:p>
        </w:tc>
        <w:tc>
          <w:tcPr>
            <w:tcW w:w="220" w:type="dxa"/>
            <w:vAlign w:val="bottom"/>
            <w:tcBorders>
              <w:bottom w:val="single" w:sz="8" w:color="E5F1EE"/>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24</w:t>
            </w:r>
          </w:p>
        </w:tc>
        <w:tc>
          <w:tcPr>
            <w:tcW w:w="220" w:type="dxa"/>
            <w:vAlign w:val="bottom"/>
            <w:tcBorders>
              <w:bottom w:val="single" w:sz="8" w:color="E5F1EE"/>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w:t>
            </w:r>
          </w:p>
        </w:tc>
      </w:tr>
      <w:tr>
        <w:trPr>
          <w:trHeight w:val="135"/>
        </w:trPr>
        <w:tc>
          <w:tcPr>
            <w:tcW w:w="7200" w:type="dxa"/>
            <w:vAlign w:val="bottom"/>
            <w:tcBorders>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tangible assets</w:t>
            </w:r>
          </w:p>
        </w:tc>
        <w:tc>
          <w:tcPr>
            <w:tcW w:w="200" w:type="dxa"/>
            <w:vAlign w:val="bottom"/>
            <w:tcBorders>
              <w:bottom w:val="single" w:sz="8" w:color="auto"/>
            </w:tcBorders>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204,379</w:t>
            </w:r>
          </w:p>
        </w:tc>
        <w:tc>
          <w:tcPr>
            <w:tcW w:w="220" w:type="dxa"/>
            <w:vAlign w:val="bottom"/>
            <w:tcBorders>
              <w:bottom w:val="single" w:sz="8" w:color="E5F1EE"/>
            </w:tcBorders>
            <w:shd w:val="clear" w:color="auto" w:fill="E5F1EE"/>
          </w:tcPr>
          <w:p>
            <w:pPr>
              <w:spacing w:after="0"/>
              <w:rPr>
                <w:sz w:val="11"/>
                <w:szCs w:val="11"/>
                <w:color w:val="auto"/>
              </w:rPr>
            </w:pPr>
          </w:p>
        </w:tc>
        <w:tc>
          <w:tcPr>
            <w:tcW w:w="300" w:type="dxa"/>
            <w:vAlign w:val="bottom"/>
            <w:tcBorders>
              <w:bottom w:val="single" w:sz="8" w:color="auto"/>
            </w:tcBorders>
            <w:shd w:val="clear" w:color="auto" w:fill="E5F1EE"/>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203,317</w:t>
            </w:r>
          </w:p>
        </w:tc>
        <w:tc>
          <w:tcPr>
            <w:tcW w:w="22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202,122</w:t>
            </w:r>
          </w:p>
        </w:tc>
        <w:tc>
          <w:tcPr>
            <w:tcW w:w="220" w:type="dxa"/>
            <w:vAlign w:val="bottom"/>
            <w:tcBorders>
              <w:bottom w:val="single" w:sz="8" w:color="E5F1EE"/>
            </w:tcBorders>
            <w:shd w:val="clear" w:color="auto" w:fill="E5F1EE"/>
          </w:tcPr>
          <w:p>
            <w:pPr>
              <w:spacing w:after="0"/>
              <w:rPr>
                <w:sz w:val="11"/>
                <w:szCs w:val="11"/>
                <w:color w:val="auto"/>
              </w:rPr>
            </w:pPr>
          </w:p>
        </w:tc>
        <w:tc>
          <w:tcPr>
            <w:tcW w:w="240" w:type="dxa"/>
            <w:vAlign w:val="bottom"/>
            <w:tcBorders>
              <w:bottom w:val="single" w:sz="8" w:color="auto"/>
            </w:tcBorders>
            <w:shd w:val="clear" w:color="auto" w:fill="E5F1EE"/>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202,668</w:t>
            </w:r>
          </w:p>
        </w:tc>
      </w:tr>
      <w:tr>
        <w:trPr>
          <w:trHeight w:val="105"/>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Average common equity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7"/>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total equity</w:t>
            </w:r>
          </w:p>
        </w:tc>
        <w:tc>
          <w:tcPr>
            <w:tcW w:w="200" w:type="dxa"/>
            <w:vAlign w:val="bottom"/>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28,970</w:t>
            </w:r>
          </w:p>
        </w:tc>
        <w:tc>
          <w:tcPr>
            <w:tcW w:w="220" w:type="dxa"/>
            <w:vAlign w:val="bottom"/>
            <w:shd w:val="clear" w:color="auto" w:fill="E5F1EE"/>
          </w:tcPr>
          <w:p>
            <w:pPr>
              <w:spacing w:after="0"/>
              <w:rPr>
                <w:sz w:val="11"/>
                <w:szCs w:val="11"/>
                <w:color w:val="auto"/>
              </w:rPr>
            </w:pPr>
          </w:p>
        </w:tc>
        <w:tc>
          <w:tcPr>
            <w:tcW w:w="300" w:type="dxa"/>
            <w:vAlign w:val="bottom"/>
            <w:shd w:val="clear" w:color="auto" w:fill="E5F1EE"/>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28,707</w:t>
            </w:r>
          </w:p>
        </w:tc>
        <w:tc>
          <w:tcPr>
            <w:tcW w:w="420" w:type="dxa"/>
            <w:vAlign w:val="bottom"/>
            <w:gridSpan w:val="2"/>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28,804</w:t>
            </w: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28,052</w:t>
            </w:r>
          </w:p>
        </w:tc>
      </w:tr>
      <w:tr>
        <w:trPr>
          <w:trHeight w:val="124"/>
        </w:trPr>
        <w:tc>
          <w:tcPr>
            <w:tcW w:w="720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Preferred stock</w:t>
            </w: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(2,691)</w:t>
            </w:r>
          </w:p>
        </w:tc>
        <w:tc>
          <w:tcPr>
            <w:tcW w:w="220" w:type="dxa"/>
            <w:vAlign w:val="bottom"/>
            <w:tcBorders>
              <w:bottom w:val="single" w:sz="8" w:color="E5F1EE"/>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(2,394)</w:t>
            </w:r>
          </w:p>
        </w:tc>
        <w:tc>
          <w:tcPr>
            <w:tcW w:w="220" w:type="dxa"/>
            <w:vAlign w:val="bottom"/>
            <w:tcBorders>
              <w:bottom w:val="single" w:sz="8" w:color="E5F1EE"/>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(2,468)</w:t>
            </w:r>
          </w:p>
        </w:tc>
        <w:tc>
          <w:tcPr>
            <w:tcW w:w="220" w:type="dxa"/>
            <w:vAlign w:val="bottom"/>
            <w:tcBorders>
              <w:bottom w:val="single" w:sz="8" w:color="E5F1EE"/>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(2,344)</w:t>
            </w:r>
          </w:p>
        </w:tc>
      </w:tr>
      <w:tr>
        <w:trPr>
          <w:trHeight w:val="117"/>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common equity</w:t>
            </w:r>
          </w:p>
        </w:tc>
        <w:tc>
          <w:tcPr>
            <w:tcW w:w="200" w:type="dxa"/>
            <w:vAlign w:val="bottom"/>
            <w:shd w:val="clear" w:color="auto" w:fill="E5F1EE"/>
          </w:tcPr>
          <w:p>
            <w:pPr>
              <w:spacing w:after="0"/>
              <w:rPr>
                <w:sz w:val="10"/>
                <w:szCs w:val="10"/>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26,279</w:t>
            </w:r>
          </w:p>
        </w:tc>
        <w:tc>
          <w:tcPr>
            <w:tcW w:w="220" w:type="dxa"/>
            <w:vAlign w:val="bottom"/>
            <w:shd w:val="clear" w:color="auto" w:fill="E5F1EE"/>
          </w:tcPr>
          <w:p>
            <w:pPr>
              <w:spacing w:after="0"/>
              <w:rPr>
                <w:sz w:val="10"/>
                <w:szCs w:val="10"/>
                <w:color w:val="auto"/>
              </w:rPr>
            </w:pPr>
          </w:p>
        </w:tc>
        <w:tc>
          <w:tcPr>
            <w:tcW w:w="300" w:type="dxa"/>
            <w:vAlign w:val="bottom"/>
            <w:shd w:val="clear" w:color="auto" w:fill="E5F1EE"/>
          </w:tcPr>
          <w:p>
            <w:pPr>
              <w:spacing w:after="0"/>
              <w:rPr>
                <w:sz w:val="10"/>
                <w:szCs w:val="10"/>
                <w:color w:val="auto"/>
              </w:rPr>
            </w:pP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26,313</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26,336</w:t>
            </w:r>
          </w:p>
        </w:tc>
        <w:tc>
          <w:tcPr>
            <w:tcW w:w="220" w:type="dxa"/>
            <w:vAlign w:val="bottom"/>
            <w:shd w:val="clear" w:color="auto" w:fill="E5F1EE"/>
          </w:tcPr>
          <w:p>
            <w:pPr>
              <w:spacing w:after="0"/>
              <w:rPr>
                <w:sz w:val="10"/>
                <w:szCs w:val="10"/>
                <w:color w:val="auto"/>
              </w:rPr>
            </w:pPr>
          </w:p>
        </w:tc>
        <w:tc>
          <w:tcPr>
            <w:tcW w:w="240" w:type="dxa"/>
            <w:vAlign w:val="bottom"/>
            <w:shd w:val="clear" w:color="auto" w:fill="E5F1EE"/>
          </w:tcPr>
          <w:p>
            <w:pPr>
              <w:spacing w:after="0"/>
              <w:rPr>
                <w:sz w:val="10"/>
                <w:szCs w:val="10"/>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25,708</w:t>
            </w:r>
          </w:p>
        </w:tc>
      </w:tr>
      <w:tr>
        <w:trPr>
          <w:trHeight w:val="124"/>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Goodwill</w:t>
            </w: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r>
      <w:tr>
        <w:trPr>
          <w:trHeight w:val="128"/>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220" w:type="dxa"/>
            <w:vAlign w:val="bottom"/>
            <w:shd w:val="clear" w:color="auto" w:fill="E5F1EE"/>
          </w:tcPr>
          <w:p>
            <w:pPr>
              <w:spacing w:after="0"/>
              <w:rPr>
                <w:sz w:val="11"/>
                <w:szCs w:val="11"/>
                <w:color w:val="auto"/>
              </w:rPr>
            </w:pPr>
          </w:p>
        </w:tc>
        <w:tc>
          <w:tcPr>
            <w:tcW w:w="300" w:type="dxa"/>
            <w:vAlign w:val="bottom"/>
            <w:shd w:val="clear" w:color="auto" w:fill="E5F1EE"/>
          </w:tcPr>
          <w:p>
            <w:pPr>
              <w:spacing w:after="0"/>
              <w:rPr>
                <w:sz w:val="11"/>
                <w:szCs w:val="11"/>
                <w:color w:val="auto"/>
              </w:rPr>
            </w:pP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(100)</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(82)</w:t>
            </w: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(120)</w:t>
            </w:r>
          </w:p>
        </w:tc>
      </w:tr>
      <w:tr>
        <w:trPr>
          <w:trHeight w:val="124"/>
        </w:trPr>
        <w:tc>
          <w:tcPr>
            <w:tcW w:w="720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w:t>
            </w:r>
          </w:p>
        </w:tc>
        <w:tc>
          <w:tcPr>
            <w:tcW w:w="220" w:type="dxa"/>
            <w:vAlign w:val="bottom"/>
            <w:tcBorders>
              <w:bottom w:val="single" w:sz="8" w:color="E5F1EE"/>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29</w:t>
            </w:r>
          </w:p>
        </w:tc>
        <w:tc>
          <w:tcPr>
            <w:tcW w:w="220" w:type="dxa"/>
            <w:vAlign w:val="bottom"/>
            <w:tcBorders>
              <w:bottom w:val="single" w:sz="8" w:color="E5F1EE"/>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24</w:t>
            </w:r>
          </w:p>
        </w:tc>
        <w:tc>
          <w:tcPr>
            <w:tcW w:w="220" w:type="dxa"/>
            <w:vAlign w:val="bottom"/>
            <w:tcBorders>
              <w:bottom w:val="single" w:sz="8" w:color="E5F1EE"/>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w:t>
            </w:r>
          </w:p>
        </w:tc>
      </w:tr>
      <w:tr>
        <w:trPr>
          <w:trHeight w:val="135"/>
        </w:trPr>
        <w:tc>
          <w:tcPr>
            <w:tcW w:w="7200" w:type="dxa"/>
            <w:vAlign w:val="bottom"/>
            <w:tcBorders>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tangible common equity</w:t>
            </w:r>
          </w:p>
        </w:tc>
        <w:tc>
          <w:tcPr>
            <w:tcW w:w="200" w:type="dxa"/>
            <w:vAlign w:val="bottom"/>
            <w:tcBorders>
              <w:bottom w:val="single" w:sz="8" w:color="auto"/>
            </w:tcBorders>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17,767</w:t>
            </w:r>
          </w:p>
        </w:tc>
        <w:tc>
          <w:tcPr>
            <w:tcW w:w="220" w:type="dxa"/>
            <w:vAlign w:val="bottom"/>
            <w:tcBorders>
              <w:bottom w:val="single" w:sz="8" w:color="E5F1EE"/>
            </w:tcBorders>
            <w:shd w:val="clear" w:color="auto" w:fill="E5F1EE"/>
          </w:tcPr>
          <w:p>
            <w:pPr>
              <w:spacing w:after="0"/>
              <w:rPr>
                <w:sz w:val="11"/>
                <w:szCs w:val="11"/>
                <w:color w:val="auto"/>
              </w:rPr>
            </w:pPr>
          </w:p>
        </w:tc>
        <w:tc>
          <w:tcPr>
            <w:tcW w:w="300" w:type="dxa"/>
            <w:vAlign w:val="bottom"/>
            <w:tcBorders>
              <w:bottom w:val="single" w:sz="8" w:color="auto"/>
            </w:tcBorders>
            <w:shd w:val="clear" w:color="auto" w:fill="E5F1EE"/>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17,777</w:t>
            </w:r>
          </w:p>
        </w:tc>
        <w:tc>
          <w:tcPr>
            <w:tcW w:w="22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17,813</w:t>
            </w:r>
          </w:p>
        </w:tc>
        <w:tc>
          <w:tcPr>
            <w:tcW w:w="220" w:type="dxa"/>
            <w:vAlign w:val="bottom"/>
            <w:tcBorders>
              <w:bottom w:val="single" w:sz="8" w:color="E5F1EE"/>
            </w:tcBorders>
            <w:shd w:val="clear" w:color="auto" w:fill="E5F1EE"/>
          </w:tcPr>
          <w:p>
            <w:pPr>
              <w:spacing w:after="0"/>
              <w:rPr>
                <w:sz w:val="11"/>
                <w:szCs w:val="11"/>
                <w:color w:val="auto"/>
              </w:rPr>
            </w:pPr>
          </w:p>
        </w:tc>
        <w:tc>
          <w:tcPr>
            <w:tcW w:w="240" w:type="dxa"/>
            <w:vAlign w:val="bottom"/>
            <w:tcBorders>
              <w:bottom w:val="single" w:sz="8" w:color="auto"/>
            </w:tcBorders>
            <w:shd w:val="clear" w:color="auto" w:fill="E5F1EE"/>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17,156</w:t>
            </w:r>
          </w:p>
        </w:tc>
      </w:tr>
      <w:tr>
        <w:trPr>
          <w:trHeight w:val="105"/>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At end of quarter</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7"/>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rPr>
              <w:t>Total assets</w:t>
            </w: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00" w:type="dxa"/>
            <w:vAlign w:val="bottom"/>
            <w:shd w:val="clear" w:color="auto" w:fill="E5F1EE"/>
          </w:tcPr>
          <w:p>
            <w:pPr>
              <w:spacing w:after="0"/>
              <w:rPr>
                <w:sz w:val="11"/>
                <w:szCs w:val="11"/>
                <w:color w:val="auto"/>
              </w:rPr>
            </w:pPr>
          </w:p>
        </w:tc>
        <w:tc>
          <w:tcPr>
            <w:tcW w:w="5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24"/>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Total assets</w:t>
            </w:r>
          </w:p>
        </w:tc>
        <w:tc>
          <w:tcPr>
            <w:tcW w:w="20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213,510</w:t>
            </w:r>
          </w:p>
        </w:tc>
        <w:tc>
          <w:tcPr>
            <w:tcW w:w="220" w:type="dxa"/>
            <w:vAlign w:val="bottom"/>
          </w:tcPr>
          <w:p>
            <w:pPr>
              <w:spacing w:after="0"/>
              <w:rPr>
                <w:sz w:val="10"/>
                <w:szCs w:val="10"/>
                <w:color w:val="auto"/>
              </w:rPr>
            </w:pPr>
          </w:p>
        </w:tc>
        <w:tc>
          <w:tcPr>
            <w:tcW w:w="300" w:type="dxa"/>
            <w:vAlign w:val="bottom"/>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208,105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8"/>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Goodwill</w:t>
            </w: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300" w:type="dxa"/>
            <w:vAlign w:val="bottom"/>
            <w:shd w:val="clear" w:color="auto" w:fill="E5F1EE"/>
          </w:tcPr>
          <w:p>
            <w:pPr>
              <w:spacing w:after="0"/>
              <w:rPr>
                <w:sz w:val="11"/>
                <w:szCs w:val="11"/>
                <w:color w:val="auto"/>
              </w:rPr>
            </w:pP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24"/>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8"/>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200" w:type="dxa"/>
            <w:vAlign w:val="bottom"/>
            <w:tcBorders>
              <w:bottom w:val="single" w:sz="8" w:color="auto"/>
            </w:tcBorders>
            <w:shd w:val="clear" w:color="auto" w:fill="E5F1EE"/>
          </w:tcPr>
          <w:p>
            <w:pPr>
              <w:spacing w:after="0"/>
              <w:rPr>
                <w:sz w:val="11"/>
                <w:szCs w:val="11"/>
                <w:color w:val="auto"/>
              </w:rPr>
            </w:pP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w:t>
            </w:r>
          </w:p>
        </w:tc>
        <w:tc>
          <w:tcPr>
            <w:tcW w:w="220" w:type="dxa"/>
            <w:vAlign w:val="bottom"/>
            <w:shd w:val="clear" w:color="auto" w:fill="E5F1EE"/>
          </w:tcPr>
          <w:p>
            <w:pPr>
              <w:spacing w:after="0"/>
              <w:rPr>
                <w:sz w:val="11"/>
                <w:szCs w:val="11"/>
                <w:color w:val="auto"/>
              </w:rPr>
            </w:pPr>
          </w:p>
        </w:tc>
        <w:tc>
          <w:tcPr>
            <w:tcW w:w="300" w:type="dxa"/>
            <w:vAlign w:val="bottom"/>
            <w:tcBorders>
              <w:bottom w:val="single" w:sz="8" w:color="auto"/>
            </w:tcBorders>
            <w:shd w:val="clear" w:color="auto" w:fill="E5F1EE"/>
          </w:tcPr>
          <w:p>
            <w:pPr>
              <w:spacing w:after="0"/>
              <w:rPr>
                <w:sz w:val="11"/>
                <w:szCs w:val="11"/>
                <w:color w:val="auto"/>
              </w:rPr>
            </w:pPr>
          </w:p>
        </w:tc>
        <w:tc>
          <w:tcPr>
            <w:tcW w:w="5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33"/>
        </w:trPr>
        <w:tc>
          <w:tcPr>
            <w:tcW w:w="720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Total tangible assets</w:t>
            </w:r>
          </w:p>
        </w:tc>
        <w:tc>
          <w:tcPr>
            <w:tcW w:w="2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205,001</w:t>
            </w:r>
          </w:p>
        </w:tc>
        <w:tc>
          <w:tcPr>
            <w:tcW w:w="220" w:type="dxa"/>
            <w:vAlign w:val="bottom"/>
            <w:tcBorders>
              <w:bottom w:val="single" w:sz="8" w:color="E5F1EE"/>
            </w:tcBorders>
          </w:tcPr>
          <w:p>
            <w:pPr>
              <w:spacing w:after="0"/>
              <w:rPr>
                <w:sz w:val="11"/>
                <w:szCs w:val="11"/>
                <w:color w:val="auto"/>
              </w:rPr>
            </w:pPr>
          </w:p>
        </w:tc>
        <w:tc>
          <w:tcPr>
            <w:tcW w:w="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199,574</w:t>
            </w:r>
          </w:p>
        </w:tc>
        <w:tc>
          <w:tcPr>
            <w:tcW w:w="220" w:type="dxa"/>
            <w:vAlign w:val="bottom"/>
            <w:tcBorders>
              <w:bottom w:val="single" w:sz="8" w:color="E5F1EE"/>
            </w:tcBorders>
          </w:tcPr>
          <w:p>
            <w:pPr>
              <w:spacing w:after="0"/>
              <w:rPr>
                <w:sz w:val="11"/>
                <w:szCs w:val="11"/>
                <w:color w:val="auto"/>
              </w:rPr>
            </w:pPr>
          </w:p>
        </w:tc>
        <w:tc>
          <w:tcPr>
            <w:tcW w:w="200" w:type="dxa"/>
            <w:vAlign w:val="bottom"/>
            <w:tcBorders>
              <w:bottom w:val="single" w:sz="8" w:color="E5F1EE"/>
            </w:tcBorders>
          </w:tcPr>
          <w:p>
            <w:pPr>
              <w:spacing w:after="0"/>
              <w:rPr>
                <w:sz w:val="11"/>
                <w:szCs w:val="11"/>
                <w:color w:val="auto"/>
              </w:rPr>
            </w:pPr>
          </w:p>
        </w:tc>
        <w:tc>
          <w:tcPr>
            <w:tcW w:w="660" w:type="dxa"/>
            <w:vAlign w:val="bottom"/>
            <w:tcBorders>
              <w:bottom w:val="single" w:sz="8" w:color="E5F1EE"/>
            </w:tcBorders>
          </w:tcPr>
          <w:p>
            <w:pPr>
              <w:spacing w:after="0"/>
              <w:rPr>
                <w:sz w:val="11"/>
                <w:szCs w:val="11"/>
                <w:color w:val="auto"/>
              </w:rPr>
            </w:pPr>
          </w:p>
        </w:tc>
        <w:tc>
          <w:tcPr>
            <w:tcW w:w="220" w:type="dxa"/>
            <w:vAlign w:val="bottom"/>
            <w:tcBorders>
              <w:bottom w:val="single" w:sz="8" w:color="E5F1EE"/>
            </w:tcBorders>
          </w:tcPr>
          <w:p>
            <w:pPr>
              <w:spacing w:after="0"/>
              <w:rPr>
                <w:sz w:val="11"/>
                <w:szCs w:val="11"/>
                <w:color w:val="auto"/>
              </w:rPr>
            </w:pPr>
          </w:p>
        </w:tc>
        <w:tc>
          <w:tcPr>
            <w:tcW w:w="240" w:type="dxa"/>
            <w:vAlign w:val="bottom"/>
            <w:tcBorders>
              <w:bottom w:val="single" w:sz="8" w:color="E5F1EE"/>
            </w:tcBorders>
          </w:tcPr>
          <w:p>
            <w:pPr>
              <w:spacing w:after="0"/>
              <w:rPr>
                <w:sz w:val="11"/>
                <w:szCs w:val="11"/>
                <w:color w:val="auto"/>
              </w:rPr>
            </w:pPr>
          </w:p>
        </w:tc>
        <w:tc>
          <w:tcPr>
            <w:tcW w:w="620" w:type="dxa"/>
            <w:vAlign w:val="bottom"/>
            <w:tcBorders>
              <w:bottom w:val="single" w:sz="8" w:color="E5F1EE"/>
            </w:tcBorders>
          </w:tcPr>
          <w:p>
            <w:pPr>
              <w:spacing w:after="0"/>
              <w:rPr>
                <w:sz w:val="11"/>
                <w:szCs w:val="11"/>
                <w:color w:val="auto"/>
              </w:rPr>
            </w:pPr>
          </w:p>
        </w:tc>
      </w:tr>
      <w:tr>
        <w:trPr>
          <w:trHeight w:val="106"/>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rPr>
              <w:t>Total common equity</w:t>
            </w:r>
          </w:p>
        </w:tc>
        <w:tc>
          <w:tcPr>
            <w:tcW w:w="200" w:type="dxa"/>
            <w:vAlign w:val="bottom"/>
            <w:shd w:val="clear" w:color="auto" w:fill="E5F1EE"/>
          </w:tcPr>
          <w:p>
            <w:pPr>
              <w:spacing w:after="0"/>
              <w:rPr>
                <w:sz w:val="9"/>
                <w:szCs w:val="9"/>
                <w:color w:val="auto"/>
              </w:rPr>
            </w:pPr>
          </w:p>
        </w:tc>
        <w:tc>
          <w:tcPr>
            <w:tcW w:w="66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300" w:type="dxa"/>
            <w:vAlign w:val="bottom"/>
            <w:shd w:val="clear" w:color="auto" w:fill="E5F1EE"/>
          </w:tcPr>
          <w:p>
            <w:pPr>
              <w:spacing w:after="0"/>
              <w:rPr>
                <w:sz w:val="9"/>
                <w:szCs w:val="9"/>
                <w:color w:val="auto"/>
              </w:rPr>
            </w:pPr>
          </w:p>
        </w:tc>
        <w:tc>
          <w:tcPr>
            <w:tcW w:w="56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200" w:type="dxa"/>
            <w:vAlign w:val="bottom"/>
            <w:shd w:val="clear" w:color="auto" w:fill="E5F1EE"/>
          </w:tcPr>
          <w:p>
            <w:pPr>
              <w:spacing w:after="0"/>
              <w:rPr>
                <w:sz w:val="9"/>
                <w:szCs w:val="9"/>
                <w:color w:val="auto"/>
              </w:rPr>
            </w:pPr>
          </w:p>
        </w:tc>
        <w:tc>
          <w:tcPr>
            <w:tcW w:w="66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240" w:type="dxa"/>
            <w:vAlign w:val="bottom"/>
            <w:shd w:val="clear" w:color="auto" w:fill="E5F1EE"/>
          </w:tcPr>
          <w:p>
            <w:pPr>
              <w:spacing w:after="0"/>
              <w:rPr>
                <w:sz w:val="9"/>
                <w:szCs w:val="9"/>
                <w:color w:val="auto"/>
              </w:rPr>
            </w:pPr>
          </w:p>
        </w:tc>
        <w:tc>
          <w:tcPr>
            <w:tcW w:w="620" w:type="dxa"/>
            <w:vAlign w:val="bottom"/>
            <w:shd w:val="clear" w:color="auto" w:fill="E5F1EE"/>
          </w:tcPr>
          <w:p>
            <w:pPr>
              <w:spacing w:after="0"/>
              <w:rPr>
                <w:sz w:val="9"/>
                <w:szCs w:val="9"/>
                <w:color w:val="auto"/>
              </w:rPr>
            </w:pPr>
          </w:p>
        </w:tc>
      </w:tr>
      <w:tr>
        <w:trPr>
          <w:trHeight w:val="124"/>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Total equity</w:t>
            </w:r>
          </w:p>
        </w:tc>
        <w:tc>
          <w:tcPr>
            <w:tcW w:w="20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29,177</w:t>
            </w:r>
          </w:p>
        </w:tc>
        <w:tc>
          <w:tcPr>
            <w:tcW w:w="220" w:type="dxa"/>
            <w:vAlign w:val="bottom"/>
          </w:tcPr>
          <w:p>
            <w:pPr>
              <w:spacing w:after="0"/>
              <w:rPr>
                <w:sz w:val="10"/>
                <w:szCs w:val="10"/>
                <w:color w:val="auto"/>
              </w:rPr>
            </w:pPr>
          </w:p>
        </w:tc>
        <w:tc>
          <w:tcPr>
            <w:tcW w:w="300" w:type="dxa"/>
            <w:vAlign w:val="bottom"/>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29,027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8"/>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Preferred stock</w:t>
            </w:r>
          </w:p>
        </w:tc>
        <w:tc>
          <w:tcPr>
            <w:tcW w:w="200" w:type="dxa"/>
            <w:vAlign w:val="bottom"/>
            <w:tcBorders>
              <w:bottom w:val="single" w:sz="8" w:color="auto"/>
            </w:tcBorders>
            <w:shd w:val="clear" w:color="auto" w:fill="E5F1EE"/>
          </w:tcPr>
          <w:p>
            <w:pPr>
              <w:spacing w:after="0"/>
              <w:rPr>
                <w:sz w:val="11"/>
                <w:szCs w:val="11"/>
                <w:color w:val="auto"/>
              </w:rPr>
            </w:pP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(2,834)</w:t>
            </w:r>
          </w:p>
        </w:tc>
        <w:tc>
          <w:tcPr>
            <w:tcW w:w="220" w:type="dxa"/>
            <w:vAlign w:val="bottom"/>
            <w:shd w:val="clear" w:color="auto" w:fill="E5F1EE"/>
          </w:tcPr>
          <w:p>
            <w:pPr>
              <w:spacing w:after="0"/>
              <w:rPr>
                <w:sz w:val="11"/>
                <w:szCs w:val="11"/>
                <w:color w:val="auto"/>
              </w:rPr>
            </w:pPr>
          </w:p>
        </w:tc>
        <w:tc>
          <w:tcPr>
            <w:tcW w:w="300" w:type="dxa"/>
            <w:vAlign w:val="bottom"/>
            <w:tcBorders>
              <w:bottom w:val="single" w:sz="8" w:color="auto"/>
            </w:tcBorders>
            <w:shd w:val="clear" w:color="auto" w:fill="E5F1EE"/>
          </w:tcPr>
          <w:p>
            <w:pPr>
              <w:spacing w:after="0"/>
              <w:rPr>
                <w:sz w:val="11"/>
                <w:szCs w:val="11"/>
                <w:color w:val="auto"/>
              </w:rPr>
            </w:pPr>
          </w:p>
        </w:tc>
        <w:tc>
          <w:tcPr>
            <w:tcW w:w="5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(2,394)</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13"/>
        </w:trPr>
        <w:tc>
          <w:tcPr>
            <w:tcW w:w="7200" w:type="dxa"/>
            <w:vAlign w:val="bottom"/>
            <w:gridSpan w:val="3"/>
          </w:tcPr>
          <w:p>
            <w:pPr>
              <w:spacing w:after="0" w:line="102" w:lineRule="exact"/>
              <w:rPr>
                <w:sz w:val="20"/>
                <w:szCs w:val="20"/>
                <w:color w:val="auto"/>
              </w:rPr>
            </w:pPr>
            <w:r>
              <w:rPr>
                <w:rFonts w:ascii="Times New Roman" w:cs="Times New Roman" w:eastAsia="Times New Roman" w:hAnsi="Times New Roman"/>
                <w:sz w:val="9"/>
                <w:szCs w:val="9"/>
                <w:color w:val="auto"/>
              </w:rPr>
              <w:t>Common equity</w:t>
            </w:r>
          </w:p>
        </w:tc>
        <w:tc>
          <w:tcPr>
            <w:tcW w:w="20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26,343</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26,633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8"/>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Goodwill</w:t>
            </w: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300" w:type="dxa"/>
            <w:vAlign w:val="bottom"/>
            <w:shd w:val="clear" w:color="auto" w:fill="E5F1EE"/>
          </w:tcPr>
          <w:p>
            <w:pPr>
              <w:spacing w:after="0"/>
              <w:rPr>
                <w:sz w:val="11"/>
                <w:szCs w:val="11"/>
                <w:color w:val="auto"/>
              </w:rPr>
            </w:pPr>
          </w:p>
        </w:tc>
        <w:tc>
          <w:tcPr>
            <w:tcW w:w="5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24"/>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8"/>
        </w:trPr>
        <w:tc>
          <w:tcPr>
            <w:tcW w:w="720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200" w:type="dxa"/>
            <w:vAlign w:val="bottom"/>
            <w:tcBorders>
              <w:bottom w:val="single" w:sz="8" w:color="auto"/>
            </w:tcBorders>
            <w:shd w:val="clear" w:color="auto" w:fill="E5F1EE"/>
          </w:tcPr>
          <w:p>
            <w:pPr>
              <w:spacing w:after="0"/>
              <w:rPr>
                <w:sz w:val="11"/>
                <w:szCs w:val="11"/>
                <w:color w:val="auto"/>
              </w:rPr>
            </w:pPr>
          </w:p>
        </w:tc>
        <w:tc>
          <w:tcPr>
            <w:tcW w:w="6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w:t>
            </w:r>
          </w:p>
        </w:tc>
        <w:tc>
          <w:tcPr>
            <w:tcW w:w="220" w:type="dxa"/>
            <w:vAlign w:val="bottom"/>
            <w:shd w:val="clear" w:color="auto" w:fill="E5F1EE"/>
          </w:tcPr>
          <w:p>
            <w:pPr>
              <w:spacing w:after="0"/>
              <w:rPr>
                <w:sz w:val="11"/>
                <w:szCs w:val="11"/>
                <w:color w:val="auto"/>
              </w:rPr>
            </w:pPr>
          </w:p>
        </w:tc>
        <w:tc>
          <w:tcPr>
            <w:tcW w:w="300" w:type="dxa"/>
            <w:vAlign w:val="bottom"/>
            <w:tcBorders>
              <w:bottom w:val="single" w:sz="8" w:color="auto"/>
            </w:tcBorders>
            <w:shd w:val="clear" w:color="auto" w:fill="E5F1EE"/>
          </w:tcPr>
          <w:p>
            <w:pPr>
              <w:spacing w:after="0"/>
              <w:rPr>
                <w:sz w:val="11"/>
                <w:szCs w:val="11"/>
                <w:color w:val="auto"/>
              </w:rPr>
            </w:pPr>
          </w:p>
        </w:tc>
        <w:tc>
          <w:tcPr>
            <w:tcW w:w="5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13"/>
        </w:trPr>
        <w:tc>
          <w:tcPr>
            <w:tcW w:w="720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Total tangible common equity</w:t>
            </w:r>
          </w:p>
        </w:tc>
        <w:tc>
          <w:tcPr>
            <w:tcW w:w="2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17,834</w:t>
            </w:r>
          </w:p>
        </w:tc>
        <w:tc>
          <w:tcPr>
            <w:tcW w:w="220" w:type="dxa"/>
            <w:vAlign w:val="bottom"/>
          </w:tcPr>
          <w:p>
            <w:pPr>
              <w:spacing w:after="0"/>
              <w:rPr>
                <w:sz w:val="9"/>
                <w:szCs w:val="9"/>
                <w:color w:val="auto"/>
              </w:rPr>
            </w:pPr>
          </w:p>
        </w:tc>
        <w:tc>
          <w:tcPr>
            <w:tcW w:w="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18,102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102298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2985" cy="571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-2582545</wp:posOffset>
            </wp:positionV>
            <wp:extent cx="11430" cy="800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430" cy="8001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-2582545</wp:posOffset>
            </wp:positionV>
            <wp:extent cx="11430" cy="80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430" cy="80010"/>
                    </a:xfrm>
                    <a:prstGeom prst="rect">
                      <a:avLst/>
                    </a:prstGeom>
                    <a:noFill/>
                  </pic:spPr>
                </pic:pic>
              </a:graphicData>
            </a:graphic>
          </wp:anchor>
        </w:drawing>
        <w:drawing>
          <wp:anchor simplePos="0" relativeHeight="251657728" behindDoc="1" locked="0" layoutInCell="0" allowOverlap="1">
            <wp:simplePos x="0" y="0"/>
            <wp:positionH relativeFrom="column">
              <wp:posOffset>6475730</wp:posOffset>
            </wp:positionH>
            <wp:positionV relativeFrom="paragraph">
              <wp:posOffset>-2582545</wp:posOffset>
            </wp:positionV>
            <wp:extent cx="11430" cy="800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430" cy="80010"/>
                    </a:xfrm>
                    <a:prstGeom prst="rect">
                      <a:avLst/>
                    </a:prstGeom>
                    <a:noFill/>
                  </pic:spPr>
                </pic:pic>
              </a:graphicData>
            </a:graphic>
          </wp:anchor>
        </w:drawing>
        <w:drawing>
          <wp:anchor simplePos="0" relativeHeight="251657728" behindDoc="1" locked="0" layoutInCell="0" allowOverlap="1">
            <wp:simplePos x="0" y="0"/>
            <wp:positionH relativeFrom="column">
              <wp:posOffset>7161530</wp:posOffset>
            </wp:positionH>
            <wp:positionV relativeFrom="paragraph">
              <wp:posOffset>-2582545</wp:posOffset>
            </wp:positionV>
            <wp:extent cx="11430" cy="80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430" cy="8001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After any related tax effect.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300"/>
          </w:cols>
          <w:pgMar w:left="300" w:top="332"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333"/>
        </w:trPr>
        <w:tc>
          <w:tcPr>
            <w:tcW w:w="720" w:type="dxa"/>
            <w:vAlign w:val="bottom"/>
            <w:shd w:val="clear" w:color="auto" w:fill="007856"/>
          </w:tcPr>
          <w:p>
            <w:pPr>
              <w:spacing w:after="0"/>
              <w:rPr>
                <w:sz w:val="24"/>
                <w:szCs w:val="24"/>
                <w:color w:val="auto"/>
              </w:rPr>
            </w:pPr>
          </w:p>
        </w:tc>
        <w:tc>
          <w:tcPr>
            <w:tcW w:w="160" w:type="dxa"/>
            <w:vAlign w:val="bottom"/>
            <w:shd w:val="clear" w:color="auto" w:fill="007856"/>
          </w:tcPr>
          <w:p>
            <w:pPr>
              <w:spacing w:after="0"/>
              <w:rPr>
                <w:sz w:val="24"/>
                <w:szCs w:val="24"/>
                <w:color w:val="auto"/>
              </w:rPr>
            </w:pPr>
          </w:p>
        </w:tc>
        <w:tc>
          <w:tcPr>
            <w:tcW w:w="3840" w:type="dxa"/>
            <w:vAlign w:val="bottom"/>
            <w:shd w:val="clear" w:color="auto" w:fill="007856"/>
          </w:tcPr>
          <w:p>
            <w:pPr>
              <w:spacing w:after="0"/>
              <w:rPr>
                <w:sz w:val="24"/>
                <w:szCs w:val="24"/>
                <w:color w:val="auto"/>
              </w:rPr>
            </w:pPr>
          </w:p>
        </w:tc>
        <w:tc>
          <w:tcPr>
            <w:tcW w:w="180" w:type="dxa"/>
            <w:vAlign w:val="bottom"/>
            <w:shd w:val="clear" w:color="auto" w:fill="007856"/>
          </w:tcPr>
          <w:p>
            <w:pPr>
              <w:spacing w:after="0"/>
              <w:rPr>
                <w:sz w:val="24"/>
                <w:szCs w:val="24"/>
                <w:color w:val="auto"/>
              </w:rPr>
            </w:pPr>
          </w:p>
        </w:tc>
        <w:tc>
          <w:tcPr>
            <w:tcW w:w="96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180" w:type="dxa"/>
            <w:vAlign w:val="bottom"/>
            <w:shd w:val="clear" w:color="auto" w:fill="007856"/>
          </w:tcPr>
          <w:p>
            <w:pPr>
              <w:spacing w:after="0"/>
              <w:rPr>
                <w:sz w:val="24"/>
                <w:szCs w:val="24"/>
                <w:color w:val="auto"/>
              </w:rPr>
            </w:pPr>
          </w:p>
        </w:tc>
        <w:tc>
          <w:tcPr>
            <w:tcW w:w="96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120" w:type="dxa"/>
            <w:vAlign w:val="bottom"/>
            <w:shd w:val="clear" w:color="auto" w:fill="007856"/>
          </w:tcPr>
          <w:p>
            <w:pPr>
              <w:spacing w:after="0"/>
              <w:rPr>
                <w:sz w:val="24"/>
                <w:szCs w:val="24"/>
                <w:color w:val="auto"/>
              </w:rPr>
            </w:pPr>
          </w:p>
        </w:tc>
        <w:tc>
          <w:tcPr>
            <w:tcW w:w="102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2280" w:type="dxa"/>
            <w:vAlign w:val="bottom"/>
            <w:gridSpan w:val="4"/>
            <w:shd w:val="clear" w:color="auto" w:fill="007856"/>
          </w:tcPr>
          <w:p>
            <w:pPr>
              <w:jc w:val="right"/>
              <w:ind w:right="55"/>
              <w:spacing w:after="0"/>
              <w:rPr>
                <w:sz w:val="20"/>
                <w:szCs w:val="20"/>
                <w:color w:val="auto"/>
              </w:rPr>
            </w:pPr>
            <w:r>
              <w:rPr>
                <w:rFonts w:ascii="Times New Roman" w:cs="Times New Roman" w:eastAsia="Times New Roman" w:hAnsi="Times New Roman"/>
                <w:sz w:val="12"/>
                <w:szCs w:val="12"/>
                <w:b w:val="1"/>
                <w:bCs w:val="1"/>
                <w:color w:val="FFFFFF"/>
              </w:rPr>
              <w:t>Fourth Quarter 2025 Results</w:t>
            </w:r>
          </w:p>
        </w:tc>
        <w:tc>
          <w:tcPr>
            <w:tcW w:w="0" w:type="dxa"/>
            <w:vAlign w:val="bottom"/>
          </w:tcPr>
          <w:p>
            <w:pPr>
              <w:spacing w:after="0"/>
              <w:rPr>
                <w:sz w:val="1"/>
                <w:szCs w:val="1"/>
                <w:color w:val="auto"/>
              </w:rPr>
            </w:pPr>
          </w:p>
        </w:tc>
      </w:tr>
      <w:tr>
        <w:trPr>
          <w:trHeight w:val="738"/>
        </w:trPr>
        <w:tc>
          <w:tcPr>
            <w:tcW w:w="47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Reconciliation of Quarterly GAAP to Non-GAAP Measures, Five Quarter Trend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9"/>
                <w:szCs w:val="9"/>
                <w:color w:val="auto"/>
                <w:w w:val="99"/>
              </w:rPr>
              <w:t>Three Months Ended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rPr>
              <w:t>December 31,</w:t>
            </w:r>
          </w:p>
        </w:tc>
        <w:tc>
          <w:tcPr>
            <w:tcW w:w="180" w:type="dxa"/>
            <w:vAlign w:val="bottom"/>
          </w:tcPr>
          <w:p>
            <w:pPr>
              <w:spacing w:after="0"/>
              <w:rPr>
                <w:sz w:val="9"/>
                <w:szCs w:val="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September 30,</w:t>
            </w:r>
          </w:p>
        </w:tc>
        <w:tc>
          <w:tcPr>
            <w:tcW w:w="120" w:type="dxa"/>
            <w:vAlign w:val="bottom"/>
          </w:tcPr>
          <w:p>
            <w:pPr>
              <w:spacing w:after="0"/>
              <w:rPr>
                <w:sz w:val="9"/>
                <w:szCs w:val="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color w:val="auto"/>
                <w:w w:val="99"/>
              </w:rPr>
              <w:t>June 30,</w:t>
            </w:r>
          </w:p>
        </w:tc>
        <w:tc>
          <w:tcPr>
            <w:tcW w:w="220" w:type="dxa"/>
            <w:vAlign w:val="bottom"/>
          </w:tcPr>
          <w:p>
            <w:pPr>
              <w:spacing w:after="0"/>
              <w:rPr>
                <w:sz w:val="9"/>
                <w:szCs w:val="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auto"/>
              </w:rPr>
              <w:t>March 31,</w:t>
            </w:r>
          </w:p>
        </w:tc>
        <w:tc>
          <w:tcPr>
            <w:tcW w:w="180" w:type="dxa"/>
            <w:vAlign w:val="bottom"/>
          </w:tcPr>
          <w:p>
            <w:pPr>
              <w:spacing w:after="0"/>
              <w:rPr>
                <w:sz w:val="9"/>
                <w:szCs w:val="9"/>
                <w:color w:val="auto"/>
              </w:rPr>
            </w:pPr>
          </w:p>
        </w:tc>
        <w:tc>
          <w:tcPr>
            <w:tcW w:w="960" w:type="dxa"/>
            <w:vAlign w:val="bottom"/>
          </w:tcPr>
          <w:p>
            <w:pPr>
              <w:jc w:val="right"/>
              <w:ind w:right="275"/>
              <w:spacing w:after="0"/>
              <w:rPr>
                <w:sz w:val="20"/>
                <w:szCs w:val="20"/>
                <w:color w:val="auto"/>
              </w:rPr>
            </w:pPr>
            <w:r>
              <w:rPr>
                <w:rFonts w:ascii="Times New Roman" w:cs="Times New Roman" w:eastAsia="Times New Roman" w:hAnsi="Times New Roman"/>
                <w:sz w:val="9"/>
                <w:szCs w:val="9"/>
                <w:color w:val="auto"/>
              </w:rPr>
              <w:t>December 31,</w:t>
            </w: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9"/>
                <w:szCs w:val="9"/>
                <w:color w:val="auto"/>
              </w:rPr>
              <w:t>2025</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9"/>
                <w:szCs w:val="9"/>
                <w:color w:val="auto"/>
              </w:rPr>
              <w:t>2025</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9"/>
                <w:szCs w:val="9"/>
                <w:color w:val="auto"/>
                <w:w w:val="99"/>
              </w:rPr>
              <w:t>2025</w:t>
            </w: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9"/>
                <w:szCs w:val="9"/>
                <w:color w:val="auto"/>
              </w:rPr>
              <w:t>2025</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9"/>
                <w:szCs w:val="9"/>
                <w:color w:val="auto"/>
              </w:rPr>
              <w:t>2024</w:t>
            </w:r>
          </w:p>
        </w:tc>
        <w:tc>
          <w:tcPr>
            <w:tcW w:w="0" w:type="dxa"/>
            <w:vAlign w:val="bottom"/>
          </w:tcPr>
          <w:p>
            <w:pPr>
              <w:spacing w:after="0"/>
              <w:rPr>
                <w:sz w:val="1"/>
                <w:szCs w:val="1"/>
                <w:color w:val="auto"/>
              </w:rPr>
            </w:pPr>
          </w:p>
        </w:tc>
      </w:tr>
      <w:tr>
        <w:trPr>
          <w:trHeight w:val="106"/>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(Dollars in millions, except per share)</w:t>
            </w: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9"/>
                <w:szCs w:val="9"/>
                <w:b w:val="1"/>
                <w:bCs w:val="1"/>
                <w:color w:val="auto"/>
                <w:w w:val="98"/>
              </w:rPr>
              <w:t>Income statement data</w:t>
            </w:r>
          </w:p>
        </w:tc>
        <w:tc>
          <w:tcPr>
            <w:tcW w:w="3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Net income</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Net income</w:t>
            </w: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759</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792</w:t>
            </w: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716</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584</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681</w:t>
            </w:r>
          </w:p>
        </w:tc>
        <w:tc>
          <w:tcPr>
            <w:tcW w:w="0" w:type="dxa"/>
            <w:vAlign w:val="bottom"/>
          </w:tcPr>
          <w:p>
            <w:pPr>
              <w:spacing w:after="0"/>
              <w:rPr>
                <w:sz w:val="1"/>
                <w:szCs w:val="1"/>
                <w:color w:val="auto"/>
              </w:rPr>
            </w:pPr>
          </w:p>
        </w:tc>
      </w:tr>
      <w:tr>
        <w:trPr>
          <w:trHeight w:val="121"/>
        </w:trPr>
        <w:tc>
          <w:tcPr>
            <w:tcW w:w="472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Amortization of core deposit and other intangible assets (1)</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22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0" w:type="dxa"/>
            <w:vAlign w:val="bottom"/>
          </w:tcPr>
          <w:p>
            <w:pPr>
              <w:spacing w:after="0"/>
              <w:rPr>
                <w:sz w:val="1"/>
                <w:szCs w:val="1"/>
                <w:color w:val="auto"/>
              </w:rPr>
            </w:pPr>
          </w:p>
        </w:tc>
      </w:tr>
      <w:tr>
        <w:trPr>
          <w:trHeight w:val="138"/>
        </w:trPr>
        <w:tc>
          <w:tcPr>
            <w:tcW w:w="4720" w:type="dxa"/>
            <w:vAlign w:val="bottom"/>
            <w:tcBorders>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Net operating income</w:t>
            </w: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767</w:t>
            </w:r>
          </w:p>
        </w:tc>
        <w:tc>
          <w:tcPr>
            <w:tcW w:w="220" w:type="dxa"/>
            <w:vAlign w:val="bottom"/>
            <w:tcBorders>
              <w:bottom w:val="single" w:sz="8" w:color="E5F1EE"/>
            </w:tcBorders>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798</w:t>
            </w:r>
          </w:p>
        </w:tc>
        <w:tc>
          <w:tcPr>
            <w:tcW w:w="220" w:type="dxa"/>
            <w:vAlign w:val="bottom"/>
            <w:tcBorders>
              <w:bottom w:val="single" w:sz="8" w:color="E5F1EE"/>
            </w:tcBorders>
            <w:shd w:val="clear" w:color="auto" w:fill="E5F1EE"/>
          </w:tcPr>
          <w:p>
            <w:pPr>
              <w:spacing w:after="0"/>
              <w:rPr>
                <w:sz w:val="11"/>
                <w:szCs w:val="11"/>
                <w:color w:val="auto"/>
              </w:rPr>
            </w:pPr>
          </w:p>
        </w:tc>
        <w:tc>
          <w:tcPr>
            <w:tcW w:w="120" w:type="dxa"/>
            <w:vAlign w:val="bottom"/>
            <w:tcBorders>
              <w:bottom w:val="single" w:sz="8" w:color="auto"/>
            </w:tcBorders>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724</w:t>
            </w:r>
          </w:p>
        </w:tc>
        <w:tc>
          <w:tcPr>
            <w:tcW w:w="2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594</w:t>
            </w:r>
          </w:p>
        </w:tc>
        <w:tc>
          <w:tcPr>
            <w:tcW w:w="220" w:type="dxa"/>
            <w:vAlign w:val="bottom"/>
            <w:tcBorders>
              <w:bottom w:val="single" w:sz="8" w:color="E5F1EE"/>
            </w:tcBorders>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691</w:t>
            </w:r>
          </w:p>
        </w:tc>
        <w:tc>
          <w:tcPr>
            <w:tcW w:w="0" w:type="dxa"/>
            <w:vAlign w:val="bottom"/>
          </w:tcPr>
          <w:p>
            <w:pPr>
              <w:spacing w:after="0"/>
              <w:rPr>
                <w:sz w:val="1"/>
                <w:szCs w:val="1"/>
                <w:color w:val="auto"/>
              </w:rPr>
            </w:pPr>
          </w:p>
        </w:tc>
      </w:tr>
      <w:tr>
        <w:trPr>
          <w:trHeight w:val="102"/>
        </w:trPr>
        <w:tc>
          <w:tcPr>
            <w:tcW w:w="4720" w:type="dxa"/>
            <w:vAlign w:val="bottom"/>
            <w:gridSpan w:val="3"/>
          </w:tcPr>
          <w:p>
            <w:pPr>
              <w:spacing w:after="0" w:line="98" w:lineRule="exact"/>
              <w:rPr>
                <w:sz w:val="20"/>
                <w:szCs w:val="20"/>
                <w:color w:val="auto"/>
              </w:rPr>
            </w:pPr>
            <w:r>
              <w:rPr>
                <w:rFonts w:ascii="Times New Roman" w:cs="Times New Roman" w:eastAsia="Times New Roman" w:hAnsi="Times New Roman"/>
                <w:sz w:val="9"/>
                <w:szCs w:val="9"/>
                <w:b w:val="1"/>
                <w:bCs w:val="1"/>
                <w:color w:val="auto"/>
              </w:rPr>
              <w:t>Earnings per common share</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Diluted earnings per common share</w:t>
            </w: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4.67</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4.82</w:t>
            </w: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4.24</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3.32</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3.86</w:t>
            </w:r>
          </w:p>
        </w:tc>
        <w:tc>
          <w:tcPr>
            <w:tcW w:w="0" w:type="dxa"/>
            <w:vAlign w:val="bottom"/>
          </w:tcPr>
          <w:p>
            <w:pPr>
              <w:spacing w:after="0"/>
              <w:rPr>
                <w:sz w:val="1"/>
                <w:szCs w:val="1"/>
                <w:color w:val="auto"/>
              </w:rPr>
            </w:pPr>
          </w:p>
        </w:tc>
      </w:tr>
      <w:tr>
        <w:trPr>
          <w:trHeight w:val="121"/>
        </w:trPr>
        <w:tc>
          <w:tcPr>
            <w:tcW w:w="472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Amortization of core deposit and other intangible assets (1)</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.05</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.05</w:t>
            </w:r>
          </w:p>
        </w:tc>
        <w:tc>
          <w:tcPr>
            <w:tcW w:w="22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.04</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.06</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.06</w:t>
            </w:r>
          </w:p>
        </w:tc>
        <w:tc>
          <w:tcPr>
            <w:tcW w:w="0" w:type="dxa"/>
            <w:vAlign w:val="bottom"/>
          </w:tcPr>
          <w:p>
            <w:pPr>
              <w:spacing w:after="0"/>
              <w:rPr>
                <w:sz w:val="1"/>
                <w:szCs w:val="1"/>
                <w:color w:val="auto"/>
              </w:rPr>
            </w:pPr>
          </w:p>
        </w:tc>
      </w:tr>
      <w:tr>
        <w:trPr>
          <w:trHeight w:val="138"/>
        </w:trPr>
        <w:tc>
          <w:tcPr>
            <w:tcW w:w="4720" w:type="dxa"/>
            <w:vAlign w:val="bottom"/>
            <w:tcBorders>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Diluted net operating earnings per common share</w:t>
            </w: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4.72</w:t>
            </w:r>
          </w:p>
        </w:tc>
        <w:tc>
          <w:tcPr>
            <w:tcW w:w="220" w:type="dxa"/>
            <w:vAlign w:val="bottom"/>
            <w:tcBorders>
              <w:bottom w:val="single" w:sz="8" w:color="E5F1EE"/>
            </w:tcBorders>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4.87</w:t>
            </w:r>
          </w:p>
        </w:tc>
        <w:tc>
          <w:tcPr>
            <w:tcW w:w="220" w:type="dxa"/>
            <w:vAlign w:val="bottom"/>
            <w:tcBorders>
              <w:bottom w:val="single" w:sz="8" w:color="E5F1EE"/>
            </w:tcBorders>
            <w:shd w:val="clear" w:color="auto" w:fill="E5F1EE"/>
          </w:tcPr>
          <w:p>
            <w:pPr>
              <w:spacing w:after="0"/>
              <w:rPr>
                <w:sz w:val="11"/>
                <w:szCs w:val="11"/>
                <w:color w:val="auto"/>
              </w:rPr>
            </w:pPr>
          </w:p>
        </w:tc>
        <w:tc>
          <w:tcPr>
            <w:tcW w:w="120" w:type="dxa"/>
            <w:vAlign w:val="bottom"/>
            <w:tcBorders>
              <w:bottom w:val="single" w:sz="8" w:color="auto"/>
            </w:tcBorders>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4.28</w:t>
            </w:r>
          </w:p>
        </w:tc>
        <w:tc>
          <w:tcPr>
            <w:tcW w:w="2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3.38</w:t>
            </w:r>
          </w:p>
        </w:tc>
        <w:tc>
          <w:tcPr>
            <w:tcW w:w="220" w:type="dxa"/>
            <w:vAlign w:val="bottom"/>
            <w:tcBorders>
              <w:bottom w:val="single" w:sz="8" w:color="E5F1EE"/>
            </w:tcBorders>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3.92</w:t>
            </w:r>
          </w:p>
        </w:tc>
        <w:tc>
          <w:tcPr>
            <w:tcW w:w="0" w:type="dxa"/>
            <w:vAlign w:val="bottom"/>
          </w:tcPr>
          <w:p>
            <w:pPr>
              <w:spacing w:after="0"/>
              <w:rPr>
                <w:sz w:val="1"/>
                <w:szCs w:val="1"/>
                <w:color w:val="auto"/>
              </w:rPr>
            </w:pPr>
          </w:p>
        </w:tc>
      </w:tr>
      <w:tr>
        <w:trPr>
          <w:trHeight w:val="102"/>
        </w:trPr>
        <w:tc>
          <w:tcPr>
            <w:tcW w:w="4720" w:type="dxa"/>
            <w:vAlign w:val="bottom"/>
            <w:gridSpan w:val="3"/>
          </w:tcPr>
          <w:p>
            <w:pPr>
              <w:spacing w:after="0" w:line="98" w:lineRule="exact"/>
              <w:rPr>
                <w:sz w:val="20"/>
                <w:szCs w:val="20"/>
                <w:color w:val="auto"/>
              </w:rPr>
            </w:pPr>
            <w:r>
              <w:rPr>
                <w:rFonts w:ascii="Times New Roman" w:cs="Times New Roman" w:eastAsia="Times New Roman" w:hAnsi="Times New Roman"/>
                <w:sz w:val="9"/>
                <w:szCs w:val="9"/>
                <w:b w:val="1"/>
                <w:bCs w:val="1"/>
                <w:color w:val="auto"/>
              </w:rPr>
              <w:t>Other expense</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Other expense</w:t>
            </w: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1,379</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1,363</w:t>
            </w: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1,336</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1,415</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1,363</w:t>
            </w:r>
          </w:p>
        </w:tc>
        <w:tc>
          <w:tcPr>
            <w:tcW w:w="0" w:type="dxa"/>
            <w:vAlign w:val="bottom"/>
          </w:tcPr>
          <w:p>
            <w:pPr>
              <w:spacing w:after="0"/>
              <w:rPr>
                <w:sz w:val="1"/>
                <w:szCs w:val="1"/>
                <w:color w:val="auto"/>
              </w:rPr>
            </w:pPr>
          </w:p>
        </w:tc>
      </w:tr>
      <w:tr>
        <w:trPr>
          <w:trHeight w:val="121"/>
        </w:trPr>
        <w:tc>
          <w:tcPr>
            <w:tcW w:w="472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Amortization of core deposit and other intangible assets</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22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w:t>
            </w:r>
          </w:p>
        </w:tc>
        <w:tc>
          <w:tcPr>
            <w:tcW w:w="0" w:type="dxa"/>
            <w:vAlign w:val="bottom"/>
          </w:tcPr>
          <w:p>
            <w:pPr>
              <w:spacing w:after="0"/>
              <w:rPr>
                <w:sz w:val="1"/>
                <w:szCs w:val="1"/>
                <w:color w:val="auto"/>
              </w:rPr>
            </w:pPr>
          </w:p>
        </w:tc>
      </w:tr>
      <w:tr>
        <w:trPr>
          <w:trHeight w:val="122"/>
        </w:trPr>
        <w:tc>
          <w:tcPr>
            <w:tcW w:w="4720" w:type="dxa"/>
            <w:vAlign w:val="bottom"/>
            <w:tcBorders>
              <w:bottom w:val="single" w:sz="8" w:color="E5F1EE"/>
            </w:tcBorders>
            <w:gridSpan w:val="3"/>
            <w:shd w:val="clear" w:color="auto" w:fill="E5F1EE"/>
          </w:tcPr>
          <w:p>
            <w:pPr>
              <w:spacing w:after="0" w:line="101" w:lineRule="exact"/>
              <w:rPr>
                <w:sz w:val="20"/>
                <w:szCs w:val="20"/>
                <w:color w:val="auto"/>
              </w:rPr>
            </w:pPr>
            <w:r>
              <w:rPr>
                <w:rFonts w:ascii="Times New Roman" w:cs="Times New Roman" w:eastAsia="Times New Roman" w:hAnsi="Times New Roman"/>
                <w:sz w:val="9"/>
                <w:szCs w:val="9"/>
                <w:color w:val="auto"/>
              </w:rPr>
              <w:t>Noninterest operating expense</w:t>
            </w:r>
          </w:p>
        </w:tc>
        <w:tc>
          <w:tcPr>
            <w:tcW w:w="180" w:type="dxa"/>
            <w:vAlign w:val="bottom"/>
            <w:tcBorders>
              <w:bottom w:val="single" w:sz="8" w:color="auto"/>
            </w:tcBorders>
            <w:shd w:val="clear" w:color="auto" w:fill="E5F1EE"/>
          </w:tcPr>
          <w:p>
            <w:pPr>
              <w:jc w:val="right"/>
              <w:ind w:right="75"/>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line="102" w:lineRule="exact"/>
              <w:rPr>
                <w:sz w:val="20"/>
                <w:szCs w:val="20"/>
                <w:color w:val="auto"/>
              </w:rPr>
            </w:pPr>
            <w:r>
              <w:rPr>
                <w:rFonts w:ascii="Times New Roman" w:cs="Times New Roman" w:eastAsia="Times New Roman" w:hAnsi="Times New Roman"/>
                <w:sz w:val="9"/>
                <w:szCs w:val="9"/>
                <w:color w:val="auto"/>
              </w:rPr>
              <w:t>1,369</w:t>
            </w:r>
          </w:p>
        </w:tc>
        <w:tc>
          <w:tcPr>
            <w:tcW w:w="220" w:type="dxa"/>
            <w:vAlign w:val="bottom"/>
            <w:tcBorders>
              <w:bottom w:val="single" w:sz="8" w:color="E5F1EE"/>
            </w:tcBorders>
            <w:shd w:val="clear" w:color="auto" w:fill="E5F1EE"/>
          </w:tcPr>
          <w:p>
            <w:pPr>
              <w:spacing w:after="0"/>
              <w:rPr>
                <w:sz w:val="10"/>
                <w:szCs w:val="10"/>
                <w:color w:val="auto"/>
              </w:rPr>
            </w:pPr>
          </w:p>
        </w:tc>
        <w:tc>
          <w:tcPr>
            <w:tcW w:w="180" w:type="dxa"/>
            <w:vAlign w:val="bottom"/>
            <w:tcBorders>
              <w:bottom w:val="single" w:sz="8" w:color="auto"/>
            </w:tcBorders>
            <w:shd w:val="clear" w:color="auto" w:fill="E5F1EE"/>
          </w:tcPr>
          <w:p>
            <w:pPr>
              <w:jc w:val="right"/>
              <w:ind w:right="75"/>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line="102" w:lineRule="exact"/>
              <w:rPr>
                <w:sz w:val="20"/>
                <w:szCs w:val="20"/>
                <w:color w:val="auto"/>
              </w:rPr>
            </w:pPr>
            <w:r>
              <w:rPr>
                <w:rFonts w:ascii="Times New Roman" w:cs="Times New Roman" w:eastAsia="Times New Roman" w:hAnsi="Times New Roman"/>
                <w:sz w:val="9"/>
                <w:szCs w:val="9"/>
                <w:color w:val="auto"/>
              </w:rPr>
              <w:t>1,353</w:t>
            </w:r>
          </w:p>
        </w:tc>
        <w:tc>
          <w:tcPr>
            <w:tcW w:w="220" w:type="dxa"/>
            <w:vAlign w:val="bottom"/>
            <w:tcBorders>
              <w:bottom w:val="single" w:sz="8" w:color="E5F1EE"/>
            </w:tcBorders>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jc w:val="right"/>
              <w:ind w:right="15"/>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Borders>
              <w:bottom w:val="single" w:sz="8" w:color="auto"/>
            </w:tcBorders>
            <w:shd w:val="clear" w:color="auto" w:fill="E5F1EE"/>
          </w:tcPr>
          <w:p>
            <w:pPr>
              <w:jc w:val="right"/>
              <w:spacing w:after="0" w:line="102" w:lineRule="exact"/>
              <w:rPr>
                <w:sz w:val="20"/>
                <w:szCs w:val="20"/>
                <w:color w:val="auto"/>
              </w:rPr>
            </w:pPr>
            <w:r>
              <w:rPr>
                <w:rFonts w:ascii="Times New Roman" w:cs="Times New Roman" w:eastAsia="Times New Roman" w:hAnsi="Times New Roman"/>
                <w:sz w:val="9"/>
                <w:szCs w:val="9"/>
                <w:color w:val="auto"/>
              </w:rPr>
              <w:t>1,327</w:t>
            </w:r>
          </w:p>
        </w:tc>
        <w:tc>
          <w:tcPr>
            <w:tcW w:w="220" w:type="dxa"/>
            <w:vAlign w:val="bottom"/>
            <w:tcBorders>
              <w:bottom w:val="single" w:sz="8" w:color="E5F1EE"/>
            </w:tcBorders>
            <w:shd w:val="clear" w:color="auto" w:fill="E5F1EE"/>
          </w:tcPr>
          <w:p>
            <w:pPr>
              <w:spacing w:after="0"/>
              <w:rPr>
                <w:sz w:val="10"/>
                <w:szCs w:val="10"/>
                <w:color w:val="auto"/>
              </w:rPr>
            </w:pPr>
          </w:p>
        </w:tc>
        <w:tc>
          <w:tcPr>
            <w:tcW w:w="220" w:type="dxa"/>
            <w:vAlign w:val="bottom"/>
            <w:tcBorders>
              <w:bottom w:val="single" w:sz="8" w:color="auto"/>
            </w:tcBorders>
            <w:shd w:val="clear" w:color="auto" w:fill="E5F1EE"/>
          </w:tcPr>
          <w:p>
            <w:pPr>
              <w:jc w:val="right"/>
              <w:ind w:right="115"/>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shd w:val="clear" w:color="auto" w:fill="E5F1EE"/>
          </w:tcPr>
          <w:p>
            <w:pPr>
              <w:jc w:val="right"/>
              <w:spacing w:after="0" w:line="102" w:lineRule="exact"/>
              <w:rPr>
                <w:sz w:val="20"/>
                <w:szCs w:val="20"/>
                <w:color w:val="auto"/>
              </w:rPr>
            </w:pPr>
            <w:r>
              <w:rPr>
                <w:rFonts w:ascii="Times New Roman" w:cs="Times New Roman" w:eastAsia="Times New Roman" w:hAnsi="Times New Roman"/>
                <w:sz w:val="9"/>
                <w:szCs w:val="9"/>
                <w:color w:val="auto"/>
              </w:rPr>
              <w:t>1,402</w:t>
            </w:r>
          </w:p>
        </w:tc>
        <w:tc>
          <w:tcPr>
            <w:tcW w:w="220" w:type="dxa"/>
            <w:vAlign w:val="bottom"/>
            <w:tcBorders>
              <w:bottom w:val="single" w:sz="8" w:color="E5F1EE"/>
            </w:tcBorders>
            <w:shd w:val="clear" w:color="auto" w:fill="E5F1EE"/>
          </w:tcPr>
          <w:p>
            <w:pPr>
              <w:spacing w:after="0"/>
              <w:rPr>
                <w:sz w:val="10"/>
                <w:szCs w:val="10"/>
                <w:color w:val="auto"/>
              </w:rPr>
            </w:pPr>
          </w:p>
        </w:tc>
        <w:tc>
          <w:tcPr>
            <w:tcW w:w="180" w:type="dxa"/>
            <w:vAlign w:val="bottom"/>
            <w:tcBorders>
              <w:bottom w:val="single" w:sz="8" w:color="auto"/>
            </w:tcBorders>
            <w:shd w:val="clear" w:color="auto" w:fill="E5F1EE"/>
          </w:tcPr>
          <w:p>
            <w:pPr>
              <w:jc w:val="right"/>
              <w:ind w:right="75"/>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line="102" w:lineRule="exact"/>
              <w:rPr>
                <w:sz w:val="20"/>
                <w:szCs w:val="20"/>
                <w:color w:val="auto"/>
              </w:rPr>
            </w:pPr>
            <w:r>
              <w:rPr>
                <w:rFonts w:ascii="Times New Roman" w:cs="Times New Roman" w:eastAsia="Times New Roman" w:hAnsi="Times New Roman"/>
                <w:sz w:val="9"/>
                <w:szCs w:val="9"/>
                <w:color w:val="auto"/>
              </w:rPr>
              <w:t>1,350</w:t>
            </w:r>
          </w:p>
        </w:tc>
        <w:tc>
          <w:tcPr>
            <w:tcW w:w="0" w:type="dxa"/>
            <w:vAlign w:val="bottom"/>
          </w:tcPr>
          <w:p>
            <w:pPr>
              <w:spacing w:after="0"/>
              <w:rPr>
                <w:sz w:val="1"/>
                <w:szCs w:val="1"/>
                <w:color w:val="auto"/>
              </w:rPr>
            </w:pPr>
          </w:p>
        </w:tc>
      </w:tr>
      <w:tr>
        <w:trPr>
          <w:trHeight w:val="100"/>
        </w:trPr>
        <w:tc>
          <w:tcPr>
            <w:tcW w:w="4720" w:type="dxa"/>
            <w:vAlign w:val="bottom"/>
            <w:gridSpan w:val="3"/>
          </w:tcPr>
          <w:p>
            <w:pPr>
              <w:spacing w:after="0" w:line="98" w:lineRule="exact"/>
              <w:rPr>
                <w:sz w:val="20"/>
                <w:szCs w:val="20"/>
                <w:color w:val="auto"/>
              </w:rPr>
            </w:pPr>
            <w:r>
              <w:rPr>
                <w:rFonts w:ascii="Times New Roman" w:cs="Times New Roman" w:eastAsia="Times New Roman" w:hAnsi="Times New Roman"/>
                <w:sz w:val="9"/>
                <w:szCs w:val="9"/>
                <w:b w:val="1"/>
                <w:bCs w:val="1"/>
                <w:color w:val="auto"/>
              </w:rPr>
              <w:t>Efficiency ratio</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720" w:type="dxa"/>
            <w:vAlign w:val="bottom"/>
            <w:tcBorders>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Noninterest operating expense (numerator)</w:t>
            </w: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1,369</w:t>
            </w:r>
          </w:p>
        </w:tc>
        <w:tc>
          <w:tcPr>
            <w:tcW w:w="220" w:type="dxa"/>
            <w:vAlign w:val="bottom"/>
            <w:tcBorders>
              <w:bottom w:val="single" w:sz="8" w:color="E5F1EE"/>
            </w:tcBorders>
            <w:shd w:val="clear" w:color="auto" w:fill="E5F1EE"/>
          </w:tcPr>
          <w:p>
            <w:pPr>
              <w:spacing w:after="0"/>
              <w:rPr>
                <w:sz w:val="12"/>
                <w:szCs w:val="12"/>
                <w:color w:val="auto"/>
              </w:rPr>
            </w:pP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1,353</w:t>
            </w:r>
          </w:p>
        </w:tc>
        <w:tc>
          <w:tcPr>
            <w:tcW w:w="220" w:type="dxa"/>
            <w:vAlign w:val="bottom"/>
            <w:tcBorders>
              <w:bottom w:val="single" w:sz="8" w:color="E5F1EE"/>
            </w:tcBorders>
            <w:shd w:val="clear" w:color="auto" w:fill="E5F1EE"/>
          </w:tcPr>
          <w:p>
            <w:pPr>
              <w:spacing w:after="0"/>
              <w:rPr>
                <w:sz w:val="12"/>
                <w:szCs w:val="12"/>
                <w:color w:val="auto"/>
              </w:rPr>
            </w:pPr>
          </w:p>
        </w:tc>
        <w:tc>
          <w:tcPr>
            <w:tcW w:w="120" w:type="dxa"/>
            <w:vAlign w:val="bottom"/>
            <w:tcBorders>
              <w:bottom w:val="single" w:sz="8" w:color="auto"/>
            </w:tcBorders>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1,327</w:t>
            </w:r>
          </w:p>
        </w:tc>
        <w:tc>
          <w:tcPr>
            <w:tcW w:w="220" w:type="dxa"/>
            <w:vAlign w:val="bottom"/>
            <w:tcBorders>
              <w:bottom w:val="single" w:sz="8" w:color="E5F1EE"/>
            </w:tcBorders>
            <w:shd w:val="clear" w:color="auto" w:fill="E5F1EE"/>
          </w:tcPr>
          <w:p>
            <w:pPr>
              <w:spacing w:after="0"/>
              <w:rPr>
                <w:sz w:val="12"/>
                <w:szCs w:val="12"/>
                <w:color w:val="auto"/>
              </w:rPr>
            </w:pPr>
          </w:p>
        </w:tc>
        <w:tc>
          <w:tcPr>
            <w:tcW w:w="220" w:type="dxa"/>
            <w:vAlign w:val="bottom"/>
            <w:tcBorders>
              <w:bottom w:val="single" w:sz="8" w:color="auto"/>
            </w:tcBorders>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1,402</w:t>
            </w:r>
          </w:p>
        </w:tc>
        <w:tc>
          <w:tcPr>
            <w:tcW w:w="220" w:type="dxa"/>
            <w:vAlign w:val="bottom"/>
            <w:tcBorders>
              <w:bottom w:val="single" w:sz="8" w:color="E5F1EE"/>
            </w:tcBorders>
            <w:shd w:val="clear" w:color="auto" w:fill="E5F1EE"/>
          </w:tcPr>
          <w:p>
            <w:pPr>
              <w:spacing w:after="0"/>
              <w:rPr>
                <w:sz w:val="12"/>
                <w:szCs w:val="12"/>
                <w:color w:val="auto"/>
              </w:rPr>
            </w:pP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1,350</w:t>
            </w:r>
          </w:p>
        </w:tc>
        <w:tc>
          <w:tcPr>
            <w:tcW w:w="0" w:type="dxa"/>
            <w:vAlign w:val="bottom"/>
          </w:tcPr>
          <w:p>
            <w:pPr>
              <w:spacing w:after="0"/>
              <w:rPr>
                <w:sz w:val="1"/>
                <w:szCs w:val="1"/>
                <w:color w:val="auto"/>
              </w:rPr>
            </w:pPr>
          </w:p>
        </w:tc>
      </w:tr>
      <w:tr>
        <w:trPr>
          <w:trHeight w:val="118"/>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Taxable-equivalent net interest income</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1,790</w:t>
            </w:r>
          </w:p>
        </w:tc>
        <w:tc>
          <w:tcPr>
            <w:tcW w:w="220" w:type="dxa"/>
            <w:vAlign w:val="bottom"/>
          </w:tcPr>
          <w:p>
            <w:pPr>
              <w:spacing w:after="0"/>
              <w:rPr>
                <w:sz w:val="10"/>
                <w:szCs w:val="10"/>
                <w:color w:val="auto"/>
              </w:rPr>
            </w:pP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1,773</w:t>
            </w:r>
          </w:p>
        </w:tc>
        <w:tc>
          <w:tcPr>
            <w:tcW w:w="220" w:type="dxa"/>
            <w:vAlign w:val="bottom"/>
          </w:tcPr>
          <w:p>
            <w:pPr>
              <w:spacing w:after="0"/>
              <w:rPr>
                <w:sz w:val="10"/>
                <w:szCs w:val="10"/>
                <w:color w:val="auto"/>
              </w:rPr>
            </w:pPr>
          </w:p>
        </w:tc>
        <w:tc>
          <w:tcPr>
            <w:tcW w:w="1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1,722</w:t>
            </w:r>
          </w:p>
        </w:tc>
        <w:tc>
          <w:tcPr>
            <w:tcW w:w="220" w:type="dxa"/>
            <w:vAlign w:val="bottom"/>
          </w:tcPr>
          <w:p>
            <w:pPr>
              <w:spacing w:after="0"/>
              <w:rPr>
                <w:sz w:val="10"/>
                <w:szCs w:val="10"/>
                <w:color w:val="auto"/>
              </w:rPr>
            </w:pP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1,707</w:t>
            </w:r>
          </w:p>
        </w:tc>
        <w:tc>
          <w:tcPr>
            <w:tcW w:w="220" w:type="dxa"/>
            <w:vAlign w:val="bottom"/>
          </w:tcPr>
          <w:p>
            <w:pPr>
              <w:spacing w:after="0"/>
              <w:rPr>
                <w:sz w:val="10"/>
                <w:szCs w:val="10"/>
                <w:color w:val="auto"/>
              </w:rPr>
            </w:pP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1,740</w:t>
            </w:r>
          </w:p>
        </w:tc>
        <w:tc>
          <w:tcPr>
            <w:tcW w:w="0" w:type="dxa"/>
            <w:vAlign w:val="bottom"/>
          </w:tcPr>
          <w:p>
            <w:pPr>
              <w:spacing w:after="0"/>
              <w:rPr>
                <w:sz w:val="1"/>
                <w:szCs w:val="1"/>
                <w:color w:val="auto"/>
              </w:rPr>
            </w:pPr>
          </w:p>
        </w:tc>
      </w:tr>
      <w:tr>
        <w:trPr>
          <w:trHeight w:val="131"/>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Other income</w:t>
            </w: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696</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752</w:t>
            </w: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683</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611</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657</w:t>
            </w:r>
          </w:p>
        </w:tc>
        <w:tc>
          <w:tcPr>
            <w:tcW w:w="0" w:type="dxa"/>
            <w:vAlign w:val="bottom"/>
          </w:tcPr>
          <w:p>
            <w:pPr>
              <w:spacing w:after="0"/>
              <w:rPr>
                <w:sz w:val="1"/>
                <w:szCs w:val="1"/>
                <w:color w:val="auto"/>
              </w:rPr>
            </w:pPr>
          </w:p>
        </w:tc>
      </w:tr>
      <w:tr>
        <w:trPr>
          <w:trHeight w:val="121"/>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Less: Gain (loss) on bank investment securities</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w:t>
            </w:r>
          </w:p>
        </w:tc>
        <w:tc>
          <w:tcPr>
            <w:tcW w:w="0" w:type="dxa"/>
            <w:vAlign w:val="bottom"/>
          </w:tcPr>
          <w:p>
            <w:pPr>
              <w:spacing w:after="0"/>
              <w:rPr>
                <w:sz w:val="1"/>
                <w:szCs w:val="1"/>
                <w:color w:val="auto"/>
              </w:rPr>
            </w:pPr>
          </w:p>
        </w:tc>
      </w:tr>
      <w:tr>
        <w:trPr>
          <w:trHeight w:val="138"/>
        </w:trPr>
        <w:tc>
          <w:tcPr>
            <w:tcW w:w="4720" w:type="dxa"/>
            <w:vAlign w:val="bottom"/>
            <w:tcBorders>
              <w:top w:val="single" w:sz="8" w:color="E5F1EE"/>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Denominator</w:t>
            </w:r>
          </w:p>
        </w:tc>
        <w:tc>
          <w:tcPr>
            <w:tcW w:w="180" w:type="dxa"/>
            <w:vAlign w:val="bottom"/>
            <w:tcBorders>
              <w:top w:val="single" w:sz="8" w:color="auto"/>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top w:val="single" w:sz="8" w:color="auto"/>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2,485</w:t>
            </w:r>
          </w:p>
        </w:tc>
        <w:tc>
          <w:tcPr>
            <w:tcW w:w="220" w:type="dxa"/>
            <w:vAlign w:val="bottom"/>
            <w:tcBorders>
              <w:top w:val="single" w:sz="8" w:color="E5F1EE"/>
              <w:bottom w:val="single" w:sz="8" w:color="E5F1EE"/>
            </w:tcBorders>
            <w:shd w:val="clear" w:color="auto" w:fill="E5F1EE"/>
          </w:tcPr>
          <w:p>
            <w:pPr>
              <w:spacing w:after="0"/>
              <w:rPr>
                <w:sz w:val="11"/>
                <w:szCs w:val="11"/>
                <w:color w:val="auto"/>
              </w:rPr>
            </w:pPr>
          </w:p>
        </w:tc>
        <w:tc>
          <w:tcPr>
            <w:tcW w:w="180" w:type="dxa"/>
            <w:vAlign w:val="bottom"/>
            <w:tcBorders>
              <w:top w:val="single" w:sz="8" w:color="auto"/>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top w:val="single" w:sz="8" w:color="auto"/>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2,524</w:t>
            </w:r>
          </w:p>
        </w:tc>
        <w:tc>
          <w:tcPr>
            <w:tcW w:w="220" w:type="dxa"/>
            <w:vAlign w:val="bottom"/>
            <w:tcBorders>
              <w:top w:val="single" w:sz="8" w:color="E5F1EE"/>
              <w:bottom w:val="single" w:sz="8" w:color="E5F1EE"/>
            </w:tcBorders>
            <w:shd w:val="clear" w:color="auto" w:fill="E5F1EE"/>
          </w:tcPr>
          <w:p>
            <w:pPr>
              <w:spacing w:after="0"/>
              <w:rPr>
                <w:sz w:val="11"/>
                <w:szCs w:val="11"/>
                <w:color w:val="auto"/>
              </w:rPr>
            </w:pPr>
          </w:p>
        </w:tc>
        <w:tc>
          <w:tcPr>
            <w:tcW w:w="120" w:type="dxa"/>
            <w:vAlign w:val="bottom"/>
            <w:tcBorders>
              <w:top w:val="single" w:sz="8" w:color="auto"/>
              <w:bottom w:val="single" w:sz="8" w:color="auto"/>
            </w:tcBorders>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Borders>
              <w:top w:val="single" w:sz="8" w:color="auto"/>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2,405</w:t>
            </w:r>
          </w:p>
        </w:tc>
        <w:tc>
          <w:tcPr>
            <w:tcW w:w="220" w:type="dxa"/>
            <w:vAlign w:val="bottom"/>
            <w:tcBorders>
              <w:top w:val="single" w:sz="8" w:color="E5F1EE"/>
              <w:bottom w:val="single" w:sz="8" w:color="E5F1EE"/>
            </w:tcBorders>
            <w:shd w:val="clear" w:color="auto" w:fill="E5F1EE"/>
          </w:tcPr>
          <w:p>
            <w:pPr>
              <w:spacing w:after="0"/>
              <w:rPr>
                <w:sz w:val="11"/>
                <w:szCs w:val="11"/>
                <w:color w:val="auto"/>
              </w:rPr>
            </w:pPr>
          </w:p>
        </w:tc>
        <w:tc>
          <w:tcPr>
            <w:tcW w:w="220" w:type="dxa"/>
            <w:vAlign w:val="bottom"/>
            <w:tcBorders>
              <w:top w:val="single" w:sz="8" w:color="auto"/>
              <w:bottom w:val="single" w:sz="8" w:color="auto"/>
            </w:tcBorders>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top w:val="single" w:sz="8" w:color="auto"/>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2,318</w:t>
            </w:r>
          </w:p>
        </w:tc>
        <w:tc>
          <w:tcPr>
            <w:tcW w:w="220" w:type="dxa"/>
            <w:vAlign w:val="bottom"/>
            <w:tcBorders>
              <w:top w:val="single" w:sz="8" w:color="E5F1EE"/>
              <w:bottom w:val="single" w:sz="8" w:color="E5F1EE"/>
            </w:tcBorders>
            <w:shd w:val="clear" w:color="auto" w:fill="E5F1EE"/>
          </w:tcPr>
          <w:p>
            <w:pPr>
              <w:spacing w:after="0"/>
              <w:rPr>
                <w:sz w:val="11"/>
                <w:szCs w:val="11"/>
                <w:color w:val="auto"/>
              </w:rPr>
            </w:pPr>
          </w:p>
        </w:tc>
        <w:tc>
          <w:tcPr>
            <w:tcW w:w="180" w:type="dxa"/>
            <w:vAlign w:val="bottom"/>
            <w:tcBorders>
              <w:top w:val="single" w:sz="8" w:color="auto"/>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top w:val="single" w:sz="8" w:color="auto"/>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2,379</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E5F1EE"/>
            </w:tcBorders>
            <w:gridSpan w:val="3"/>
          </w:tcPr>
          <w:p>
            <w:pPr>
              <w:spacing w:after="0" w:line="97" w:lineRule="exact"/>
              <w:rPr>
                <w:sz w:val="20"/>
                <w:szCs w:val="20"/>
                <w:color w:val="auto"/>
              </w:rPr>
            </w:pPr>
            <w:r>
              <w:rPr>
                <w:rFonts w:ascii="Times New Roman" w:cs="Times New Roman" w:eastAsia="Times New Roman" w:hAnsi="Times New Roman"/>
                <w:sz w:val="9"/>
                <w:szCs w:val="9"/>
                <w:color w:val="auto"/>
              </w:rPr>
              <w:t>Efficiency ratio</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55.1 %</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53.6 %</w:t>
            </w:r>
          </w:p>
        </w:tc>
        <w:tc>
          <w:tcPr>
            <w:tcW w:w="220" w:type="dxa"/>
            <w:vAlign w:val="bottom"/>
            <w:tcBorders>
              <w:bottom w:val="single" w:sz="8" w:color="E5F1EE"/>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55.2 %</w:t>
            </w:r>
          </w:p>
        </w:tc>
        <w:tc>
          <w:tcPr>
            <w:tcW w:w="220" w:type="dxa"/>
            <w:vAlign w:val="bottom"/>
            <w:tcBorders>
              <w:bottom w:val="single" w:sz="8" w:color="E5F1EE"/>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60.5 %</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56.8 %</w:t>
            </w:r>
          </w:p>
        </w:tc>
        <w:tc>
          <w:tcPr>
            <w:tcW w:w="0" w:type="dxa"/>
            <w:vAlign w:val="bottom"/>
          </w:tcPr>
          <w:p>
            <w:pPr>
              <w:spacing w:after="0"/>
              <w:rPr>
                <w:sz w:val="1"/>
                <w:szCs w:val="1"/>
                <w:color w:val="auto"/>
              </w:rPr>
            </w:pPr>
          </w:p>
        </w:tc>
      </w:tr>
      <w:tr>
        <w:trPr>
          <w:trHeight w:val="86"/>
        </w:trPr>
        <w:tc>
          <w:tcPr>
            <w:tcW w:w="720" w:type="dxa"/>
            <w:vAlign w:val="bottom"/>
            <w:tcBorders>
              <w:bottom w:val="single" w:sz="8" w:color="auto"/>
            </w:tcBorders>
            <w:shd w:val="clear" w:color="auto" w:fill="E5F1EE"/>
          </w:tcPr>
          <w:p>
            <w:pPr>
              <w:spacing w:after="0" w:line="79" w:lineRule="exact"/>
              <w:rPr>
                <w:sz w:val="20"/>
                <w:szCs w:val="20"/>
                <w:color w:val="auto"/>
              </w:rPr>
            </w:pPr>
            <w:r>
              <w:rPr>
                <w:rFonts w:ascii="Times New Roman" w:cs="Times New Roman" w:eastAsia="Times New Roman" w:hAnsi="Times New Roman"/>
                <w:sz w:val="9"/>
                <w:szCs w:val="9"/>
                <w:b w:val="1"/>
                <w:bCs w:val="1"/>
                <w:color w:val="auto"/>
                <w:w w:val="97"/>
              </w:rPr>
              <w:t>Balance sheet data</w:t>
            </w:r>
          </w:p>
        </w:tc>
        <w:tc>
          <w:tcPr>
            <w:tcW w:w="4000" w:type="dxa"/>
            <w:vAlign w:val="bottom"/>
            <w:tcBorders>
              <w:bottom w:val="single" w:sz="8" w:color="E5F1EE"/>
            </w:tcBorders>
            <w:gridSpan w:val="2"/>
            <w:shd w:val="clear" w:color="auto" w:fill="E5F1EE"/>
          </w:tcPr>
          <w:p>
            <w:pPr>
              <w:spacing w:after="0"/>
              <w:rPr>
                <w:sz w:val="7"/>
                <w:szCs w:val="7"/>
                <w:color w:val="auto"/>
              </w:rPr>
            </w:pPr>
          </w:p>
        </w:tc>
        <w:tc>
          <w:tcPr>
            <w:tcW w:w="180" w:type="dxa"/>
            <w:vAlign w:val="bottom"/>
            <w:tcBorders>
              <w:bottom w:val="single" w:sz="8" w:color="E5F1EE"/>
            </w:tcBorders>
            <w:shd w:val="clear" w:color="auto" w:fill="E5F1EE"/>
          </w:tcPr>
          <w:p>
            <w:pPr>
              <w:spacing w:after="0"/>
              <w:rPr>
                <w:sz w:val="7"/>
                <w:szCs w:val="7"/>
                <w:color w:val="auto"/>
              </w:rPr>
            </w:pPr>
          </w:p>
        </w:tc>
        <w:tc>
          <w:tcPr>
            <w:tcW w:w="960" w:type="dxa"/>
            <w:vAlign w:val="bottom"/>
            <w:tcBorders>
              <w:bottom w:val="single" w:sz="8" w:color="E5F1EE"/>
            </w:tcBorders>
            <w:shd w:val="clear" w:color="auto" w:fill="E5F1EE"/>
          </w:tcPr>
          <w:p>
            <w:pPr>
              <w:spacing w:after="0"/>
              <w:rPr>
                <w:sz w:val="7"/>
                <w:szCs w:val="7"/>
                <w:color w:val="auto"/>
              </w:rPr>
            </w:pPr>
          </w:p>
        </w:tc>
        <w:tc>
          <w:tcPr>
            <w:tcW w:w="220" w:type="dxa"/>
            <w:vAlign w:val="bottom"/>
            <w:tcBorders>
              <w:bottom w:val="single" w:sz="8" w:color="E5F1EE"/>
            </w:tcBorders>
            <w:shd w:val="clear" w:color="auto" w:fill="E5F1EE"/>
          </w:tcPr>
          <w:p>
            <w:pPr>
              <w:spacing w:after="0"/>
              <w:rPr>
                <w:sz w:val="7"/>
                <w:szCs w:val="7"/>
                <w:color w:val="auto"/>
              </w:rPr>
            </w:pPr>
          </w:p>
        </w:tc>
        <w:tc>
          <w:tcPr>
            <w:tcW w:w="180" w:type="dxa"/>
            <w:vAlign w:val="bottom"/>
            <w:tcBorders>
              <w:bottom w:val="single" w:sz="8" w:color="E5F1EE"/>
            </w:tcBorders>
            <w:shd w:val="clear" w:color="auto" w:fill="E5F1EE"/>
          </w:tcPr>
          <w:p>
            <w:pPr>
              <w:spacing w:after="0"/>
              <w:rPr>
                <w:sz w:val="7"/>
                <w:szCs w:val="7"/>
                <w:color w:val="auto"/>
              </w:rPr>
            </w:pPr>
          </w:p>
        </w:tc>
        <w:tc>
          <w:tcPr>
            <w:tcW w:w="960" w:type="dxa"/>
            <w:vAlign w:val="bottom"/>
            <w:tcBorders>
              <w:bottom w:val="single" w:sz="8" w:color="E5F1EE"/>
            </w:tcBorders>
            <w:shd w:val="clear" w:color="auto" w:fill="E5F1EE"/>
          </w:tcPr>
          <w:p>
            <w:pPr>
              <w:spacing w:after="0"/>
              <w:rPr>
                <w:sz w:val="7"/>
                <w:szCs w:val="7"/>
                <w:color w:val="auto"/>
              </w:rPr>
            </w:pPr>
          </w:p>
        </w:tc>
        <w:tc>
          <w:tcPr>
            <w:tcW w:w="220" w:type="dxa"/>
            <w:vAlign w:val="bottom"/>
            <w:tcBorders>
              <w:bottom w:val="single" w:sz="8" w:color="E5F1EE"/>
            </w:tcBorders>
            <w:shd w:val="clear" w:color="auto" w:fill="E5F1EE"/>
          </w:tcPr>
          <w:p>
            <w:pPr>
              <w:spacing w:after="0"/>
              <w:rPr>
                <w:sz w:val="7"/>
                <w:szCs w:val="7"/>
                <w:color w:val="auto"/>
              </w:rPr>
            </w:pPr>
          </w:p>
        </w:tc>
        <w:tc>
          <w:tcPr>
            <w:tcW w:w="120" w:type="dxa"/>
            <w:vAlign w:val="bottom"/>
            <w:tcBorders>
              <w:bottom w:val="single" w:sz="8" w:color="E5F1EE"/>
            </w:tcBorders>
            <w:shd w:val="clear" w:color="auto" w:fill="E5F1EE"/>
          </w:tcPr>
          <w:p>
            <w:pPr>
              <w:spacing w:after="0"/>
              <w:rPr>
                <w:sz w:val="7"/>
                <w:szCs w:val="7"/>
                <w:color w:val="auto"/>
              </w:rPr>
            </w:pPr>
          </w:p>
        </w:tc>
        <w:tc>
          <w:tcPr>
            <w:tcW w:w="1020" w:type="dxa"/>
            <w:vAlign w:val="bottom"/>
            <w:tcBorders>
              <w:bottom w:val="single" w:sz="8" w:color="E5F1EE"/>
            </w:tcBorders>
            <w:shd w:val="clear" w:color="auto" w:fill="E5F1EE"/>
          </w:tcPr>
          <w:p>
            <w:pPr>
              <w:spacing w:after="0"/>
              <w:rPr>
                <w:sz w:val="7"/>
                <w:szCs w:val="7"/>
                <w:color w:val="auto"/>
              </w:rPr>
            </w:pPr>
          </w:p>
        </w:tc>
        <w:tc>
          <w:tcPr>
            <w:tcW w:w="220" w:type="dxa"/>
            <w:vAlign w:val="bottom"/>
            <w:tcBorders>
              <w:bottom w:val="single" w:sz="8" w:color="E5F1EE"/>
            </w:tcBorders>
            <w:shd w:val="clear" w:color="auto" w:fill="E5F1EE"/>
          </w:tcPr>
          <w:p>
            <w:pPr>
              <w:spacing w:after="0"/>
              <w:rPr>
                <w:sz w:val="7"/>
                <w:szCs w:val="7"/>
                <w:color w:val="auto"/>
              </w:rPr>
            </w:pPr>
          </w:p>
        </w:tc>
        <w:tc>
          <w:tcPr>
            <w:tcW w:w="220" w:type="dxa"/>
            <w:vAlign w:val="bottom"/>
            <w:tcBorders>
              <w:bottom w:val="single" w:sz="8" w:color="E5F1EE"/>
            </w:tcBorders>
            <w:shd w:val="clear" w:color="auto" w:fill="E5F1EE"/>
          </w:tcPr>
          <w:p>
            <w:pPr>
              <w:spacing w:after="0"/>
              <w:rPr>
                <w:sz w:val="7"/>
                <w:szCs w:val="7"/>
                <w:color w:val="auto"/>
              </w:rPr>
            </w:pPr>
          </w:p>
        </w:tc>
        <w:tc>
          <w:tcPr>
            <w:tcW w:w="920" w:type="dxa"/>
            <w:vAlign w:val="bottom"/>
            <w:tcBorders>
              <w:bottom w:val="single" w:sz="8" w:color="E5F1EE"/>
            </w:tcBorders>
            <w:shd w:val="clear" w:color="auto" w:fill="E5F1EE"/>
          </w:tcPr>
          <w:p>
            <w:pPr>
              <w:spacing w:after="0"/>
              <w:rPr>
                <w:sz w:val="7"/>
                <w:szCs w:val="7"/>
                <w:color w:val="auto"/>
              </w:rPr>
            </w:pPr>
          </w:p>
        </w:tc>
        <w:tc>
          <w:tcPr>
            <w:tcW w:w="220" w:type="dxa"/>
            <w:vAlign w:val="bottom"/>
            <w:tcBorders>
              <w:bottom w:val="single" w:sz="8" w:color="E5F1EE"/>
            </w:tcBorders>
            <w:shd w:val="clear" w:color="auto" w:fill="E5F1EE"/>
          </w:tcPr>
          <w:p>
            <w:pPr>
              <w:spacing w:after="0"/>
              <w:rPr>
                <w:sz w:val="7"/>
                <w:szCs w:val="7"/>
                <w:color w:val="auto"/>
              </w:rPr>
            </w:pPr>
          </w:p>
        </w:tc>
        <w:tc>
          <w:tcPr>
            <w:tcW w:w="180" w:type="dxa"/>
            <w:vAlign w:val="bottom"/>
            <w:tcBorders>
              <w:bottom w:val="single" w:sz="8" w:color="E5F1EE"/>
            </w:tcBorders>
            <w:shd w:val="clear" w:color="auto" w:fill="E5F1EE"/>
          </w:tcPr>
          <w:p>
            <w:pPr>
              <w:spacing w:after="0"/>
              <w:rPr>
                <w:sz w:val="7"/>
                <w:szCs w:val="7"/>
                <w:color w:val="auto"/>
              </w:rPr>
            </w:pPr>
          </w:p>
        </w:tc>
        <w:tc>
          <w:tcPr>
            <w:tcW w:w="960" w:type="dxa"/>
            <w:vAlign w:val="bottom"/>
            <w:tcBorders>
              <w:bottom w:val="single" w:sz="8" w:color="E5F1EE"/>
            </w:tcBorders>
            <w:shd w:val="clear" w:color="auto" w:fill="E5F1E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Average assets</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assets</w:t>
            </w: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212,891</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211,053</w:t>
            </w: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210,261</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208,321</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211,853</w:t>
            </w:r>
          </w:p>
        </w:tc>
        <w:tc>
          <w:tcPr>
            <w:tcW w:w="0" w:type="dxa"/>
            <w:vAlign w:val="bottom"/>
          </w:tcPr>
          <w:p>
            <w:pPr>
              <w:spacing w:after="0"/>
              <w:rPr>
                <w:sz w:val="1"/>
                <w:szCs w:val="1"/>
                <w:color w:val="auto"/>
              </w:rPr>
            </w:pPr>
          </w:p>
        </w:tc>
      </w:tr>
      <w:tr>
        <w:trPr>
          <w:trHeight w:val="121"/>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Goodwill</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0" w:type="dxa"/>
            <w:vAlign w:val="bottom"/>
          </w:tcPr>
          <w:p>
            <w:pPr>
              <w:spacing w:after="0"/>
              <w:rPr>
                <w:sz w:val="1"/>
                <w:szCs w:val="1"/>
                <w:color w:val="auto"/>
              </w:rPr>
            </w:pPr>
          </w:p>
        </w:tc>
      </w:tr>
      <w:tr>
        <w:trPr>
          <w:trHeight w:val="131"/>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(79)</w:t>
            </w: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(89)</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(92)</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(100)</w:t>
            </w:r>
          </w:p>
        </w:tc>
        <w:tc>
          <w:tcPr>
            <w:tcW w:w="0" w:type="dxa"/>
            <w:vAlign w:val="bottom"/>
          </w:tcPr>
          <w:p>
            <w:pPr>
              <w:spacing w:after="0"/>
              <w:rPr>
                <w:sz w:val="1"/>
                <w:szCs w:val="1"/>
                <w:color w:val="auto"/>
              </w:rPr>
            </w:pPr>
          </w:p>
        </w:tc>
      </w:tr>
      <w:tr>
        <w:trPr>
          <w:trHeight w:val="121"/>
        </w:trPr>
        <w:tc>
          <w:tcPr>
            <w:tcW w:w="472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24</w:t>
            </w:r>
          </w:p>
        </w:tc>
        <w:tc>
          <w:tcPr>
            <w:tcW w:w="22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26</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27</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29</w:t>
            </w:r>
          </w:p>
        </w:tc>
        <w:tc>
          <w:tcPr>
            <w:tcW w:w="0" w:type="dxa"/>
            <w:vAlign w:val="bottom"/>
          </w:tcPr>
          <w:p>
            <w:pPr>
              <w:spacing w:after="0"/>
              <w:rPr>
                <w:sz w:val="1"/>
                <w:szCs w:val="1"/>
                <w:color w:val="auto"/>
              </w:rPr>
            </w:pPr>
          </w:p>
        </w:tc>
      </w:tr>
      <w:tr>
        <w:trPr>
          <w:trHeight w:val="138"/>
        </w:trPr>
        <w:tc>
          <w:tcPr>
            <w:tcW w:w="4720" w:type="dxa"/>
            <w:vAlign w:val="bottom"/>
            <w:tcBorders>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tangible assets</w:t>
            </w: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204,379</w:t>
            </w:r>
          </w:p>
        </w:tc>
        <w:tc>
          <w:tcPr>
            <w:tcW w:w="220" w:type="dxa"/>
            <w:vAlign w:val="bottom"/>
            <w:tcBorders>
              <w:bottom w:val="single" w:sz="8" w:color="E5F1EE"/>
            </w:tcBorders>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202,533</w:t>
            </w:r>
          </w:p>
        </w:tc>
        <w:tc>
          <w:tcPr>
            <w:tcW w:w="220" w:type="dxa"/>
            <w:vAlign w:val="bottom"/>
            <w:tcBorders>
              <w:bottom w:val="single" w:sz="8" w:color="E5F1EE"/>
            </w:tcBorders>
            <w:shd w:val="clear" w:color="auto" w:fill="E5F1EE"/>
          </w:tcPr>
          <w:p>
            <w:pPr>
              <w:spacing w:after="0"/>
              <w:rPr>
                <w:sz w:val="11"/>
                <w:szCs w:val="11"/>
                <w:color w:val="auto"/>
              </w:rPr>
            </w:pPr>
          </w:p>
        </w:tc>
        <w:tc>
          <w:tcPr>
            <w:tcW w:w="120" w:type="dxa"/>
            <w:vAlign w:val="bottom"/>
            <w:tcBorders>
              <w:bottom w:val="single" w:sz="8" w:color="auto"/>
            </w:tcBorders>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201,733</w:t>
            </w:r>
          </w:p>
        </w:tc>
        <w:tc>
          <w:tcPr>
            <w:tcW w:w="2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199,791</w:t>
            </w:r>
          </w:p>
        </w:tc>
        <w:tc>
          <w:tcPr>
            <w:tcW w:w="220" w:type="dxa"/>
            <w:vAlign w:val="bottom"/>
            <w:tcBorders>
              <w:bottom w:val="single" w:sz="8" w:color="E5F1EE"/>
            </w:tcBorders>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203,317</w:t>
            </w:r>
          </w:p>
        </w:tc>
        <w:tc>
          <w:tcPr>
            <w:tcW w:w="0" w:type="dxa"/>
            <w:vAlign w:val="bottom"/>
          </w:tcPr>
          <w:p>
            <w:pPr>
              <w:spacing w:after="0"/>
              <w:rPr>
                <w:sz w:val="1"/>
                <w:szCs w:val="1"/>
                <w:color w:val="auto"/>
              </w:rPr>
            </w:pPr>
          </w:p>
        </w:tc>
      </w:tr>
      <w:tr>
        <w:trPr>
          <w:trHeight w:val="102"/>
        </w:trPr>
        <w:tc>
          <w:tcPr>
            <w:tcW w:w="4720" w:type="dxa"/>
            <w:vAlign w:val="bottom"/>
            <w:gridSpan w:val="3"/>
          </w:tcPr>
          <w:p>
            <w:pPr>
              <w:spacing w:after="0" w:line="98" w:lineRule="exact"/>
              <w:rPr>
                <w:sz w:val="20"/>
                <w:szCs w:val="20"/>
                <w:color w:val="auto"/>
              </w:rPr>
            </w:pPr>
            <w:r>
              <w:rPr>
                <w:rFonts w:ascii="Times New Roman" w:cs="Times New Roman" w:eastAsia="Times New Roman" w:hAnsi="Times New Roman"/>
                <w:sz w:val="9"/>
                <w:szCs w:val="9"/>
                <w:b w:val="1"/>
                <w:bCs w:val="1"/>
                <w:color w:val="auto"/>
              </w:rPr>
              <w:t>Average common equity</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total equity</w:t>
            </w: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28,970</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28,583</w:t>
            </w: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28,666</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28,998</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28,707</w:t>
            </w:r>
          </w:p>
        </w:tc>
        <w:tc>
          <w:tcPr>
            <w:tcW w:w="0" w:type="dxa"/>
            <w:vAlign w:val="bottom"/>
          </w:tcPr>
          <w:p>
            <w:pPr>
              <w:spacing w:after="0"/>
              <w:rPr>
                <w:sz w:val="1"/>
                <w:szCs w:val="1"/>
                <w:color w:val="auto"/>
              </w:rPr>
            </w:pPr>
          </w:p>
        </w:tc>
      </w:tr>
      <w:tr>
        <w:trPr>
          <w:trHeight w:val="121"/>
        </w:trPr>
        <w:tc>
          <w:tcPr>
            <w:tcW w:w="472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Preferred stock</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(2,691)</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(2,394)</w:t>
            </w:r>
          </w:p>
        </w:tc>
        <w:tc>
          <w:tcPr>
            <w:tcW w:w="22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(2,394)</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(2,394)</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(2,394)</w:t>
            </w:r>
          </w:p>
        </w:tc>
        <w:tc>
          <w:tcPr>
            <w:tcW w:w="0" w:type="dxa"/>
            <w:vAlign w:val="bottom"/>
          </w:tcPr>
          <w:p>
            <w:pPr>
              <w:spacing w:after="0"/>
              <w:rPr>
                <w:sz w:val="1"/>
                <w:szCs w:val="1"/>
                <w:color w:val="auto"/>
              </w:rPr>
            </w:pPr>
          </w:p>
        </w:tc>
      </w:tr>
      <w:tr>
        <w:trPr>
          <w:trHeight w:val="120"/>
        </w:trPr>
        <w:tc>
          <w:tcPr>
            <w:tcW w:w="4720" w:type="dxa"/>
            <w:vAlign w:val="bottom"/>
            <w:gridSpan w:val="3"/>
            <w:shd w:val="clear" w:color="auto" w:fill="E5F1EE"/>
          </w:tcPr>
          <w:p>
            <w:pPr>
              <w:spacing w:after="0" w:line="101" w:lineRule="exact"/>
              <w:rPr>
                <w:sz w:val="20"/>
                <w:szCs w:val="20"/>
                <w:color w:val="auto"/>
              </w:rPr>
            </w:pPr>
            <w:r>
              <w:rPr>
                <w:rFonts w:ascii="Times New Roman" w:cs="Times New Roman" w:eastAsia="Times New Roman" w:hAnsi="Times New Roman"/>
                <w:sz w:val="9"/>
                <w:szCs w:val="9"/>
                <w:color w:val="auto"/>
              </w:rPr>
              <w:t>Average common equity</w:t>
            </w:r>
          </w:p>
        </w:tc>
        <w:tc>
          <w:tcPr>
            <w:tcW w:w="180" w:type="dxa"/>
            <w:vAlign w:val="bottom"/>
            <w:shd w:val="clear" w:color="auto" w:fill="E5F1EE"/>
          </w:tcPr>
          <w:p>
            <w:pPr>
              <w:spacing w:after="0"/>
              <w:rPr>
                <w:sz w:val="10"/>
                <w:szCs w:val="10"/>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26,279</w:t>
            </w:r>
          </w:p>
        </w:tc>
        <w:tc>
          <w:tcPr>
            <w:tcW w:w="22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26,189</w:t>
            </w:r>
          </w:p>
        </w:tc>
        <w:tc>
          <w:tcPr>
            <w:tcW w:w="22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26,272</w:t>
            </w:r>
          </w:p>
        </w:tc>
        <w:tc>
          <w:tcPr>
            <w:tcW w:w="22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26,604</w:t>
            </w:r>
          </w:p>
        </w:tc>
        <w:tc>
          <w:tcPr>
            <w:tcW w:w="22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26,313</w:t>
            </w:r>
          </w:p>
        </w:tc>
        <w:tc>
          <w:tcPr>
            <w:tcW w:w="0" w:type="dxa"/>
            <w:vAlign w:val="bottom"/>
          </w:tcPr>
          <w:p>
            <w:pPr>
              <w:spacing w:after="0"/>
              <w:rPr>
                <w:sz w:val="1"/>
                <w:szCs w:val="1"/>
                <w:color w:val="auto"/>
              </w:rPr>
            </w:pPr>
          </w:p>
        </w:tc>
      </w:tr>
      <w:tr>
        <w:trPr>
          <w:trHeight w:val="121"/>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Goodwill</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0" w:type="dxa"/>
            <w:vAlign w:val="bottom"/>
          </w:tcPr>
          <w:p>
            <w:pPr>
              <w:spacing w:after="0"/>
              <w:rPr>
                <w:sz w:val="1"/>
                <w:szCs w:val="1"/>
                <w:color w:val="auto"/>
              </w:rPr>
            </w:pPr>
          </w:p>
        </w:tc>
      </w:tr>
      <w:tr>
        <w:trPr>
          <w:trHeight w:val="131"/>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(79)</w:t>
            </w: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(89)</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(92)</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(100)</w:t>
            </w:r>
          </w:p>
        </w:tc>
        <w:tc>
          <w:tcPr>
            <w:tcW w:w="0" w:type="dxa"/>
            <w:vAlign w:val="bottom"/>
          </w:tcPr>
          <w:p>
            <w:pPr>
              <w:spacing w:after="0"/>
              <w:rPr>
                <w:sz w:val="1"/>
                <w:szCs w:val="1"/>
                <w:color w:val="auto"/>
              </w:rPr>
            </w:pPr>
          </w:p>
        </w:tc>
      </w:tr>
      <w:tr>
        <w:trPr>
          <w:trHeight w:val="121"/>
        </w:trPr>
        <w:tc>
          <w:tcPr>
            <w:tcW w:w="472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24</w:t>
            </w:r>
          </w:p>
        </w:tc>
        <w:tc>
          <w:tcPr>
            <w:tcW w:w="22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26</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27</w:t>
            </w:r>
          </w:p>
        </w:tc>
        <w:tc>
          <w:tcPr>
            <w:tcW w:w="220" w:type="dxa"/>
            <w:vAlign w:val="bottom"/>
            <w:tcBorders>
              <w:bottom w:val="single" w:sz="8" w:color="E5F1EE"/>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29</w:t>
            </w:r>
          </w:p>
        </w:tc>
        <w:tc>
          <w:tcPr>
            <w:tcW w:w="0" w:type="dxa"/>
            <w:vAlign w:val="bottom"/>
          </w:tcPr>
          <w:p>
            <w:pPr>
              <w:spacing w:after="0"/>
              <w:rPr>
                <w:sz w:val="1"/>
                <w:szCs w:val="1"/>
                <w:color w:val="auto"/>
              </w:rPr>
            </w:pPr>
          </w:p>
        </w:tc>
      </w:tr>
      <w:tr>
        <w:trPr>
          <w:trHeight w:val="138"/>
        </w:trPr>
        <w:tc>
          <w:tcPr>
            <w:tcW w:w="4720" w:type="dxa"/>
            <w:vAlign w:val="bottom"/>
            <w:tcBorders>
              <w:bottom w:val="single" w:sz="8" w:color="E5F1EE"/>
            </w:tcBorders>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tangible common equity</w:t>
            </w: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17,767</w:t>
            </w:r>
          </w:p>
        </w:tc>
        <w:tc>
          <w:tcPr>
            <w:tcW w:w="220" w:type="dxa"/>
            <w:vAlign w:val="bottom"/>
            <w:tcBorders>
              <w:bottom w:val="single" w:sz="8" w:color="E5F1EE"/>
            </w:tcBorders>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17,669</w:t>
            </w:r>
          </w:p>
        </w:tc>
        <w:tc>
          <w:tcPr>
            <w:tcW w:w="220" w:type="dxa"/>
            <w:vAlign w:val="bottom"/>
            <w:tcBorders>
              <w:bottom w:val="single" w:sz="8" w:color="E5F1EE"/>
            </w:tcBorders>
            <w:shd w:val="clear" w:color="auto" w:fill="E5F1EE"/>
          </w:tcPr>
          <w:p>
            <w:pPr>
              <w:spacing w:after="0"/>
              <w:rPr>
                <w:sz w:val="11"/>
                <w:szCs w:val="11"/>
                <w:color w:val="auto"/>
              </w:rPr>
            </w:pPr>
          </w:p>
        </w:tc>
        <w:tc>
          <w:tcPr>
            <w:tcW w:w="120" w:type="dxa"/>
            <w:vAlign w:val="bottom"/>
            <w:tcBorders>
              <w:bottom w:val="single" w:sz="8" w:color="auto"/>
            </w:tcBorders>
            <w:shd w:val="clear" w:color="auto" w:fill="E5F1EE"/>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17,744</w:t>
            </w:r>
          </w:p>
        </w:tc>
        <w:tc>
          <w:tcPr>
            <w:tcW w:w="2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18,074</w:t>
            </w:r>
          </w:p>
        </w:tc>
        <w:tc>
          <w:tcPr>
            <w:tcW w:w="220" w:type="dxa"/>
            <w:vAlign w:val="bottom"/>
            <w:tcBorders>
              <w:bottom w:val="single" w:sz="8" w:color="E5F1EE"/>
            </w:tcBorders>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17,777</w:t>
            </w:r>
          </w:p>
        </w:tc>
        <w:tc>
          <w:tcPr>
            <w:tcW w:w="0" w:type="dxa"/>
            <w:vAlign w:val="bottom"/>
          </w:tcPr>
          <w:p>
            <w:pPr>
              <w:spacing w:after="0"/>
              <w:rPr>
                <w:sz w:val="1"/>
                <w:szCs w:val="1"/>
                <w:color w:val="auto"/>
              </w:rPr>
            </w:pPr>
          </w:p>
        </w:tc>
      </w:tr>
      <w:tr>
        <w:trPr>
          <w:trHeight w:val="102"/>
        </w:trPr>
        <w:tc>
          <w:tcPr>
            <w:tcW w:w="4720" w:type="dxa"/>
            <w:vAlign w:val="bottom"/>
            <w:gridSpan w:val="3"/>
          </w:tcPr>
          <w:p>
            <w:pPr>
              <w:spacing w:after="0" w:line="98" w:lineRule="exact"/>
              <w:rPr>
                <w:sz w:val="20"/>
                <w:szCs w:val="20"/>
                <w:color w:val="auto"/>
              </w:rPr>
            </w:pPr>
            <w:r>
              <w:rPr>
                <w:rFonts w:ascii="Times New Roman" w:cs="Times New Roman" w:eastAsia="Times New Roman" w:hAnsi="Times New Roman"/>
                <w:sz w:val="9"/>
                <w:szCs w:val="9"/>
                <w:b w:val="1"/>
                <w:bCs w:val="1"/>
                <w:color w:val="auto"/>
              </w:rPr>
              <w:t>At end of quarter</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rPr>
              <w:t>Total assets</w:t>
            </w: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Total assets</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213,510</w:t>
            </w:r>
          </w:p>
        </w:tc>
        <w:tc>
          <w:tcPr>
            <w:tcW w:w="220" w:type="dxa"/>
            <w:vAlign w:val="bottom"/>
          </w:tcPr>
          <w:p>
            <w:pPr>
              <w:spacing w:after="0"/>
              <w:rPr>
                <w:sz w:val="10"/>
                <w:szCs w:val="10"/>
                <w:color w:val="auto"/>
              </w:rPr>
            </w:pP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211,277</w:t>
            </w:r>
          </w:p>
        </w:tc>
        <w:tc>
          <w:tcPr>
            <w:tcW w:w="220" w:type="dxa"/>
            <w:vAlign w:val="bottom"/>
          </w:tcPr>
          <w:p>
            <w:pPr>
              <w:spacing w:after="0"/>
              <w:rPr>
                <w:sz w:val="10"/>
                <w:szCs w:val="10"/>
                <w:color w:val="auto"/>
              </w:rPr>
            </w:pPr>
          </w:p>
        </w:tc>
        <w:tc>
          <w:tcPr>
            <w:tcW w:w="1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211,584</w:t>
            </w:r>
          </w:p>
        </w:tc>
        <w:tc>
          <w:tcPr>
            <w:tcW w:w="220" w:type="dxa"/>
            <w:vAlign w:val="bottom"/>
          </w:tcPr>
          <w:p>
            <w:pPr>
              <w:spacing w:after="0"/>
              <w:rPr>
                <w:sz w:val="10"/>
                <w:szCs w:val="10"/>
                <w:color w:val="auto"/>
              </w:rPr>
            </w:pP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210,321</w:t>
            </w:r>
          </w:p>
        </w:tc>
        <w:tc>
          <w:tcPr>
            <w:tcW w:w="220" w:type="dxa"/>
            <w:vAlign w:val="bottom"/>
          </w:tcPr>
          <w:p>
            <w:pPr>
              <w:spacing w:after="0"/>
              <w:rPr>
                <w:sz w:val="10"/>
                <w:szCs w:val="10"/>
                <w:color w:val="auto"/>
              </w:rPr>
            </w:pP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208,105</w:t>
            </w:r>
          </w:p>
        </w:tc>
        <w:tc>
          <w:tcPr>
            <w:tcW w:w="0" w:type="dxa"/>
            <w:vAlign w:val="bottom"/>
          </w:tcPr>
          <w:p>
            <w:pPr>
              <w:spacing w:after="0"/>
              <w:rPr>
                <w:sz w:val="1"/>
                <w:szCs w:val="1"/>
                <w:color w:val="auto"/>
              </w:rPr>
            </w:pPr>
          </w:p>
        </w:tc>
      </w:tr>
      <w:tr>
        <w:trPr>
          <w:trHeight w:val="131"/>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Goodwill</w:t>
            </w: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0" w:type="dxa"/>
            <w:vAlign w:val="bottom"/>
          </w:tcPr>
          <w:p>
            <w:pPr>
              <w:spacing w:after="0"/>
              <w:rPr>
                <w:sz w:val="1"/>
                <w:szCs w:val="1"/>
                <w:color w:val="auto"/>
              </w:rPr>
            </w:pPr>
          </w:p>
        </w:tc>
      </w:tr>
      <w:tr>
        <w:trPr>
          <w:trHeight w:val="121"/>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0" w:type="dxa"/>
            <w:vAlign w:val="bottom"/>
          </w:tcPr>
          <w:p>
            <w:pPr>
              <w:spacing w:after="0"/>
              <w:rPr>
                <w:sz w:val="1"/>
                <w:szCs w:val="1"/>
                <w:color w:val="auto"/>
              </w:rPr>
            </w:pPr>
          </w:p>
        </w:tc>
      </w:tr>
      <w:tr>
        <w:trPr>
          <w:trHeight w:val="131"/>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180" w:type="dxa"/>
            <w:vAlign w:val="bottom"/>
            <w:tcBorders>
              <w:bottom w:val="single" w:sz="8" w:color="auto"/>
            </w:tcBorders>
            <w:shd w:val="clear" w:color="auto" w:fill="E5F1EE"/>
          </w:tcPr>
          <w:p>
            <w:pPr>
              <w:spacing w:after="0"/>
              <w:rPr>
                <w:sz w:val="11"/>
                <w:szCs w:val="11"/>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w:t>
            </w:r>
          </w:p>
        </w:tc>
        <w:tc>
          <w:tcPr>
            <w:tcW w:w="220" w:type="dxa"/>
            <w:vAlign w:val="bottom"/>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spacing w:after="0"/>
              <w:rPr>
                <w:sz w:val="11"/>
                <w:szCs w:val="11"/>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23</w:t>
            </w:r>
          </w:p>
        </w:tc>
        <w:tc>
          <w:tcPr>
            <w:tcW w:w="220" w:type="dxa"/>
            <w:vAlign w:val="bottom"/>
            <w:shd w:val="clear" w:color="auto" w:fill="E5F1EE"/>
          </w:tcPr>
          <w:p>
            <w:pPr>
              <w:spacing w:after="0"/>
              <w:rPr>
                <w:sz w:val="11"/>
                <w:szCs w:val="11"/>
                <w:color w:val="auto"/>
              </w:rPr>
            </w:pPr>
          </w:p>
        </w:tc>
        <w:tc>
          <w:tcPr>
            <w:tcW w:w="120" w:type="dxa"/>
            <w:vAlign w:val="bottom"/>
            <w:tcBorders>
              <w:bottom w:val="single" w:sz="8" w:color="auto"/>
            </w:tcBorders>
            <w:shd w:val="clear" w:color="auto" w:fill="E5F1EE"/>
          </w:tcPr>
          <w:p>
            <w:pPr>
              <w:spacing w:after="0"/>
              <w:rPr>
                <w:sz w:val="11"/>
                <w:szCs w:val="11"/>
                <w:color w:val="auto"/>
              </w:rPr>
            </w:pP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25</w:t>
            </w:r>
          </w:p>
        </w:tc>
        <w:tc>
          <w:tcPr>
            <w:tcW w:w="220" w:type="dxa"/>
            <w:vAlign w:val="bottom"/>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spacing w:after="0"/>
              <w:rPr>
                <w:sz w:val="11"/>
                <w:szCs w:val="11"/>
                <w:color w:val="auto"/>
              </w:rPr>
            </w:pP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w:t>
            </w:r>
          </w:p>
        </w:tc>
        <w:tc>
          <w:tcPr>
            <w:tcW w:w="220" w:type="dxa"/>
            <w:vAlign w:val="bottom"/>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spacing w:after="0"/>
              <w:rPr>
                <w:sz w:val="11"/>
                <w:szCs w:val="11"/>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0" w:type="dxa"/>
            <w:vAlign w:val="bottom"/>
          </w:tcPr>
          <w:p>
            <w:pPr>
              <w:spacing w:after="0"/>
              <w:rPr>
                <w:sz w:val="1"/>
                <w:szCs w:val="1"/>
                <w:color w:val="auto"/>
              </w:rPr>
            </w:pPr>
          </w:p>
        </w:tc>
      </w:tr>
      <w:tr>
        <w:trPr>
          <w:trHeight w:val="133"/>
        </w:trPr>
        <w:tc>
          <w:tcPr>
            <w:tcW w:w="472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9"/>
                <w:szCs w:val="9"/>
                <w:color w:val="auto"/>
              </w:rPr>
              <w:t>Total tangible assets</w:t>
            </w:r>
          </w:p>
        </w:tc>
        <w:tc>
          <w:tcPr>
            <w:tcW w:w="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205,001</w:t>
            </w:r>
          </w:p>
        </w:tc>
        <w:tc>
          <w:tcPr>
            <w:tcW w:w="220" w:type="dxa"/>
            <w:vAlign w:val="bottom"/>
            <w:tcBorders>
              <w:bottom w:val="single" w:sz="8" w:color="E5F1EE"/>
            </w:tcBorders>
          </w:tcPr>
          <w:p>
            <w:pPr>
              <w:spacing w:after="0"/>
              <w:rPr>
                <w:sz w:val="11"/>
                <w:szCs w:val="11"/>
                <w:color w:val="auto"/>
              </w:rPr>
            </w:pPr>
          </w:p>
        </w:tc>
        <w:tc>
          <w:tcPr>
            <w:tcW w:w="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202,761</w:t>
            </w:r>
          </w:p>
        </w:tc>
        <w:tc>
          <w:tcPr>
            <w:tcW w:w="220" w:type="dxa"/>
            <w:vAlign w:val="bottom"/>
            <w:tcBorders>
              <w:bottom w:val="single" w:sz="8" w:color="E5F1EE"/>
            </w:tcBorders>
          </w:tcPr>
          <w:p>
            <w:pPr>
              <w:spacing w:after="0"/>
              <w:rPr>
                <w:sz w:val="11"/>
                <w:szCs w:val="11"/>
                <w:color w:val="auto"/>
              </w:rPr>
            </w:pPr>
          </w:p>
        </w:tc>
        <w:tc>
          <w:tcPr>
            <w:tcW w:w="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203,060</w:t>
            </w:r>
          </w:p>
        </w:tc>
        <w:tc>
          <w:tcPr>
            <w:tcW w:w="220" w:type="dxa"/>
            <w:vAlign w:val="bottom"/>
            <w:tcBorders>
              <w:bottom w:val="single" w:sz="8" w:color="E5F1EE"/>
            </w:tcBorders>
          </w:tcPr>
          <w:p>
            <w:pPr>
              <w:spacing w:after="0"/>
              <w:rPr>
                <w:sz w:val="11"/>
                <w:szCs w:val="11"/>
                <w:color w:val="auto"/>
              </w:rPr>
            </w:pPr>
          </w:p>
        </w:tc>
        <w:tc>
          <w:tcPr>
            <w:tcW w:w="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201,789</w:t>
            </w:r>
          </w:p>
        </w:tc>
        <w:tc>
          <w:tcPr>
            <w:tcW w:w="220" w:type="dxa"/>
            <w:vAlign w:val="bottom"/>
            <w:tcBorders>
              <w:bottom w:val="single" w:sz="8" w:color="E5F1EE"/>
            </w:tcBorders>
          </w:tcPr>
          <w:p>
            <w:pPr>
              <w:spacing w:after="0"/>
              <w:rPr>
                <w:sz w:val="11"/>
                <w:szCs w:val="11"/>
                <w:color w:val="auto"/>
              </w:rPr>
            </w:pPr>
          </w:p>
        </w:tc>
        <w:tc>
          <w:tcPr>
            <w:tcW w:w="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199,574</w:t>
            </w:r>
          </w:p>
        </w:tc>
        <w:tc>
          <w:tcPr>
            <w:tcW w:w="0" w:type="dxa"/>
            <w:vAlign w:val="bottom"/>
          </w:tcPr>
          <w:p>
            <w:pPr>
              <w:spacing w:after="0"/>
              <w:rPr>
                <w:sz w:val="1"/>
                <w:szCs w:val="1"/>
                <w:color w:val="auto"/>
              </w:rPr>
            </w:pPr>
          </w:p>
        </w:tc>
      </w:tr>
      <w:tr>
        <w:trPr>
          <w:trHeight w:val="106"/>
        </w:trPr>
        <w:tc>
          <w:tcPr>
            <w:tcW w:w="4720" w:type="dxa"/>
            <w:vAlign w:val="bottom"/>
            <w:gridSpan w:val="3"/>
            <w:shd w:val="clear" w:color="auto" w:fill="E5F1EE"/>
          </w:tcPr>
          <w:p>
            <w:pPr>
              <w:spacing w:after="0" w:line="98" w:lineRule="exact"/>
              <w:rPr>
                <w:sz w:val="20"/>
                <w:szCs w:val="20"/>
                <w:color w:val="auto"/>
              </w:rPr>
            </w:pPr>
            <w:r>
              <w:rPr>
                <w:rFonts w:ascii="Times New Roman" w:cs="Times New Roman" w:eastAsia="Times New Roman" w:hAnsi="Times New Roman"/>
                <w:sz w:val="9"/>
                <w:szCs w:val="9"/>
                <w:b w:val="1"/>
                <w:bCs w:val="1"/>
                <w:color w:val="auto"/>
              </w:rPr>
              <w:t>Total common equity</w:t>
            </w:r>
          </w:p>
        </w:tc>
        <w:tc>
          <w:tcPr>
            <w:tcW w:w="180" w:type="dxa"/>
            <w:vAlign w:val="bottom"/>
            <w:shd w:val="clear" w:color="auto" w:fill="E5F1EE"/>
          </w:tcPr>
          <w:p>
            <w:pPr>
              <w:spacing w:after="0"/>
              <w:rPr>
                <w:sz w:val="9"/>
                <w:szCs w:val="9"/>
                <w:color w:val="auto"/>
              </w:rPr>
            </w:pPr>
          </w:p>
        </w:tc>
        <w:tc>
          <w:tcPr>
            <w:tcW w:w="96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180" w:type="dxa"/>
            <w:vAlign w:val="bottom"/>
            <w:shd w:val="clear" w:color="auto" w:fill="E5F1EE"/>
          </w:tcPr>
          <w:p>
            <w:pPr>
              <w:spacing w:after="0"/>
              <w:rPr>
                <w:sz w:val="9"/>
                <w:szCs w:val="9"/>
                <w:color w:val="auto"/>
              </w:rPr>
            </w:pPr>
          </w:p>
        </w:tc>
        <w:tc>
          <w:tcPr>
            <w:tcW w:w="96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102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92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180" w:type="dxa"/>
            <w:vAlign w:val="bottom"/>
            <w:shd w:val="clear" w:color="auto" w:fill="E5F1EE"/>
          </w:tcPr>
          <w:p>
            <w:pPr>
              <w:spacing w:after="0"/>
              <w:rPr>
                <w:sz w:val="9"/>
                <w:szCs w:val="9"/>
                <w:color w:val="auto"/>
              </w:rPr>
            </w:pPr>
          </w:p>
        </w:tc>
        <w:tc>
          <w:tcPr>
            <w:tcW w:w="960" w:type="dxa"/>
            <w:vAlign w:val="bottom"/>
            <w:shd w:val="clear" w:color="auto" w:fill="E5F1E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Total equity</w:t>
            </w: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29,177</w:t>
            </w:r>
          </w:p>
        </w:tc>
        <w:tc>
          <w:tcPr>
            <w:tcW w:w="220" w:type="dxa"/>
            <w:vAlign w:val="bottom"/>
          </w:tcPr>
          <w:p>
            <w:pPr>
              <w:spacing w:after="0"/>
              <w:rPr>
                <w:sz w:val="10"/>
                <w:szCs w:val="10"/>
                <w:color w:val="auto"/>
              </w:rPr>
            </w:pP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28,728</w:t>
            </w:r>
          </w:p>
        </w:tc>
        <w:tc>
          <w:tcPr>
            <w:tcW w:w="220" w:type="dxa"/>
            <w:vAlign w:val="bottom"/>
          </w:tcPr>
          <w:p>
            <w:pPr>
              <w:spacing w:after="0"/>
              <w:rPr>
                <w:sz w:val="10"/>
                <w:szCs w:val="10"/>
                <w:color w:val="auto"/>
              </w:rPr>
            </w:pPr>
          </w:p>
        </w:tc>
        <w:tc>
          <w:tcPr>
            <w:tcW w:w="1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28,525</w:t>
            </w:r>
          </w:p>
        </w:tc>
        <w:tc>
          <w:tcPr>
            <w:tcW w:w="220" w:type="dxa"/>
            <w:vAlign w:val="bottom"/>
          </w:tcPr>
          <w:p>
            <w:pPr>
              <w:spacing w:after="0"/>
              <w:rPr>
                <w:sz w:val="10"/>
                <w:szCs w:val="10"/>
                <w:color w:val="auto"/>
              </w:rPr>
            </w:pP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28,991</w:t>
            </w:r>
          </w:p>
        </w:tc>
        <w:tc>
          <w:tcPr>
            <w:tcW w:w="220" w:type="dxa"/>
            <w:vAlign w:val="bottom"/>
          </w:tcPr>
          <w:p>
            <w:pPr>
              <w:spacing w:after="0"/>
              <w:rPr>
                <w:sz w:val="10"/>
                <w:szCs w:val="10"/>
                <w:color w:val="auto"/>
              </w:rPr>
            </w:pP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29,027</w:t>
            </w:r>
          </w:p>
        </w:tc>
        <w:tc>
          <w:tcPr>
            <w:tcW w:w="0" w:type="dxa"/>
            <w:vAlign w:val="bottom"/>
          </w:tcPr>
          <w:p>
            <w:pPr>
              <w:spacing w:after="0"/>
              <w:rPr>
                <w:sz w:val="1"/>
                <w:szCs w:val="1"/>
                <w:color w:val="auto"/>
              </w:rPr>
            </w:pPr>
          </w:p>
        </w:tc>
      </w:tr>
      <w:tr>
        <w:trPr>
          <w:trHeight w:val="131"/>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Preferred stock</w:t>
            </w:r>
          </w:p>
        </w:tc>
        <w:tc>
          <w:tcPr>
            <w:tcW w:w="180" w:type="dxa"/>
            <w:vAlign w:val="bottom"/>
            <w:tcBorders>
              <w:bottom w:val="single" w:sz="8" w:color="auto"/>
            </w:tcBorders>
            <w:shd w:val="clear" w:color="auto" w:fill="E5F1EE"/>
          </w:tcPr>
          <w:p>
            <w:pPr>
              <w:spacing w:after="0"/>
              <w:rPr>
                <w:sz w:val="11"/>
                <w:szCs w:val="11"/>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(2,834)</w:t>
            </w:r>
          </w:p>
        </w:tc>
        <w:tc>
          <w:tcPr>
            <w:tcW w:w="220" w:type="dxa"/>
            <w:vAlign w:val="bottom"/>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spacing w:after="0"/>
              <w:rPr>
                <w:sz w:val="11"/>
                <w:szCs w:val="11"/>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(2,394)</w:t>
            </w:r>
          </w:p>
        </w:tc>
        <w:tc>
          <w:tcPr>
            <w:tcW w:w="220" w:type="dxa"/>
            <w:vAlign w:val="bottom"/>
            <w:shd w:val="clear" w:color="auto" w:fill="E5F1EE"/>
          </w:tcPr>
          <w:p>
            <w:pPr>
              <w:spacing w:after="0"/>
              <w:rPr>
                <w:sz w:val="11"/>
                <w:szCs w:val="11"/>
                <w:color w:val="auto"/>
              </w:rPr>
            </w:pPr>
          </w:p>
        </w:tc>
        <w:tc>
          <w:tcPr>
            <w:tcW w:w="120" w:type="dxa"/>
            <w:vAlign w:val="bottom"/>
            <w:tcBorders>
              <w:bottom w:val="single" w:sz="8" w:color="auto"/>
            </w:tcBorders>
            <w:shd w:val="clear" w:color="auto" w:fill="E5F1EE"/>
          </w:tcPr>
          <w:p>
            <w:pPr>
              <w:spacing w:after="0"/>
              <w:rPr>
                <w:sz w:val="11"/>
                <w:szCs w:val="11"/>
                <w:color w:val="auto"/>
              </w:rPr>
            </w:pP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(2,394)</w:t>
            </w:r>
          </w:p>
        </w:tc>
        <w:tc>
          <w:tcPr>
            <w:tcW w:w="220" w:type="dxa"/>
            <w:vAlign w:val="bottom"/>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spacing w:after="0"/>
              <w:rPr>
                <w:sz w:val="11"/>
                <w:szCs w:val="11"/>
                <w:color w:val="auto"/>
              </w:rPr>
            </w:pP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(2,394)</w:t>
            </w:r>
          </w:p>
        </w:tc>
        <w:tc>
          <w:tcPr>
            <w:tcW w:w="220" w:type="dxa"/>
            <w:vAlign w:val="bottom"/>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spacing w:after="0"/>
              <w:rPr>
                <w:sz w:val="11"/>
                <w:szCs w:val="11"/>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(2,394)</w:t>
            </w:r>
          </w:p>
        </w:tc>
        <w:tc>
          <w:tcPr>
            <w:tcW w:w="0" w:type="dxa"/>
            <w:vAlign w:val="bottom"/>
          </w:tcPr>
          <w:p>
            <w:pPr>
              <w:spacing w:after="0"/>
              <w:rPr>
                <w:sz w:val="1"/>
                <w:szCs w:val="1"/>
                <w:color w:val="auto"/>
              </w:rPr>
            </w:pPr>
          </w:p>
        </w:tc>
      </w:tr>
      <w:tr>
        <w:trPr>
          <w:trHeight w:val="110"/>
        </w:trPr>
        <w:tc>
          <w:tcPr>
            <w:tcW w:w="4720" w:type="dxa"/>
            <w:vAlign w:val="bottom"/>
            <w:gridSpan w:val="3"/>
          </w:tcPr>
          <w:p>
            <w:pPr>
              <w:spacing w:after="0" w:line="97" w:lineRule="exact"/>
              <w:rPr>
                <w:sz w:val="20"/>
                <w:szCs w:val="20"/>
                <w:color w:val="auto"/>
              </w:rPr>
            </w:pPr>
            <w:r>
              <w:rPr>
                <w:rFonts w:ascii="Times New Roman" w:cs="Times New Roman" w:eastAsia="Times New Roman" w:hAnsi="Times New Roman"/>
                <w:sz w:val="9"/>
                <w:szCs w:val="9"/>
                <w:color w:val="auto"/>
              </w:rPr>
              <w:t>Common equity</w:t>
            </w:r>
          </w:p>
        </w:tc>
        <w:tc>
          <w:tcPr>
            <w:tcW w:w="18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26,343</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26,334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26,131</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26,597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26,633</w:t>
            </w:r>
          </w:p>
        </w:tc>
        <w:tc>
          <w:tcPr>
            <w:tcW w:w="0" w:type="dxa"/>
            <w:vAlign w:val="bottom"/>
          </w:tcPr>
          <w:p>
            <w:pPr>
              <w:spacing w:after="0"/>
              <w:rPr>
                <w:sz w:val="1"/>
                <w:szCs w:val="1"/>
                <w:color w:val="auto"/>
              </w:rPr>
            </w:pPr>
          </w:p>
        </w:tc>
      </w:tr>
      <w:tr>
        <w:trPr>
          <w:trHeight w:val="131"/>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Goodwill</w:t>
            </w: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(8,465)</w:t>
            </w:r>
          </w:p>
        </w:tc>
        <w:tc>
          <w:tcPr>
            <w:tcW w:w="0" w:type="dxa"/>
            <w:vAlign w:val="bottom"/>
          </w:tcPr>
          <w:p>
            <w:pPr>
              <w:spacing w:after="0"/>
              <w:rPr>
                <w:sz w:val="1"/>
                <w:szCs w:val="1"/>
                <w:color w:val="auto"/>
              </w:rPr>
            </w:pPr>
          </w:p>
        </w:tc>
      </w:tr>
      <w:tr>
        <w:trPr>
          <w:trHeight w:val="121"/>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0" w:type="dxa"/>
            <w:vAlign w:val="bottom"/>
          </w:tcPr>
          <w:p>
            <w:pPr>
              <w:spacing w:after="0"/>
              <w:rPr>
                <w:sz w:val="1"/>
                <w:szCs w:val="1"/>
                <w:color w:val="auto"/>
              </w:rPr>
            </w:pPr>
          </w:p>
        </w:tc>
      </w:tr>
      <w:tr>
        <w:trPr>
          <w:trHeight w:val="131"/>
        </w:trPr>
        <w:tc>
          <w:tcPr>
            <w:tcW w:w="472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180" w:type="dxa"/>
            <w:vAlign w:val="bottom"/>
            <w:tcBorders>
              <w:bottom w:val="single" w:sz="8" w:color="auto"/>
            </w:tcBorders>
            <w:shd w:val="clear" w:color="auto" w:fill="E5F1EE"/>
          </w:tcPr>
          <w:p>
            <w:pPr>
              <w:spacing w:after="0"/>
              <w:rPr>
                <w:sz w:val="11"/>
                <w:szCs w:val="11"/>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20</w:t>
            </w:r>
          </w:p>
        </w:tc>
        <w:tc>
          <w:tcPr>
            <w:tcW w:w="220" w:type="dxa"/>
            <w:vAlign w:val="bottom"/>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spacing w:after="0"/>
              <w:rPr>
                <w:sz w:val="11"/>
                <w:szCs w:val="11"/>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23</w:t>
            </w:r>
          </w:p>
        </w:tc>
        <w:tc>
          <w:tcPr>
            <w:tcW w:w="220" w:type="dxa"/>
            <w:vAlign w:val="bottom"/>
            <w:shd w:val="clear" w:color="auto" w:fill="E5F1EE"/>
          </w:tcPr>
          <w:p>
            <w:pPr>
              <w:spacing w:after="0"/>
              <w:rPr>
                <w:sz w:val="11"/>
                <w:szCs w:val="11"/>
                <w:color w:val="auto"/>
              </w:rPr>
            </w:pPr>
          </w:p>
        </w:tc>
        <w:tc>
          <w:tcPr>
            <w:tcW w:w="120" w:type="dxa"/>
            <w:vAlign w:val="bottom"/>
            <w:tcBorders>
              <w:bottom w:val="single" w:sz="8" w:color="auto"/>
            </w:tcBorders>
            <w:shd w:val="clear" w:color="auto" w:fill="E5F1EE"/>
          </w:tcPr>
          <w:p>
            <w:pPr>
              <w:spacing w:after="0"/>
              <w:rPr>
                <w:sz w:val="11"/>
                <w:szCs w:val="11"/>
                <w:color w:val="auto"/>
              </w:rPr>
            </w:pP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25</w:t>
            </w:r>
          </w:p>
        </w:tc>
        <w:tc>
          <w:tcPr>
            <w:tcW w:w="220" w:type="dxa"/>
            <w:vAlign w:val="bottom"/>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spacing w:after="0"/>
              <w:rPr>
                <w:sz w:val="11"/>
                <w:szCs w:val="11"/>
                <w:color w:val="auto"/>
              </w:rPr>
            </w:pP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26</w:t>
            </w:r>
          </w:p>
        </w:tc>
        <w:tc>
          <w:tcPr>
            <w:tcW w:w="220" w:type="dxa"/>
            <w:vAlign w:val="bottom"/>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spacing w:after="0"/>
              <w:rPr>
                <w:sz w:val="11"/>
                <w:szCs w:val="11"/>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0" w:type="dxa"/>
            <w:vAlign w:val="bottom"/>
          </w:tcPr>
          <w:p>
            <w:pPr>
              <w:spacing w:after="0"/>
              <w:rPr>
                <w:sz w:val="1"/>
                <w:szCs w:val="1"/>
                <w:color w:val="auto"/>
              </w:rPr>
            </w:pPr>
          </w:p>
        </w:tc>
      </w:tr>
      <w:tr>
        <w:trPr>
          <w:trHeight w:val="110"/>
        </w:trPr>
        <w:tc>
          <w:tcPr>
            <w:tcW w:w="472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Total tangible common equity</w:t>
            </w:r>
          </w:p>
        </w:tc>
        <w:tc>
          <w:tcPr>
            <w:tcW w:w="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17,834</w:t>
            </w:r>
          </w:p>
        </w:tc>
        <w:tc>
          <w:tcPr>
            <w:tcW w:w="220" w:type="dxa"/>
            <w:vAlign w:val="bottom"/>
          </w:tcPr>
          <w:p>
            <w:pPr>
              <w:spacing w:after="0"/>
              <w:rPr>
                <w:sz w:val="9"/>
                <w:szCs w:val="9"/>
                <w:color w:val="auto"/>
              </w:rPr>
            </w:pPr>
          </w:p>
        </w:tc>
        <w:tc>
          <w:tcPr>
            <w:tcW w:w="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17,818</w:t>
            </w:r>
          </w:p>
        </w:tc>
        <w:tc>
          <w:tcPr>
            <w:tcW w:w="220" w:type="dxa"/>
            <w:vAlign w:val="bottom"/>
          </w:tcPr>
          <w:p>
            <w:pPr>
              <w:spacing w:after="0"/>
              <w:rPr>
                <w:sz w:val="9"/>
                <w:szCs w:val="9"/>
                <w:color w:val="auto"/>
              </w:rPr>
            </w:pPr>
          </w:p>
        </w:tc>
        <w:tc>
          <w:tcPr>
            <w:tcW w:w="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17,607</w:t>
            </w:r>
          </w:p>
        </w:tc>
        <w:tc>
          <w:tcPr>
            <w:tcW w:w="220" w:type="dxa"/>
            <w:vAlign w:val="bottom"/>
          </w:tcPr>
          <w:p>
            <w:pPr>
              <w:spacing w:after="0"/>
              <w:rPr>
                <w:sz w:val="9"/>
                <w:szCs w:val="9"/>
                <w:color w:val="auto"/>
              </w:rPr>
            </w:pPr>
          </w:p>
        </w:tc>
        <w:tc>
          <w:tcPr>
            <w:tcW w:w="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18,065</w:t>
            </w:r>
          </w:p>
        </w:tc>
        <w:tc>
          <w:tcPr>
            <w:tcW w:w="220" w:type="dxa"/>
            <w:vAlign w:val="bottom"/>
          </w:tcPr>
          <w:p>
            <w:pPr>
              <w:spacing w:after="0"/>
              <w:rPr>
                <w:sz w:val="9"/>
                <w:szCs w:val="9"/>
                <w:color w:val="auto"/>
              </w:rPr>
            </w:pPr>
          </w:p>
        </w:tc>
        <w:tc>
          <w:tcPr>
            <w:tcW w:w="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18,102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147447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362902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9025" cy="571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-2582545</wp:posOffset>
            </wp:positionV>
            <wp:extent cx="11430" cy="800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430" cy="8001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-2582545</wp:posOffset>
            </wp:positionV>
            <wp:extent cx="11430" cy="80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430" cy="80010"/>
                    </a:xfrm>
                    <a:prstGeom prst="rect">
                      <a:avLst/>
                    </a:prstGeom>
                    <a:noFill/>
                  </pic:spPr>
                </pic:pic>
              </a:graphicData>
            </a:graphic>
          </wp:anchor>
        </w:drawing>
        <w:drawing>
          <wp:anchor simplePos="0" relativeHeight="251657728" behindDoc="1" locked="0" layoutInCell="0" allowOverlap="1">
            <wp:simplePos x="0" y="0"/>
            <wp:positionH relativeFrom="column">
              <wp:posOffset>5435600</wp:posOffset>
            </wp:positionH>
            <wp:positionV relativeFrom="paragraph">
              <wp:posOffset>-2582545</wp:posOffset>
            </wp:positionV>
            <wp:extent cx="11430" cy="800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430" cy="8001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-2582545</wp:posOffset>
            </wp:positionV>
            <wp:extent cx="11430" cy="800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430" cy="80010"/>
                    </a:xfrm>
                    <a:prstGeom prst="rect">
                      <a:avLst/>
                    </a:prstGeom>
                    <a:noFill/>
                  </pic:spPr>
                </pic:pic>
              </a:graphicData>
            </a:graphic>
          </wp:anchor>
        </w:drawing>
        <w:drawing>
          <wp:anchor simplePos="0" relativeHeight="251657728" behindDoc="1" locked="0" layoutInCell="0" allowOverlap="1">
            <wp:simplePos x="0" y="0"/>
            <wp:positionH relativeFrom="column">
              <wp:posOffset>7161530</wp:posOffset>
            </wp:positionH>
            <wp:positionV relativeFrom="paragraph">
              <wp:posOffset>-2582545</wp:posOffset>
            </wp:positionV>
            <wp:extent cx="11430" cy="800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430" cy="8001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After any related tax effect.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300"/>
          </w:cols>
          <w:pgMar w:left="300" w:top="158" w:right="299"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800"/>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2026-01-16T06:15:49Z</dcterms:created>
  <dcterms:modified xsi:type="dcterms:W3CDTF">2026-01-16T06:15:49Z</dcterms:modified>
</cp:coreProperties>
</file>