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780" w:type="dxa"/>
        <w:tblCellMar>
          <w:top w:w="0" w:type="dxa"/>
          <w:left w:w="0" w:type="dxa"/>
          <w:bottom w:w="0" w:type="dxa"/>
          <w:right w:w="0" w:type="dxa"/>
        </w:tblCellMar>
      </w:tblPr>
      <w:tr>
        <w:trPr>
          <w:trHeight w:val="2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0"/>
              </w:rPr>
              <w:t>New York</w:t>
            </w:r>
          </w:p>
        </w:tc>
        <w:tc>
          <w:tcPr>
            <w:tcW w:w="5080" w:type="dxa"/>
            <w:vAlign w:val="bottom"/>
          </w:tcPr>
          <w:p>
            <w:pPr>
              <w:jc w:val="right"/>
              <w:ind w:right="24"/>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3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80" w:type="dxa"/>
            <w:vAlign w:val="bottom"/>
          </w:tcPr>
          <w:p>
            <w:pPr>
              <w:jc w:val="center"/>
              <w:ind w:left="39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2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95"/>
              </w:rPr>
              <w:t>One M &amp; T Plaza</w:t>
            </w:r>
          </w:p>
        </w:tc>
        <w:tc>
          <w:tcPr>
            <w:tcW w:w="5080" w:type="dxa"/>
            <w:vAlign w:val="bottom"/>
          </w:tcPr>
          <w:p>
            <w:pPr>
              <w:spacing w:after="0"/>
              <w:rPr>
                <w:sz w:val="24"/>
                <w:szCs w:val="24"/>
                <w:color w:val="auto"/>
              </w:rPr>
            </w:pPr>
          </w:p>
        </w:tc>
      </w:tr>
      <w:tr>
        <w:trPr>
          <w:trHeight w:val="228"/>
        </w:trPr>
        <w:tc>
          <w:tcPr>
            <w:tcW w:w="232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Buffalo, New York</w:t>
            </w:r>
          </w:p>
        </w:tc>
        <w:tc>
          <w:tcPr>
            <w:tcW w:w="5080" w:type="dxa"/>
            <w:vAlign w:val="bottom"/>
          </w:tcPr>
          <w:p>
            <w:pPr>
              <w:jc w:val="right"/>
              <w:ind w:right="224"/>
              <w:spacing w:after="0"/>
              <w:rPr>
                <w:sz w:val="20"/>
                <w:szCs w:val="20"/>
                <w:color w:val="auto"/>
              </w:rPr>
            </w:pPr>
            <w:r>
              <w:rPr>
                <w:rFonts w:ascii="Arial" w:cs="Arial" w:eastAsia="Arial" w:hAnsi="Arial"/>
                <w:sz w:val="18"/>
                <w:szCs w:val="18"/>
                <w:b w:val="1"/>
                <w:bCs w:val="1"/>
                <w:color w:val="auto"/>
              </w:rPr>
              <w:t>14203</w:t>
            </w:r>
          </w:p>
        </w:tc>
      </w:tr>
      <w:tr>
        <w:trPr>
          <w:trHeight w:val="177"/>
        </w:trPr>
        <w:tc>
          <w:tcPr>
            <w:tcW w:w="2320" w:type="dxa"/>
            <w:vAlign w:val="bottom"/>
          </w:tcPr>
          <w:p>
            <w:pPr>
              <w:jc w:val="center"/>
              <w:ind w:right="22"/>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80" w:type="dxa"/>
            <w:vAlign w:val="bottom"/>
          </w:tcPr>
          <w:p>
            <w:pPr>
              <w:jc w:val="center"/>
              <w:ind w:left="394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Arial" w:cs="Arial" w:eastAsia="Arial" w:hAnsi="Arial"/>
                <w:sz w:val="18"/>
                <w:szCs w:val="18"/>
                <w:b w:val="1"/>
                <w:bCs w:val="1"/>
                <w:color w:val="auto"/>
              </w:rPr>
              <w:t>(716) 842-5445</w:t>
            </w:r>
          </w:p>
        </w:tc>
      </w:tr>
      <w:tr>
        <w:trPr>
          <w:trHeight w:val="174"/>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14"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0" w:lineRule="exact"/>
        <w:rPr>
          <w:sz w:val="24"/>
          <w:szCs w:val="24"/>
          <w:color w:val="auto"/>
        </w:rPr>
      </w:pPr>
    </w:p>
    <w:p>
      <w:pPr>
        <w:sectPr>
          <w:pgSz w:w="11900" w:h="16838" w:orient="portrait"/>
          <w:cols w:equalWidth="0" w:num="4">
            <w:col w:w="7980" w:space="160"/>
            <w:col w:w="160" w:space="100"/>
            <w:col w:w="240" w:space="180"/>
            <w:col w:w="2600"/>
          </w:cols>
          <w:pgMar w:left="240" w:top="314"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July 31, 2012: 126,686,762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M&amp;T BANK CORPORATION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FORM 10-Q</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For the Quarterly Period Ended June 30,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Borders>
              <w:bottom w:val="single" w:sz="8" w:color="auto"/>
            </w:tcBorders>
            <w:gridSpan w:val="8"/>
          </w:tcPr>
          <w:p>
            <w:pPr>
              <w:spacing w:after="0"/>
              <w:rPr>
                <w:sz w:val="20"/>
                <w:szCs w:val="20"/>
                <w:color w:val="auto"/>
              </w:rPr>
            </w:pPr>
            <w:r>
              <w:rPr>
                <w:rFonts w:ascii="Arial" w:cs="Arial" w:eastAsia="Arial" w:hAnsi="Arial"/>
                <w:sz w:val="14"/>
                <w:szCs w:val="14"/>
                <w:color w:val="auto"/>
                <w:w w:val="93"/>
              </w:rPr>
              <w:t>Table of Contents of Information Required in Report</w:t>
            </w:r>
          </w:p>
        </w:tc>
        <w:tc>
          <w:tcPr>
            <w:tcW w:w="7960" w:type="dxa"/>
            <w:vAlign w:val="bottom"/>
            <w:gridSpan w:val="11"/>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w:t>
            </w:r>
          </w:p>
        </w:tc>
      </w:tr>
      <w:tr>
        <w:trPr>
          <w:trHeight w:val="296"/>
        </w:trPr>
        <w:tc>
          <w:tcPr>
            <w:tcW w:w="11000" w:type="dxa"/>
            <w:vAlign w:val="bottom"/>
            <w:gridSpan w:val="19"/>
          </w:tcPr>
          <w:p>
            <w:pPr>
              <w:spacing w:after="0"/>
              <w:rPr>
                <w:sz w:val="20"/>
                <w:szCs w:val="20"/>
                <w:color w:val="auto"/>
              </w:rPr>
            </w:pPr>
            <w:r>
              <w:rPr>
                <w:rFonts w:ascii="Arial" w:cs="Arial" w:eastAsia="Arial" w:hAnsi="Arial"/>
                <w:sz w:val="18"/>
                <w:szCs w:val="18"/>
                <w:color w:val="auto"/>
              </w:rPr>
              <w:t>Part I. FINANCIAL INFORMATION</w:t>
            </w:r>
          </w:p>
        </w:tc>
        <w:tc>
          <w:tcPr>
            <w:tcW w:w="320" w:type="dxa"/>
            <w:vAlign w:val="bottom"/>
          </w:tcPr>
          <w:p>
            <w:pPr>
              <w:spacing w:after="0"/>
              <w:rPr>
                <w:sz w:val="24"/>
                <w:szCs w:val="24"/>
                <w:color w:val="auto"/>
              </w:rPr>
            </w:pPr>
          </w:p>
        </w:tc>
      </w:tr>
      <w:tr>
        <w:trPr>
          <w:trHeight w:val="32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70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320" w:type="dxa"/>
            <w:vAlign w:val="bottom"/>
          </w:tcPr>
          <w:p>
            <w:pPr>
              <w:spacing w:after="0"/>
              <w:rPr>
                <w:sz w:val="24"/>
                <w:szCs w:val="24"/>
                <w:color w:val="auto"/>
              </w:rPr>
            </w:pPr>
          </w:p>
        </w:tc>
      </w:tr>
      <w:tr>
        <w:trPr>
          <w:trHeight w:val="286"/>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 - June 30, 2012 and December 31, 2011</w:t>
              </w:r>
            </w:hyperlink>
          </w:p>
        </w:tc>
        <w:tc>
          <w:tcPr>
            <w:tcW w:w="408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six months ended June 30, 2012 and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0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7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 OF COMPREHENSIVE INCOME – Three and six months ended June 30, 2012 and 2011</w:t>
              </w:r>
            </w:hyperlink>
          </w:p>
        </w:tc>
        <w:tc>
          <w:tcPr>
            <w:tcW w:w="94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Six months ended June 30, 2012 and 2011</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10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 OF CHANGES IN SHAREHOLDERS’ EQUITY - Six months ended June 30, 2012 and 2011</w:t>
              </w:r>
            </w:hyperlink>
          </w:p>
        </w:tc>
        <w:tc>
          <w:tcPr>
            <w:tcW w:w="6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NOTES TO FINANCIAL STATEMENTS</w:t>
              </w:r>
            </w:hyperlink>
          </w:p>
        </w:tc>
        <w:tc>
          <w:tcPr>
            <w:tcW w:w="6740" w:type="dxa"/>
            <w:vAlign w:val="bottom"/>
            <w:gridSpan w:val="9"/>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70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6280" w:type="dxa"/>
            <w:vAlign w:val="bottom"/>
            <w:tcBorders>
              <w:top w:val="single" w:sz="8" w:color="0000EE"/>
            </w:tcBorders>
            <w:gridSpan w:val="12"/>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Quantitative and Qualitative Disclosures About Market Risk</w:t>
              </w:r>
            </w:hyperlink>
            <w:r>
              <w:rPr>
                <w:rFonts w:ascii="Arial" w:cs="Arial" w:eastAsia="Arial" w:hAnsi="Arial"/>
                <w:sz w:val="18"/>
                <w:szCs w:val="18"/>
                <w:color w:val="000000"/>
              </w:rPr>
              <w:t>.</w:t>
            </w:r>
          </w:p>
        </w:tc>
        <w:tc>
          <w:tcPr>
            <w:tcW w:w="342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0"/>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Controls and Procedures</w:t>
              </w:r>
            </w:hyperlink>
            <w:r>
              <w:rPr>
                <w:rFonts w:ascii="Arial" w:cs="Arial" w:eastAsia="Arial" w:hAnsi="Arial"/>
                <w:sz w:val="18"/>
                <w:szCs w:val="18"/>
                <w:color w:val="000000"/>
              </w:rPr>
              <w:t>.</w:t>
            </w:r>
          </w:p>
        </w:tc>
        <w:tc>
          <w:tcPr>
            <w:tcW w:w="54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20"/>
        </w:trPr>
        <w:tc>
          <w:tcPr>
            <w:tcW w:w="10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3"/>
        </w:trPr>
        <w:tc>
          <w:tcPr>
            <w:tcW w:w="11000" w:type="dxa"/>
            <w:vAlign w:val="bottom"/>
            <w:gridSpan w:val="19"/>
          </w:tcPr>
          <w:p>
            <w:pPr>
              <w:spacing w:after="0"/>
              <w:rPr>
                <w:sz w:val="20"/>
                <w:szCs w:val="20"/>
                <w:color w:val="auto"/>
              </w:rPr>
            </w:pPr>
            <w:r>
              <w:rPr>
                <w:rFonts w:ascii="Arial" w:cs="Arial" w:eastAsia="Arial" w:hAnsi="Arial"/>
                <w:sz w:val="18"/>
                <w:szCs w:val="18"/>
                <w:color w:val="auto"/>
              </w:rPr>
              <w:t>Part II. OTHER INFORMATION</w:t>
            </w:r>
          </w:p>
        </w:tc>
        <w:tc>
          <w:tcPr>
            <w:tcW w:w="320" w:type="dxa"/>
            <w:vAlign w:val="bottom"/>
          </w:tcPr>
          <w:p>
            <w:pPr>
              <w:spacing w:after="0"/>
              <w:rPr>
                <w:sz w:val="24"/>
                <w:szCs w:val="24"/>
                <w:color w:val="auto"/>
              </w:rPr>
            </w:pPr>
          </w:p>
        </w:tc>
      </w:tr>
      <w:tr>
        <w:trPr>
          <w:trHeight w:val="286"/>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700" w:type="dxa"/>
            <w:vAlign w:val="bottom"/>
            <w:gridSpan w:val="1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Legal Proceedings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Risk Factors</w:t>
              </w:r>
            </w:hyperlink>
            <w:r>
              <w:rPr>
                <w:rFonts w:ascii="Arial" w:cs="Arial" w:eastAsia="Arial" w:hAnsi="Arial"/>
                <w:sz w:val="18"/>
                <w:szCs w:val="18"/>
                <w:color w:val="000000"/>
              </w:rPr>
              <w:t>.</w:t>
            </w:r>
          </w:p>
        </w:tc>
        <w:tc>
          <w:tcPr>
            <w:tcW w:w="842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r>
      <w:tr>
        <w:trPr>
          <w:trHeight w:val="20"/>
        </w:trPr>
        <w:tc>
          <w:tcPr>
            <w:tcW w:w="10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700" w:type="dxa"/>
            <w:vAlign w:val="bottom"/>
            <w:gridSpan w:val="1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Unregistered Sales of Equity Securities and Use of Proceeds</w:t>
              </w:r>
            </w:hyperlink>
            <w:r>
              <w:rPr>
                <w:rFonts w:ascii="Arial" w:cs="Arial" w:eastAsia="Arial" w:hAnsi="Arial"/>
                <w:sz w:val="18"/>
                <w:szCs w:val="18"/>
                <w:color w:val="000000"/>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20" w:type="dxa"/>
            <w:vAlign w:val="bottom"/>
            <w:tcBorders>
              <w:top w:val="single" w:sz="8" w:color="0000EE"/>
            </w:tcBorders>
            <w:gridSpan w:val="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Defaults Upon Senior Securities</w:t>
              </w:r>
            </w:hyperlink>
            <w:r>
              <w:rPr>
                <w:rFonts w:ascii="Arial" w:cs="Arial" w:eastAsia="Arial" w:hAnsi="Arial"/>
                <w:sz w:val="18"/>
                <w:szCs w:val="18"/>
                <w:color w:val="000000"/>
              </w:rPr>
              <w:t>.</w:t>
            </w:r>
          </w:p>
        </w:tc>
        <w:tc>
          <w:tcPr>
            <w:tcW w:w="548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2240" w:type="dxa"/>
            <w:vAlign w:val="bottom"/>
            <w:tcBorders>
              <w:top w:val="single" w:sz="8" w:color="0000EE"/>
            </w:tcBorders>
            <w:gridSpan w:val="7"/>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74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5"/>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r>
              <w:rPr>
                <w:rFonts w:ascii="Arial" w:cs="Arial" w:eastAsia="Arial" w:hAnsi="Arial"/>
                <w:sz w:val="18"/>
                <w:szCs w:val="18"/>
                <w:color w:val="000000"/>
              </w:rPr>
              <w:t>.</w:t>
            </w:r>
          </w:p>
        </w:tc>
        <w:tc>
          <w:tcPr>
            <w:tcW w:w="80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107</w:t>
            </w:r>
          </w:p>
        </w:tc>
      </w:tr>
      <w:tr>
        <w:trPr>
          <w:trHeight w:val="304"/>
        </w:trPr>
        <w:tc>
          <w:tcPr>
            <w:tcW w:w="130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Exhibits</w:t>
              </w:r>
            </w:hyperlink>
            <w:r>
              <w:rPr>
                <w:rFonts w:ascii="Arial" w:cs="Arial" w:eastAsia="Arial" w:hAnsi="Arial"/>
                <w:sz w:val="18"/>
                <w:szCs w:val="18"/>
                <w:color w:val="000000"/>
              </w:rPr>
              <w:t>.</w:t>
            </w:r>
          </w:p>
        </w:tc>
        <w:tc>
          <w:tcPr>
            <w:tcW w:w="844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304"/>
        </w:trPr>
        <w:tc>
          <w:tcPr>
            <w:tcW w:w="1300" w:type="dxa"/>
            <w:vAlign w:val="bottom"/>
            <w:gridSpan w:val="2"/>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5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r>
      <w:tr>
        <w:trPr>
          <w:trHeight w:val="20"/>
        </w:trPr>
        <w:tc>
          <w:tcPr>
            <w:tcW w:w="10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700" w:type="dxa"/>
            <w:vAlign w:val="bottom"/>
            <w:gridSpan w:val="1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30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111">
              <w:r>
                <w:rPr>
                  <w:rFonts w:ascii="Arial" w:cs="Arial" w:eastAsia="Arial" w:hAnsi="Arial"/>
                  <w:sz w:val="18"/>
                  <w:szCs w:val="18"/>
                  <w:color w:val="0000EE"/>
                  <w:w w:val="96"/>
                </w:rPr>
                <w:t>EXHIBIT INDEX</w:t>
              </w:r>
            </w:hyperlink>
          </w:p>
        </w:tc>
        <w:tc>
          <w:tcPr>
            <w:tcW w:w="970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83"/>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gridSpan w:val="11"/>
          </w:tcPr>
          <w:p>
            <w:pPr>
              <w:jc w:val="right"/>
              <w:ind w:right="1100"/>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320"/>
          </w:cols>
          <w:pgMar w:left="240" w:top="2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except per share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color w:val="auto"/>
              </w:rPr>
              <w:t>June 30,</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December 31,</w:t>
            </w:r>
          </w:p>
        </w:tc>
        <w:tc>
          <w:tcPr>
            <w:tcW w:w="0" w:type="dxa"/>
            <w:vAlign w:val="bottom"/>
          </w:tcPr>
          <w:p>
            <w:pPr>
              <w:spacing w:after="0"/>
              <w:rPr>
                <w:sz w:val="1"/>
                <w:szCs w:val="1"/>
                <w:color w:val="auto"/>
              </w:rPr>
            </w:pPr>
          </w:p>
        </w:tc>
      </w:tr>
      <w:tr>
        <w:trPr>
          <w:trHeight w:val="166"/>
        </w:trPr>
        <w:tc>
          <w:tcPr>
            <w:tcW w:w="92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860" w:type="dxa"/>
            <w:vAlign w:val="bottom"/>
          </w:tcPr>
          <w:p>
            <w:pPr>
              <w:jc w:val="right"/>
              <w:ind w:right="213"/>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69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Cash and due from banks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1,421,831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Interest-bearing deposits at banks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1,069,717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Federal funds sold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Trading account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544,938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w w:val="90"/>
              </w:rPr>
              <w:t>Investment securities (includes pledged securities that can be sold or repledged of $1,839,246 at June 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1780"/>
              <w:spacing w:after="0"/>
              <w:rPr>
                <w:sz w:val="20"/>
                <w:szCs w:val="20"/>
                <w:color w:val="auto"/>
              </w:rPr>
            </w:pPr>
            <w:r>
              <w:rPr>
                <w:rFonts w:ascii="Arial" w:cs="Arial" w:eastAsia="Arial" w:hAnsi="Arial"/>
                <w:sz w:val="18"/>
                <w:szCs w:val="18"/>
                <w:color w:val="auto"/>
              </w:rPr>
              <w:t>2012; $1,826,011 at December 31, 2011)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Available for sale (cost: $5,510,097 at June 30, 2012; $6,312,423 at December 31, 2011)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5,534,054</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980"/>
              <w:spacing w:after="0"/>
              <w:rPr>
                <w:sz w:val="20"/>
                <w:szCs w:val="20"/>
                <w:color w:val="auto"/>
              </w:rPr>
            </w:pPr>
            <w:r>
              <w:rPr>
                <w:rFonts w:ascii="Arial" w:cs="Arial" w:eastAsia="Arial" w:hAnsi="Arial"/>
                <w:sz w:val="18"/>
                <w:szCs w:val="18"/>
                <w:color w:val="auto"/>
                <w:w w:val="97"/>
              </w:rPr>
              <w:t>Held to maturity (fair value: $1,131,836 at June 30, 2012; $1,012,562 at December 31, 2011)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1,188,465</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1,077,708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Other (fair value: $334,781 at June 30, 2012; $366,886 at December 31, 2011)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334,781</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Total investment securities</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7,057,300</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7,673,154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Loans and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63,095,796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60,377,875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1980"/>
              <w:spacing w:after="0"/>
              <w:rPr>
                <w:sz w:val="20"/>
                <w:szCs w:val="20"/>
                <w:color w:val="auto"/>
              </w:rPr>
            </w:pPr>
            <w:r>
              <w:rPr>
                <w:rFonts w:ascii="Arial" w:cs="Arial" w:eastAsia="Arial" w:hAnsi="Arial"/>
                <w:sz w:val="18"/>
                <w:szCs w:val="18"/>
                <w:color w:val="auto"/>
              </w:rPr>
              <w:t>Unearned discount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(244,524)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(281,870)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and leases, net of unearned discount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62,851,272</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60,096,005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1980"/>
              <w:spacing w:after="0"/>
              <w:rPr>
                <w:sz w:val="20"/>
                <w:szCs w:val="20"/>
                <w:color w:val="auto"/>
              </w:rPr>
            </w:pPr>
            <w:r>
              <w:rPr>
                <w:rFonts w:ascii="Arial" w:cs="Arial" w:eastAsia="Arial" w:hAnsi="Arial"/>
                <w:sz w:val="18"/>
                <w:szCs w:val="18"/>
                <w:color w:val="auto"/>
              </w:rPr>
              <w:t>Allowance for credit losses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(917,028)</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and leases, net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61,934,244</w:t>
            </w: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59,187,715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592,498</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581,435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3,524,625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Core deposit and other intangible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143,713</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Accrued interest and other assets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4,517,712</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80,807,578</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77,924,287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Noninterest-bearing deposits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22,854,794</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20,017,883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1,705,198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32,292,412</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31,001,083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5,330,239</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6,107,530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Deposits at Cayman Islands office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366,164</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deposits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62,548,807</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59,394,649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Federal funds purchased and agreements to repurchase securities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975,575</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732,059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Other short-term borrowings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Accrued interest and other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1,965,421</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1,790,121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Long-term borrowings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5,687,868</w:t>
            </w:r>
          </w:p>
        </w:tc>
        <w:tc>
          <w:tcPr>
            <w:tcW w:w="2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71,177,671</w:t>
            </w: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68,653,078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w w:val="89"/>
              </w:rPr>
              <w:t>Preferred stock, $1.00 par, 1,000,000 shares authorized; Issued and outstanding: Liquidation preference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780"/>
              <w:spacing w:after="0"/>
              <w:rPr>
                <w:sz w:val="20"/>
                <w:szCs w:val="20"/>
                <w:color w:val="auto"/>
              </w:rPr>
            </w:pPr>
            <w:r>
              <w:rPr>
                <w:rFonts w:ascii="Arial" w:cs="Arial" w:eastAsia="Arial" w:hAnsi="Arial"/>
                <w:sz w:val="18"/>
                <w:szCs w:val="18"/>
                <w:color w:val="auto"/>
                <w:w w:val="90"/>
              </w:rPr>
              <w:t>$1,000 per share: 381,500 shares at June 30, 2012 and December 31, 2011; Liquidation preference of</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2"/>
          </w:tcPr>
          <w:p>
            <w:pPr>
              <w:ind w:left="1780"/>
              <w:spacing w:after="0"/>
              <w:rPr>
                <w:sz w:val="20"/>
                <w:szCs w:val="20"/>
                <w:color w:val="auto"/>
              </w:rPr>
            </w:pPr>
            <w:r>
              <w:rPr>
                <w:rFonts w:ascii="Arial" w:cs="Arial" w:eastAsia="Arial" w:hAnsi="Arial"/>
                <w:sz w:val="18"/>
                <w:szCs w:val="18"/>
                <w:color w:val="auto"/>
              </w:rPr>
              <w:t>$10,000 per share: 50,000 shares at June 30, 2012 and December 31, 2011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868,433</w:t>
            </w: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864,585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w w:val="92"/>
              </w:rPr>
              <w:t>Common stock, $.50 par, 250,000,000 shares authorized, 126,587,931 shares issued at June 30, 2012;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8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125,683,398 shares issued at December 31, 2011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63,294</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w w:val="99"/>
              </w:rPr>
              <w:t>Common stock issuable, 57,231 shares at June 30, 2012; 68,220 shares at December 31, 2011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3,429</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2,874,516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2,828,986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15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6,098,084</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5,867,165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Accumulated other comprehensive income (loss), net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(277,849)</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9,629,907</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9,271,209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80,807,578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77,924,287</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jc w:val="right"/>
              <w:ind w:right="329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0"/>
              </w:rPr>
              <w:t>In thousands, except per share</w:t>
            </w:r>
          </w:p>
        </w:tc>
        <w:tc>
          <w:tcPr>
            <w:tcW w:w="57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color w:val="auto"/>
                <w:w w:val="86"/>
              </w:rPr>
              <w:t>Three months ended June 30</w:t>
            </w:r>
          </w:p>
        </w:tc>
        <w:tc>
          <w:tcPr>
            <w:tcW w:w="100" w:type="dxa"/>
            <w:vAlign w:val="bottom"/>
          </w:tcPr>
          <w:p>
            <w:pPr>
              <w:spacing w:after="0"/>
              <w:rPr>
                <w:sz w:val="14"/>
                <w:szCs w:val="14"/>
                <w:color w:val="auto"/>
              </w:rPr>
            </w:pPr>
          </w:p>
        </w:tc>
        <w:tc>
          <w:tcPr>
            <w:tcW w:w="1780" w:type="dxa"/>
            <w:vAlign w:val="bottom"/>
            <w:gridSpan w:val="4"/>
          </w:tcPr>
          <w:p>
            <w:pPr>
              <w:jc w:val="right"/>
              <w:ind w:right="280"/>
              <w:spacing w:after="0"/>
              <w:rPr>
                <w:sz w:val="20"/>
                <w:szCs w:val="20"/>
                <w:color w:val="auto"/>
              </w:rPr>
            </w:pPr>
            <w:r>
              <w:rPr>
                <w:rFonts w:ascii="Arial" w:cs="Arial" w:eastAsia="Arial" w:hAnsi="Arial"/>
                <w:sz w:val="14"/>
                <w:szCs w:val="14"/>
                <w:color w:val="auto"/>
                <w:w w:val="89"/>
              </w:rPr>
              <w:t>Six months ended June 30</w:t>
            </w:r>
          </w:p>
        </w:tc>
        <w:tc>
          <w:tcPr>
            <w:tcW w:w="0" w:type="dxa"/>
            <w:vAlign w:val="bottom"/>
          </w:tcPr>
          <w:p>
            <w:pPr>
              <w:spacing w:after="0"/>
              <w:rPr>
                <w:sz w:val="1"/>
                <w:szCs w:val="1"/>
                <w:color w:val="auto"/>
              </w:rPr>
            </w:pPr>
          </w:p>
        </w:tc>
      </w:tr>
      <w:tr>
        <w:trPr>
          <w:trHeight w:val="166"/>
        </w:trPr>
        <w:tc>
          <w:tcPr>
            <w:tcW w:w="1760" w:type="dxa"/>
            <w:vAlign w:val="bottom"/>
            <w:tcBorders>
              <w:bottom w:val="single" w:sz="8" w:color="auto"/>
            </w:tcBorders>
            <w:gridSpan w:val="2"/>
            <w:vMerge w:val="continue"/>
          </w:tcPr>
          <w:p>
            <w:pPr>
              <w:spacing w:after="0"/>
              <w:rPr>
                <w:sz w:val="14"/>
                <w:szCs w:val="14"/>
                <w:color w:val="auto"/>
              </w:rPr>
            </w:pPr>
          </w:p>
        </w:tc>
        <w:tc>
          <w:tcPr>
            <w:tcW w:w="5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3"/>
              <w:spacing w:after="0" w:line="146"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700" w:type="dxa"/>
            <w:vAlign w:val="bottom"/>
          </w:tcPr>
          <w:p>
            <w:pPr>
              <w:jc w:val="right"/>
              <w:ind w:right="133"/>
              <w:spacing w:after="0" w:line="146" w:lineRule="exact"/>
              <w:rPr>
                <w:sz w:val="20"/>
                <w:szCs w:val="20"/>
                <w:color w:val="auto"/>
              </w:rPr>
            </w:pPr>
            <w:r>
              <w:rPr>
                <w:rFonts w:ascii="Arial" w:cs="Arial" w:eastAsia="Arial" w:hAnsi="Arial"/>
                <w:sz w:val="14"/>
                <w:szCs w:val="14"/>
                <w:color w:val="auto"/>
              </w:rPr>
              <w:t>2011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line="146" w:lineRule="exact"/>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760" w:type="dxa"/>
            <w:vAlign w:val="bottom"/>
          </w:tcPr>
          <w:p>
            <w:pPr>
              <w:jc w:val="right"/>
              <w:ind w:right="173"/>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6140" w:type="dxa"/>
            <w:vAlign w:val="bottom"/>
            <w:tcBorders>
              <w:top w:val="single" w:sz="8" w:color="CCEEFF"/>
            </w:tcBorders>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Loans and leases, including fees</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674,549</w:t>
            </w:r>
          </w:p>
        </w:tc>
        <w:tc>
          <w:tcPr>
            <w:tcW w:w="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624,247</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1,323,063</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1,218,279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Deposits at banks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Federal funds sold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Agreements to resell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Trading account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Fully taxable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122,688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131,489</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Arial" w:cs="Arial" w:eastAsia="Arial" w:hAnsi="Arial"/>
                <w:sz w:val="18"/>
                <w:szCs w:val="18"/>
                <w:color w:val="auto"/>
              </w:rPr>
              <w:t>Exempt from federal taxes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interest income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737,386</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688,253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1,451,481</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1,355,736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w w:val="99"/>
              </w:rPr>
              <w:t>Interest expense</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7"/>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Savings deposits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35,123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39,996</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Time deposits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12,354</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25,863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38,381</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Deposits at Cayman Islands office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borrowings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59,105</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120,320</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Total interest expense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89,403</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102,051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183,109</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Net interest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647,983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1,268,372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1,155,006</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Provision for credit losses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109,000</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interest income after provision for credit losses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587,983</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523,202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1,159,372</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1,017,006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Other income</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Mortgage banking revenues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69,514</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125,706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87,307</w:t>
            </w:r>
          </w:p>
        </w:tc>
        <w:tc>
          <w:tcPr>
            <w:tcW w:w="0" w:type="dxa"/>
            <w:vAlign w:val="bottom"/>
          </w:tcPr>
          <w:p>
            <w:pPr>
              <w:spacing w:after="0"/>
              <w:rPr>
                <w:sz w:val="1"/>
                <w:szCs w:val="1"/>
                <w:color w:val="auto"/>
              </w:rPr>
            </w:pPr>
          </w:p>
        </w:tc>
      </w:tr>
      <w:tr>
        <w:trPr>
          <w:trHeight w:val="217"/>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110,982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219,871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229,447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Trust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122,275</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75,592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239,228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104,913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Brokerage services income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30,073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29,222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Trading account and foreign exchange gains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6,238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16,809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Gain (loss) on bank investment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150,097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Total other-than-temporary impairment (“OTTI”)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(4,072)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(33,211)</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(24,112)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(42,725)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2"/>
              </w:rPr>
              <w:t>Portion of OTTI losses recognized in other comprehensive income (before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(12,101)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vMerge w:val="restart"/>
          </w:tcPr>
          <w:p>
            <w:pPr>
              <w:ind w:left="660"/>
              <w:spacing w:after="0"/>
              <w:rPr>
                <w:sz w:val="20"/>
                <w:szCs w:val="20"/>
                <w:color w:val="auto"/>
              </w:rPr>
            </w:pPr>
            <w:r>
              <w:rPr>
                <w:rFonts w:ascii="Arial" w:cs="Arial" w:eastAsia="Arial" w:hAnsi="Arial"/>
                <w:sz w:val="18"/>
                <w:szCs w:val="18"/>
                <w:color w:val="auto"/>
              </w:rPr>
              <w:t>Net OTTI losses recognized in earnings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(16,173)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(26,530)</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(27,659)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(42,571)</w:t>
            </w:r>
          </w:p>
        </w:tc>
        <w:tc>
          <w:tcPr>
            <w:tcW w:w="0" w:type="dxa"/>
            <w:vAlign w:val="bottom"/>
          </w:tcPr>
          <w:p>
            <w:pPr>
              <w:spacing w:after="0"/>
              <w:rPr>
                <w:sz w:val="1"/>
                <w:szCs w:val="1"/>
                <w:color w:val="auto"/>
              </w:rPr>
            </w:pPr>
          </w:p>
        </w:tc>
      </w:tr>
      <w:tr>
        <w:trPr>
          <w:trHeight w:val="28"/>
        </w:trPr>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 in earnings of Bayview Lending Group LLC</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Other revenues from operations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89,685</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163,482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176,095</w:t>
            </w:r>
          </w:p>
        </w:tc>
        <w:tc>
          <w:tcPr>
            <w:tcW w:w="2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other income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391,650</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501,656</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768,373</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Other expense</w:t>
            </w: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323,686</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300,178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669,784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566,268</w:t>
            </w:r>
          </w:p>
        </w:tc>
        <w:tc>
          <w:tcPr>
            <w:tcW w:w="0" w:type="dxa"/>
            <w:vAlign w:val="bottom"/>
          </w:tcPr>
          <w:p>
            <w:pPr>
              <w:spacing w:after="0"/>
              <w:rPr>
                <w:sz w:val="1"/>
                <w:szCs w:val="1"/>
                <w:color w:val="auto"/>
              </w:rPr>
            </w:pPr>
          </w:p>
        </w:tc>
      </w:tr>
      <w:tr>
        <w:trPr>
          <w:trHeight w:val="217"/>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 and net occupancy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130,419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116,333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Printing, postage and supplies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11,368</w:t>
            </w:r>
          </w:p>
        </w:tc>
        <w:tc>
          <w:tcPr>
            <w:tcW w:w="700" w:type="dxa"/>
            <w:vAlign w:val="bottom"/>
          </w:tcPr>
          <w:p>
            <w:pPr>
              <w:jc w:val="right"/>
              <w:spacing w:after="0"/>
              <w:rPr>
                <w:sz w:val="20"/>
                <w:szCs w:val="20"/>
                <w:color w:val="auto"/>
              </w:rPr>
            </w:pPr>
            <w:r>
              <w:rPr>
                <w:rFonts w:ascii="Arial" w:cs="Arial" w:eastAsia="Arial" w:hAnsi="Arial"/>
                <w:sz w:val="18"/>
                <w:szCs w:val="18"/>
                <w:color w:val="auto"/>
              </w:rPr>
              <w:t>9,723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23,240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Amortization of core deposit and other intangible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27,054</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FDIC assessments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24,962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26,609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53,911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45,703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costs of operations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186,093</w:t>
            </w:r>
          </w:p>
        </w:tc>
        <w:tc>
          <w:tcPr>
            <w:tcW w:w="2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165,975</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357,052</w:t>
            </w:r>
          </w:p>
        </w:tc>
        <w:tc>
          <w:tcPr>
            <w:tcW w:w="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Total other expense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627,392</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576,895</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1,267,087</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1,076,466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before taxes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352,241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660,658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756,616</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118,861</w:t>
            </w:r>
          </w:p>
        </w:tc>
        <w:tc>
          <w:tcPr>
            <w:tcW w:w="700" w:type="dxa"/>
            <w:vAlign w:val="bottom"/>
          </w:tcPr>
          <w:p>
            <w:pPr>
              <w:jc w:val="right"/>
              <w:spacing w:after="0"/>
              <w:rPr>
                <w:sz w:val="20"/>
                <w:szCs w:val="20"/>
                <w:color w:val="auto"/>
              </w:rPr>
            </w:pPr>
            <w:r>
              <w:rPr>
                <w:rFonts w:ascii="Arial" w:cs="Arial" w:eastAsia="Arial" w:hAnsi="Arial"/>
                <w:sz w:val="18"/>
                <w:szCs w:val="18"/>
                <w:color w:val="auto"/>
              </w:rPr>
              <w:t>125,605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220,815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227,985</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Net income</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233,380</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322,358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439,843</w:t>
            </w:r>
          </w:p>
        </w:tc>
        <w:tc>
          <w:tcPr>
            <w:tcW w:w="22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14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income available to common shareholders</w:t>
            </w: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40" w:type="dxa"/>
            <w:vAlign w:val="bottom"/>
          </w:tcPr>
          <w:p>
            <w:pPr>
              <w:spacing w:after="0"/>
              <w:rPr>
                <w:sz w:val="18"/>
                <w:szCs w:val="18"/>
                <w:color w:val="auto"/>
              </w:rPr>
            </w:pPr>
          </w:p>
        </w:tc>
        <w:tc>
          <w:tcPr>
            <w:tcW w:w="6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214,709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402,947</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487,283</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214,716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297,179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402,958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487,308</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per common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140" w:type="dxa"/>
            <w:vAlign w:val="bottom"/>
            <w:gridSpan w:val="2"/>
          </w:tcPr>
          <w:p>
            <w:pPr>
              <w:ind w:left="200"/>
              <w:spacing w:after="0"/>
              <w:rPr>
                <w:sz w:val="20"/>
                <w:szCs w:val="20"/>
                <w:color w:val="auto"/>
              </w:rPr>
            </w:pPr>
            <w:r>
              <w:rPr>
                <w:rFonts w:ascii="Arial" w:cs="Arial" w:eastAsia="Arial" w:hAnsi="Arial"/>
                <w:sz w:val="18"/>
                <w:szCs w:val="18"/>
                <w:color w:val="auto"/>
              </w:rPr>
              <w:t>Cash dividends per common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6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common shares outstanding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tcPr>
          <w:p>
            <w:pPr>
              <w:ind w:left="6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125,488</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122,181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125,354</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120,699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7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125,897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125,756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121,332</w:t>
            </w:r>
          </w:p>
        </w:tc>
        <w:tc>
          <w:tcPr>
            <w:tcW w:w="0" w:type="dxa"/>
            <w:vAlign w:val="bottom"/>
          </w:tcPr>
          <w:p>
            <w:pPr>
              <w:spacing w:after="0"/>
              <w:rPr>
                <w:sz w:val="1"/>
                <w:szCs w:val="1"/>
                <w:color w:val="auto"/>
              </w:rPr>
            </w:pPr>
          </w:p>
        </w:tc>
      </w:tr>
      <w:tr>
        <w:trPr>
          <w:trHeight w:val="363"/>
        </w:trPr>
        <w:tc>
          <w:tcPr>
            <w:tcW w:w="1340" w:type="dxa"/>
            <w:vAlign w:val="bottom"/>
          </w:tcPr>
          <w:p>
            <w:pPr>
              <w:spacing w:after="0"/>
              <w:rPr>
                <w:sz w:val="24"/>
                <w:szCs w:val="24"/>
                <w:color w:val="auto"/>
              </w:rPr>
            </w:pPr>
          </w:p>
        </w:tc>
        <w:tc>
          <w:tcPr>
            <w:tcW w:w="6140" w:type="dxa"/>
            <w:vAlign w:val="bottom"/>
            <w:gridSpan w:val="2"/>
          </w:tcPr>
          <w:p>
            <w:pPr>
              <w:ind w:left="4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COMPREHENSIVE INCOME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6900" w:type="dxa"/>
            <w:vAlign w:val="bottom"/>
            <w:vMerge w:val="restart"/>
          </w:tcPr>
          <w:p>
            <w:pPr>
              <w:spacing w:after="0"/>
              <w:rPr>
                <w:sz w:val="14"/>
                <w:szCs w:val="14"/>
                <w:color w:val="auto"/>
              </w:rPr>
            </w:pPr>
          </w:p>
        </w:tc>
        <w:tc>
          <w:tcPr>
            <w:tcW w:w="1900" w:type="dxa"/>
            <w:vAlign w:val="bottom"/>
            <w:gridSpan w:val="4"/>
          </w:tcPr>
          <w:p>
            <w:pPr>
              <w:jc w:val="right"/>
              <w:ind w:right="260"/>
              <w:spacing w:after="0"/>
              <w:rPr>
                <w:sz w:val="20"/>
                <w:szCs w:val="20"/>
                <w:color w:val="auto"/>
              </w:rPr>
            </w:pPr>
            <w:r>
              <w:rPr>
                <w:rFonts w:ascii="Arial" w:cs="Arial" w:eastAsia="Arial" w:hAnsi="Arial"/>
                <w:sz w:val="14"/>
                <w:szCs w:val="14"/>
                <w:color w:val="auto"/>
                <w:w w:val="88"/>
              </w:rPr>
              <w:t>Three months ended June 30</w:t>
            </w:r>
          </w:p>
        </w:tc>
        <w:tc>
          <w:tcPr>
            <w:tcW w:w="140" w:type="dxa"/>
            <w:vAlign w:val="bottom"/>
          </w:tcPr>
          <w:p>
            <w:pPr>
              <w:spacing w:after="0"/>
              <w:rPr>
                <w:sz w:val="14"/>
                <w:szCs w:val="14"/>
                <w:color w:val="auto"/>
              </w:rPr>
            </w:pPr>
          </w:p>
        </w:tc>
        <w:tc>
          <w:tcPr>
            <w:tcW w:w="1720" w:type="dxa"/>
            <w:vAlign w:val="bottom"/>
            <w:gridSpan w:val="4"/>
          </w:tcPr>
          <w:p>
            <w:pPr>
              <w:jc w:val="right"/>
              <w:ind w:right="200"/>
              <w:spacing w:after="0"/>
              <w:rPr>
                <w:sz w:val="20"/>
                <w:szCs w:val="20"/>
                <w:color w:val="auto"/>
              </w:rPr>
            </w:pPr>
            <w:r>
              <w:rPr>
                <w:rFonts w:ascii="Arial" w:cs="Arial" w:eastAsia="Arial" w:hAnsi="Arial"/>
                <w:sz w:val="14"/>
                <w:szCs w:val="14"/>
                <w:color w:val="auto"/>
                <w:w w:val="90"/>
              </w:rPr>
              <w:t>Six months ended June 30</w:t>
            </w:r>
          </w:p>
        </w:tc>
        <w:tc>
          <w:tcPr>
            <w:tcW w:w="0" w:type="dxa"/>
            <w:vAlign w:val="bottom"/>
          </w:tcPr>
          <w:p>
            <w:pPr>
              <w:spacing w:after="0"/>
              <w:rPr>
                <w:sz w:val="1"/>
                <w:szCs w:val="1"/>
                <w:color w:val="auto"/>
              </w:rPr>
            </w:pPr>
          </w:p>
        </w:tc>
      </w:tr>
      <w:tr>
        <w:trPr>
          <w:trHeight w:val="166"/>
        </w:trPr>
        <w:tc>
          <w:tcPr>
            <w:tcW w:w="760" w:type="dxa"/>
            <w:vAlign w:val="bottom"/>
            <w:tcBorders>
              <w:bottom w:val="single" w:sz="8" w:color="auto"/>
            </w:tcBorders>
            <w:vMerge w:val="continue"/>
          </w:tcPr>
          <w:p>
            <w:pPr>
              <w:spacing w:after="0"/>
              <w:rPr>
                <w:sz w:val="14"/>
                <w:szCs w:val="14"/>
                <w:color w:val="auto"/>
              </w:rPr>
            </w:pPr>
          </w:p>
        </w:tc>
        <w:tc>
          <w:tcPr>
            <w:tcW w:w="6900" w:type="dxa"/>
            <w:vAlign w:val="bottom"/>
            <w:vMerge w:val="continue"/>
          </w:tcPr>
          <w:p>
            <w:pPr>
              <w:spacing w:after="0"/>
              <w:rPr>
                <w:sz w:val="14"/>
                <w:szCs w:val="14"/>
                <w:color w:val="auto"/>
              </w:rPr>
            </w:pPr>
          </w:p>
        </w:tc>
        <w:tc>
          <w:tcPr>
            <w:tcW w:w="700" w:type="dxa"/>
            <w:vAlign w:val="bottom"/>
          </w:tcPr>
          <w:p>
            <w:pPr>
              <w:jc w:val="right"/>
              <w:ind w:right="117"/>
              <w:spacing w:after="0" w:line="146"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4"/>
                <w:szCs w:val="14"/>
                <w:color w:val="auto"/>
              </w:rPr>
            </w:pPr>
          </w:p>
        </w:tc>
        <w:tc>
          <w:tcPr>
            <w:tcW w:w="700" w:type="dxa"/>
            <w:vAlign w:val="bottom"/>
          </w:tcPr>
          <w:p>
            <w:pPr>
              <w:jc w:val="right"/>
              <w:ind w:right="135"/>
              <w:spacing w:after="0" w:line="146" w:lineRule="exact"/>
              <w:rPr>
                <w:sz w:val="20"/>
                <w:szCs w:val="20"/>
                <w:color w:val="auto"/>
              </w:rPr>
            </w:pPr>
            <w:r>
              <w:rPr>
                <w:rFonts w:ascii="Arial" w:cs="Arial" w:eastAsia="Arial" w:hAnsi="Arial"/>
                <w:sz w:val="14"/>
                <w:szCs w:val="14"/>
                <w:color w:val="auto"/>
              </w:rPr>
              <w:t>2011</w:t>
            </w:r>
          </w:p>
        </w:tc>
        <w:tc>
          <w:tcPr>
            <w:tcW w:w="180" w:type="dxa"/>
            <w:vAlign w:val="bottom"/>
          </w:tcPr>
          <w:p>
            <w:pPr>
              <w:spacing w:after="0"/>
              <w:rPr>
                <w:sz w:val="14"/>
                <w:szCs w:val="14"/>
                <w:color w:val="auto"/>
              </w:rPr>
            </w:pPr>
          </w:p>
        </w:tc>
        <w:tc>
          <w:tcPr>
            <w:tcW w:w="800" w:type="dxa"/>
            <w:vAlign w:val="bottom"/>
            <w:gridSpan w:val="2"/>
          </w:tcPr>
          <w:p>
            <w:pPr>
              <w:jc w:val="right"/>
              <w:ind w:right="122"/>
              <w:spacing w:after="0" w:line="146" w:lineRule="exact"/>
              <w:rPr>
                <w:sz w:val="20"/>
                <w:szCs w:val="20"/>
                <w:color w:val="auto"/>
              </w:rPr>
            </w:pPr>
            <w:r>
              <w:rPr>
                <w:rFonts w:ascii="Arial" w:cs="Arial" w:eastAsia="Arial" w:hAnsi="Arial"/>
                <w:sz w:val="14"/>
                <w:szCs w:val="14"/>
                <w:color w:val="auto"/>
              </w:rPr>
              <w:t>2012</w:t>
            </w:r>
          </w:p>
        </w:tc>
        <w:tc>
          <w:tcPr>
            <w:tcW w:w="320" w:type="dxa"/>
            <w:vAlign w:val="bottom"/>
          </w:tcPr>
          <w:p>
            <w:pPr>
              <w:spacing w:after="0"/>
              <w:rPr>
                <w:sz w:val="14"/>
                <w:szCs w:val="14"/>
                <w:color w:val="auto"/>
              </w:rPr>
            </w:pPr>
          </w:p>
        </w:tc>
        <w:tc>
          <w:tcPr>
            <w:tcW w:w="640" w:type="dxa"/>
            <w:vAlign w:val="bottom"/>
          </w:tcPr>
          <w:p>
            <w:pPr>
              <w:jc w:val="right"/>
              <w:ind w:right="115"/>
              <w:spacing w:after="0" w:line="146"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$ 233,380</w:t>
            </w:r>
          </w:p>
        </w:tc>
        <w:tc>
          <w:tcPr>
            <w:tcW w:w="3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322,358</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$439,843</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528,631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Other comprehensive income, net of tax and reclassification adjustments:</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unrealized gains (losses) on investment securities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49,289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(33,550)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69,371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(27,892)</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(112)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Defined benefit plans liability adjustment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4,695</w:t>
            </w:r>
          </w:p>
        </w:tc>
        <w:tc>
          <w:tcPr>
            <w:tcW w:w="700" w:type="dxa"/>
            <w:vAlign w:val="bottom"/>
          </w:tcPr>
          <w:p>
            <w:pPr>
              <w:jc w:val="right"/>
              <w:spacing w:after="0"/>
              <w:rPr>
                <w:sz w:val="20"/>
                <w:szCs w:val="20"/>
                <w:color w:val="auto"/>
              </w:rPr>
            </w:pPr>
            <w:r>
              <w:rPr>
                <w:rFonts w:ascii="Arial" w:cs="Arial" w:eastAsia="Arial" w:hAnsi="Arial"/>
                <w:sz w:val="18"/>
                <w:szCs w:val="18"/>
                <w:color w:val="auto"/>
              </w:rPr>
              <w:t>2,177</w:t>
            </w:r>
          </w:p>
        </w:tc>
        <w:tc>
          <w:tcPr>
            <w:tcW w:w="18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9,464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69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69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Total other comprehensive income</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53,409</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(31,248)</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78,592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900" w:type="dxa"/>
            <w:vAlign w:val="bottom"/>
            <w:vMerge w:val="restart"/>
          </w:tcPr>
          <w:p>
            <w:pPr>
              <w:ind w:left="120"/>
              <w:spacing w:after="0"/>
              <w:rPr>
                <w:sz w:val="20"/>
                <w:szCs w:val="20"/>
                <w:color w:val="auto"/>
              </w:rPr>
            </w:pPr>
            <w:r>
              <w:rPr>
                <w:rFonts w:ascii="Arial" w:cs="Arial" w:eastAsia="Arial" w:hAnsi="Arial"/>
                <w:sz w:val="18"/>
                <w:szCs w:val="18"/>
                <w:i w:val="1"/>
                <w:iCs w:val="1"/>
                <w:color w:val="auto"/>
              </w:rPr>
              <w:t>Total comprehensive income</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0" w:type="dxa"/>
            <w:vAlign w:val="bottom"/>
          </w:tcPr>
          <w:p>
            <w:pPr>
              <w:spacing w:after="0"/>
              <w:rPr>
                <w:sz w:val="19"/>
                <w:szCs w:val="19"/>
                <w:color w:val="auto"/>
              </w:rPr>
            </w:pPr>
          </w:p>
        </w:tc>
        <w:tc>
          <w:tcPr>
            <w:tcW w:w="6900" w:type="dxa"/>
            <w:vAlign w:val="bottom"/>
            <w:vMerge w:val="continue"/>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$ 286,789</w:t>
            </w:r>
          </w:p>
        </w:tc>
        <w:tc>
          <w:tcPr>
            <w:tcW w:w="700" w:type="dxa"/>
            <w:vAlign w:val="bottom"/>
          </w:tcPr>
          <w:p>
            <w:pPr>
              <w:jc w:val="right"/>
              <w:spacing w:after="0"/>
              <w:rPr>
                <w:sz w:val="20"/>
                <w:szCs w:val="20"/>
                <w:color w:val="auto"/>
              </w:rPr>
            </w:pPr>
            <w:r>
              <w:rPr>
                <w:rFonts w:ascii="Arial" w:cs="Arial" w:eastAsia="Arial" w:hAnsi="Arial"/>
                <w:sz w:val="18"/>
                <w:szCs w:val="18"/>
                <w:color w:val="auto"/>
              </w:rPr>
              <w:t>291,110</w:t>
            </w:r>
          </w:p>
        </w:tc>
        <w:tc>
          <w:tcPr>
            <w:tcW w:w="18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518,435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505,082</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5620"/>
              <w:spacing w:after="0"/>
              <w:rPr>
                <w:sz w:val="20"/>
                <w:szCs w:val="20"/>
                <w:color w:val="auto"/>
              </w:rPr>
            </w:pPr>
            <w:r>
              <w:rPr>
                <w:rFonts w:ascii="Arial" w:cs="Arial" w:eastAsia="Arial" w:hAnsi="Arial"/>
                <w:sz w:val="18"/>
                <w:szCs w:val="18"/>
                <w:color w:val="auto"/>
              </w:rPr>
              <w:t>-5-</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gridSpan w:val="2"/>
          </w:tcPr>
          <w:p>
            <w:pPr>
              <w:jc w:val="right"/>
              <w:ind w:right="333"/>
              <w:spacing w:after="0"/>
              <w:rPr>
                <w:sz w:val="20"/>
                <w:szCs w:val="20"/>
                <w:color w:val="auto"/>
              </w:rPr>
            </w:pPr>
            <w:r>
              <w:rPr>
                <w:rFonts w:ascii="Arial" w:cs="Arial" w:eastAsia="Arial" w:hAnsi="Arial"/>
                <w:sz w:val="14"/>
                <w:szCs w:val="14"/>
                <w:color w:val="auto"/>
                <w:w w:val="97"/>
              </w:rPr>
              <w:t>Six months ended June 30</w:t>
            </w:r>
          </w:p>
        </w:tc>
      </w:tr>
      <w:tr>
        <w:trPr>
          <w:trHeight w:val="189"/>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color w:val="auto"/>
              </w:rPr>
              <w:t>2012</w:t>
            </w:r>
          </w:p>
        </w:tc>
        <w:tc>
          <w:tcPr>
            <w:tcW w:w="1060" w:type="dxa"/>
            <w:vAlign w:val="bottom"/>
          </w:tcPr>
          <w:p>
            <w:pPr>
              <w:jc w:val="right"/>
              <w:ind w:right="313"/>
              <w:spacing w:after="0"/>
              <w:rPr>
                <w:sz w:val="20"/>
                <w:szCs w:val="20"/>
                <w:color w:val="auto"/>
              </w:rPr>
            </w:pPr>
            <w:r>
              <w:rPr>
                <w:rFonts w:ascii="Arial" w:cs="Arial" w:eastAsia="Arial" w:hAnsi="Arial"/>
                <w:sz w:val="14"/>
                <w:szCs w:val="14"/>
                <w:color w:val="auto"/>
              </w:rPr>
              <w:t>2011</w:t>
            </w:r>
          </w:p>
        </w:tc>
      </w:tr>
      <w:tr>
        <w:trPr>
          <w:trHeight w:val="41"/>
        </w:trPr>
        <w:tc>
          <w:tcPr>
            <w:tcW w:w="2460" w:type="dxa"/>
            <w:vAlign w:val="bottom"/>
            <w:gridSpan w:val="2"/>
          </w:tcPr>
          <w:p>
            <w:pPr>
              <w:spacing w:after="0"/>
              <w:rPr>
                <w:sz w:val="3"/>
                <w:szCs w:val="3"/>
                <w:color w:val="auto"/>
              </w:rPr>
            </w:pPr>
          </w:p>
        </w:tc>
        <w:tc>
          <w:tcPr>
            <w:tcW w:w="6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63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439,843</w:t>
            </w:r>
          </w:p>
        </w:tc>
        <w:tc>
          <w:tcPr>
            <w:tcW w:w="10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528,631</w:t>
            </w: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6340" w:type="dxa"/>
            <w:vAlign w:val="bottom"/>
          </w:tcPr>
          <w:p>
            <w:pPr>
              <w:ind w:left="22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credit losses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109,000</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138,000</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1080"/>
              <w:spacing w:after="0"/>
              <w:rPr>
                <w:sz w:val="20"/>
                <w:szCs w:val="20"/>
                <w:color w:val="auto"/>
              </w:rPr>
            </w:pPr>
            <w:r>
              <w:rPr>
                <w:rFonts w:ascii="Arial" w:cs="Arial" w:eastAsia="Arial" w:hAnsi="Arial"/>
                <w:sz w:val="18"/>
                <w:szCs w:val="18"/>
                <w:color w:val="auto"/>
              </w:rPr>
              <w:t>Depreciation and amortization of premises and equipment</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41,762</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38,370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capitalized servicing rights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28,773</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26,742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1080"/>
              <w:spacing w:after="0"/>
              <w:rPr>
                <w:sz w:val="20"/>
                <w:szCs w:val="20"/>
                <w:color w:val="auto"/>
              </w:rPr>
            </w:pPr>
            <w:r>
              <w:rPr>
                <w:rFonts w:ascii="Arial" w:cs="Arial" w:eastAsia="Arial" w:hAnsi="Arial"/>
                <w:sz w:val="18"/>
                <w:szCs w:val="18"/>
                <w:color w:val="auto"/>
              </w:rPr>
              <w:t>Amortization of core deposit and other intangible assets</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32,681</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27,054</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deferred income taxes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12,064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1080"/>
              <w:spacing w:after="0"/>
              <w:rPr>
                <w:sz w:val="20"/>
                <w:szCs w:val="20"/>
                <w:color w:val="auto"/>
              </w:rPr>
            </w:pPr>
            <w:r>
              <w:rPr>
                <w:rFonts w:ascii="Arial" w:cs="Arial" w:eastAsia="Arial" w:hAnsi="Arial"/>
                <w:sz w:val="18"/>
                <w:szCs w:val="18"/>
                <w:color w:val="auto"/>
              </w:rPr>
              <w:t>Asset write-downs</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39,676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48,032</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gain on sales of assets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(3,786)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(181,318)</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1080"/>
              <w:spacing w:after="0"/>
              <w:rPr>
                <w:sz w:val="20"/>
                <w:szCs w:val="20"/>
                <w:color w:val="auto"/>
              </w:rPr>
            </w:pPr>
            <w:r>
              <w:rPr>
                <w:rFonts w:ascii="Arial" w:cs="Arial" w:eastAsia="Arial" w:hAnsi="Arial"/>
                <w:sz w:val="18"/>
                <w:szCs w:val="18"/>
                <w:color w:val="auto"/>
              </w:rPr>
              <w:t>Net change in accrued interest receivable, payable</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1,731</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4,035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change in other accrued income and expense</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(35,590)</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23,766</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1080"/>
              <w:spacing w:after="0"/>
              <w:rPr>
                <w:sz w:val="20"/>
                <w:szCs w:val="20"/>
                <w:color w:val="auto"/>
              </w:rPr>
            </w:pPr>
            <w:r>
              <w:rPr>
                <w:rFonts w:ascii="Arial" w:cs="Arial" w:eastAsia="Arial" w:hAnsi="Arial"/>
                <w:sz w:val="18"/>
                <w:szCs w:val="18"/>
                <w:color w:val="auto"/>
              </w:rPr>
              <w:t>Net change in loans originated for sale</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(33,964)</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167,857</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Net change in trading account assets and liabilities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12,438</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60,210</w:t>
            </w:r>
          </w:p>
        </w:tc>
      </w:tr>
      <w:tr>
        <w:trPr>
          <w:trHeight w:val="210"/>
        </w:trPr>
        <w:tc>
          <w:tcPr>
            <w:tcW w:w="2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644,628</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863,178</w:t>
            </w: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investment securities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investing activities</w:t>
            </w:r>
          </w:p>
        </w:tc>
        <w:tc>
          <w:tcPr>
            <w:tcW w:w="6340" w:type="dxa"/>
            <w:vAlign w:val="bottom"/>
          </w:tcPr>
          <w:p>
            <w:pPr>
              <w:ind w:left="660"/>
              <w:spacing w:after="0"/>
              <w:rPr>
                <w:sz w:val="20"/>
                <w:szCs w:val="20"/>
                <w:color w:val="auto"/>
              </w:rPr>
            </w:pPr>
            <w:r>
              <w:rPr>
                <w:rFonts w:ascii="Arial" w:cs="Arial" w:eastAsia="Arial" w:hAnsi="Arial"/>
                <w:sz w:val="18"/>
                <w:szCs w:val="18"/>
                <w:color w:val="auto"/>
              </w:rPr>
              <w:t>Available for sale</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48,873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1,909,223</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45,374</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71,729</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Proceeds from maturities of investment securities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Available for sale</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741,571</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751,314</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660"/>
              <w:spacing w:after="0"/>
              <w:rPr>
                <w:sz w:val="20"/>
                <w:szCs w:val="20"/>
                <w:color w:val="auto"/>
              </w:rPr>
            </w:pPr>
            <w:r>
              <w:rPr>
                <w:rFonts w:ascii="Arial" w:cs="Arial" w:eastAsia="Arial" w:hAnsi="Arial"/>
                <w:sz w:val="18"/>
                <w:szCs w:val="18"/>
                <w:color w:val="auto"/>
              </w:rPr>
              <w:t>Held to maturity</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157,849</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114,913</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660"/>
              <w:spacing w:after="0"/>
              <w:rPr>
                <w:sz w:val="20"/>
                <w:szCs w:val="20"/>
                <w:color w:val="auto"/>
              </w:rPr>
            </w:pPr>
            <w:r>
              <w:rPr>
                <w:rFonts w:ascii="Arial" w:cs="Arial" w:eastAsia="Arial" w:hAnsi="Arial"/>
                <w:sz w:val="18"/>
                <w:szCs w:val="18"/>
                <w:color w:val="auto"/>
              </w:rPr>
              <w:t>Available for sale</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(19,808)</w:t>
            </w:r>
          </w:p>
        </w:tc>
        <w:tc>
          <w:tcPr>
            <w:tcW w:w="1060" w:type="dxa"/>
            <w:vAlign w:val="bottom"/>
          </w:tcPr>
          <w:p>
            <w:pPr>
              <w:jc w:val="right"/>
              <w:spacing w:after="0"/>
              <w:rPr>
                <w:sz w:val="20"/>
                <w:szCs w:val="20"/>
                <w:color w:val="auto"/>
              </w:rPr>
            </w:pPr>
            <w:r>
              <w:rPr>
                <w:rFonts w:ascii="Arial" w:cs="Arial" w:eastAsia="Arial" w:hAnsi="Arial"/>
                <w:sz w:val="18"/>
                <w:szCs w:val="18"/>
                <w:color w:val="auto"/>
              </w:rPr>
              <w:t>(1,609,272)</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Held to maturity</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(269,854)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(13,151)</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660"/>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(13,269)</w:t>
            </w:r>
          </w:p>
        </w:tc>
        <w:tc>
          <w:tcPr>
            <w:tcW w:w="1060" w:type="dxa"/>
            <w:vAlign w:val="bottom"/>
          </w:tcPr>
          <w:p>
            <w:pPr>
              <w:jc w:val="right"/>
              <w:spacing w:after="0"/>
              <w:rPr>
                <w:sz w:val="20"/>
                <w:szCs w:val="20"/>
                <w:color w:val="auto"/>
              </w:rPr>
            </w:pPr>
            <w:r>
              <w:rPr>
                <w:rFonts w:ascii="Arial" w:cs="Arial" w:eastAsia="Arial" w:hAnsi="Arial"/>
                <w:sz w:val="18"/>
                <w:szCs w:val="18"/>
                <w:color w:val="auto"/>
              </w:rPr>
              <w:t>(1,249)</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loans and leases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(2,805,640)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(454,782)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Net (increase) decrease in interest-bearing deposits at banks</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(914,757)</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432,037</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agreements to resell securities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(365,000)</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Other investments, net</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(5,436)</w:t>
            </w:r>
          </w:p>
        </w:tc>
        <w:tc>
          <w:tcPr>
            <w:tcW w:w="1060" w:type="dxa"/>
            <w:vAlign w:val="bottom"/>
          </w:tcPr>
          <w:p>
            <w:pPr>
              <w:jc w:val="right"/>
              <w:spacing w:after="0"/>
              <w:rPr>
                <w:sz w:val="20"/>
                <w:szCs w:val="20"/>
                <w:color w:val="auto"/>
              </w:rPr>
            </w:pPr>
            <w:r>
              <w:rPr>
                <w:rFonts w:ascii="Arial" w:cs="Arial" w:eastAsia="Arial" w:hAnsi="Arial"/>
                <w:sz w:val="18"/>
                <w:szCs w:val="18"/>
                <w:color w:val="auto"/>
              </w:rPr>
              <w:t>(10,249)</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net</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(46,892)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(13,976)</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Acquisitions, net of cash acquired Banks and bank holding companies</w:t>
            </w:r>
          </w:p>
        </w:tc>
        <w:tc>
          <w:tcPr>
            <w:tcW w:w="56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178,940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Wilmington Trust Corporation preferred stock</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Proceeds from sales of real estate acquired in settlement of loans</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64,735</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161,514</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(38,849)</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18,322</w:t>
            </w:r>
          </w:p>
        </w:tc>
      </w:tr>
      <w:tr>
        <w:trPr>
          <w:trHeight w:val="210"/>
        </w:trPr>
        <w:tc>
          <w:tcPr>
            <w:tcW w:w="2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Net cash (used) provided by investing activities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9"/>
              </w:rPr>
              <w:t>(3,056,103)</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840,313</w:t>
            </w:r>
          </w:p>
        </w:tc>
      </w:tr>
      <w:tr>
        <w:trPr>
          <w:trHeight w:val="210"/>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increase in deposits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4"/>
              </w:rPr>
              <w:t>3,162,352</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566,316</w:t>
            </w: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6340" w:type="dxa"/>
            <w:vAlign w:val="bottom"/>
          </w:tcPr>
          <w:p>
            <w:pPr>
              <w:ind w:left="220"/>
              <w:spacing w:after="0"/>
              <w:rPr>
                <w:sz w:val="20"/>
                <w:szCs w:val="20"/>
                <w:color w:val="auto"/>
              </w:rPr>
            </w:pPr>
            <w:r>
              <w:rPr>
                <w:rFonts w:ascii="Arial" w:cs="Arial" w:eastAsia="Arial" w:hAnsi="Arial"/>
                <w:sz w:val="18"/>
                <w:szCs w:val="18"/>
                <w:color w:val="auto"/>
              </w:rPr>
              <w:t>Net increase (decrease) in short-term borrowings</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193,515</w:t>
            </w:r>
          </w:p>
        </w:tc>
        <w:tc>
          <w:tcPr>
            <w:tcW w:w="1060" w:type="dxa"/>
            <w:vAlign w:val="bottom"/>
          </w:tcPr>
          <w:p>
            <w:pPr>
              <w:jc w:val="right"/>
              <w:spacing w:after="0"/>
              <w:rPr>
                <w:sz w:val="20"/>
                <w:szCs w:val="20"/>
                <w:color w:val="auto"/>
              </w:rPr>
            </w:pPr>
            <w:r>
              <w:rPr>
                <w:rFonts w:ascii="Arial" w:cs="Arial" w:eastAsia="Arial" w:hAnsi="Arial"/>
                <w:sz w:val="18"/>
                <w:szCs w:val="18"/>
                <w:color w:val="auto"/>
              </w:rPr>
              <w:t>(528,035)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long-term borrowings</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(1,006,539)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(1,331,316)</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Proceeds from issuance of preferred stock</w:t>
            </w:r>
          </w:p>
        </w:tc>
        <w:tc>
          <w:tcPr>
            <w:tcW w:w="56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495,000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of preferred stock</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Dividends paid - common</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(179,446)</w:t>
            </w:r>
          </w:p>
        </w:tc>
        <w:tc>
          <w:tcPr>
            <w:tcW w:w="1060" w:type="dxa"/>
            <w:vAlign w:val="bottom"/>
          </w:tcPr>
          <w:p>
            <w:pPr>
              <w:jc w:val="right"/>
              <w:spacing w:after="0"/>
              <w:rPr>
                <w:sz w:val="20"/>
                <w:szCs w:val="20"/>
                <w:color w:val="auto"/>
              </w:rPr>
            </w:pPr>
            <w:r>
              <w:rPr>
                <w:rFonts w:ascii="Arial" w:cs="Arial" w:eastAsia="Arial" w:hAnsi="Arial"/>
                <w:sz w:val="18"/>
                <w:szCs w:val="18"/>
                <w:color w:val="auto"/>
              </w:rPr>
              <w:t>(173,135)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 preferred</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(26,725)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(20,046)</w:t>
            </w: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net</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238,752</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56,885</w:t>
            </w:r>
          </w:p>
        </w:tc>
      </w:tr>
      <w:tr>
        <w:trPr>
          <w:trHeight w:val="210"/>
        </w:trPr>
        <w:tc>
          <w:tcPr>
            <w:tcW w:w="20" w:type="dxa"/>
            <w:vAlign w:val="bottom"/>
          </w:tcPr>
          <w:p>
            <w:pPr>
              <w:spacing w:after="0"/>
              <w:rPr>
                <w:sz w:val="18"/>
                <w:szCs w:val="18"/>
                <w:color w:val="auto"/>
              </w:rPr>
            </w:pPr>
          </w:p>
        </w:tc>
        <w:tc>
          <w:tcPr>
            <w:tcW w:w="2440" w:type="dxa"/>
            <w:vAlign w:val="bottom"/>
            <w:tcBorders>
              <w:bottom w:val="single" w:sz="8" w:color="auto"/>
            </w:tcBorders>
            <w:shd w:val="clear" w:color="auto" w:fill="CCEEFF"/>
          </w:tcPr>
          <w:p>
            <w:pPr>
              <w:spacing w:after="0"/>
              <w:rPr>
                <w:sz w:val="18"/>
                <w:szCs w:val="18"/>
                <w:color w:val="auto"/>
              </w:rPr>
            </w:pPr>
          </w:p>
        </w:tc>
        <w:tc>
          <w:tcPr>
            <w:tcW w:w="63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Net cash provided (used) by financing activities</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4"/>
              </w:rPr>
              <w:t>2,381,909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(1,304,331)</w:t>
            </w: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560" w:type="dxa"/>
            <w:vAlign w:val="bottom"/>
          </w:tcPr>
          <w:p>
            <w:pPr>
              <w:spacing w:after="0"/>
              <w:rPr>
                <w:sz w:val="18"/>
                <w:szCs w:val="18"/>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(29,566)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399,160</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w w:val="94"/>
              </w:rPr>
              <w:t>1,452,397</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933,755</w:t>
            </w:r>
          </w:p>
        </w:tc>
      </w:tr>
      <w:tr>
        <w:trPr>
          <w:trHeight w:val="217"/>
        </w:trPr>
        <w:tc>
          <w:tcPr>
            <w:tcW w:w="20" w:type="dxa"/>
            <w:vAlign w:val="bottom"/>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94"/>
              </w:rPr>
              <w:t>1,422,831</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1,332,915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Supplemental</w:t>
            </w: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received during the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4"/>
              </w:rPr>
              <w:t>1,457,310</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1,366,981</w:t>
            </w:r>
          </w:p>
        </w:tc>
      </w:tr>
      <w:tr>
        <w:trPr>
          <w:trHeight w:val="216"/>
        </w:trPr>
        <w:tc>
          <w:tcPr>
            <w:tcW w:w="2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disclosure of cash</w:t>
            </w:r>
          </w:p>
        </w:tc>
        <w:tc>
          <w:tcPr>
            <w:tcW w:w="6340" w:type="dxa"/>
            <w:vAlign w:val="bottom"/>
          </w:tcPr>
          <w:p>
            <w:pPr>
              <w:ind w:left="2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tcPr>
          <w:p>
            <w:pPr>
              <w:spacing w:after="0"/>
              <w:rPr>
                <w:sz w:val="18"/>
                <w:szCs w:val="18"/>
                <w:color w:val="auto"/>
              </w:rPr>
            </w:pP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192,666</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205,514</w:t>
            </w:r>
          </w:p>
        </w:tc>
      </w:tr>
      <w:tr>
        <w:trPr>
          <w:trHeight w:val="223"/>
        </w:trPr>
        <w:tc>
          <w:tcPr>
            <w:tcW w:w="20" w:type="dxa"/>
            <w:vAlign w:val="bottom"/>
          </w:tcPr>
          <w:p>
            <w:pPr>
              <w:spacing w:after="0"/>
              <w:rPr>
                <w:sz w:val="19"/>
                <w:szCs w:val="19"/>
                <w:color w:val="auto"/>
              </w:rPr>
            </w:pPr>
          </w:p>
        </w:tc>
        <w:tc>
          <w:tcPr>
            <w:tcW w:w="2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flow information</w:t>
            </w:r>
          </w:p>
        </w:tc>
        <w:tc>
          <w:tcPr>
            <w:tcW w:w="6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taxes paid during the period</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204,249</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266,240</w:t>
            </w:r>
          </w:p>
        </w:tc>
      </w:tr>
      <w:tr>
        <w:trPr>
          <w:trHeight w:val="208"/>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86"/>
              </w:rPr>
              <w:t>Supplemental schedule of noncash</w:t>
            </w:r>
          </w:p>
        </w:tc>
        <w:tc>
          <w:tcPr>
            <w:tcW w:w="6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440" w:type="dxa"/>
            <w:vAlign w:val="bottom"/>
          </w:tcPr>
          <w:p>
            <w:pPr>
              <w:ind w:left="200"/>
              <w:spacing w:after="0"/>
              <w:rPr>
                <w:sz w:val="20"/>
                <w:szCs w:val="20"/>
                <w:color w:val="auto"/>
              </w:rPr>
            </w:pPr>
            <w:r>
              <w:rPr>
                <w:rFonts w:ascii="Arial" w:cs="Arial" w:eastAsia="Arial" w:hAnsi="Arial"/>
                <w:sz w:val="18"/>
                <w:szCs w:val="18"/>
                <w:color w:val="auto"/>
              </w:rPr>
              <w:t>investing and</w:t>
            </w:r>
          </w:p>
        </w:tc>
        <w:tc>
          <w:tcPr>
            <w:tcW w:w="6340" w:type="dxa"/>
            <w:vAlign w:val="bottom"/>
          </w:tcPr>
          <w:p>
            <w:pPr>
              <w:ind w:left="220"/>
              <w:spacing w:after="0"/>
              <w:rPr>
                <w:sz w:val="20"/>
                <w:szCs w:val="20"/>
                <w:color w:val="auto"/>
              </w:rPr>
            </w:pPr>
            <w:r>
              <w:rPr>
                <w:rFonts w:ascii="Arial" w:cs="Arial" w:eastAsia="Arial" w:hAnsi="Arial"/>
                <w:sz w:val="18"/>
                <w:szCs w:val="18"/>
                <w:color w:val="auto"/>
              </w:rPr>
              <w:t>Real estate acquired in settlement of loans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26,623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45,774</w:t>
            </w:r>
          </w:p>
        </w:tc>
      </w:tr>
      <w:tr>
        <w:trPr>
          <w:trHeight w:val="231"/>
        </w:trPr>
        <w:tc>
          <w:tcPr>
            <w:tcW w:w="20" w:type="dxa"/>
            <w:vAlign w:val="bottom"/>
          </w:tcPr>
          <w:p>
            <w:pPr>
              <w:spacing w:after="0"/>
              <w:rPr>
                <w:sz w:val="20"/>
                <w:szCs w:val="20"/>
                <w:color w:val="auto"/>
              </w:rPr>
            </w:pPr>
          </w:p>
        </w:tc>
        <w:tc>
          <w:tcPr>
            <w:tcW w:w="2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financing activities</w:t>
            </w:r>
          </w:p>
        </w:tc>
        <w:tc>
          <w:tcPr>
            <w:tcW w:w="6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660"/>
              <w:spacing w:after="0"/>
              <w:rPr>
                <w:sz w:val="20"/>
                <w:szCs w:val="20"/>
                <w:color w:val="auto"/>
              </w:rPr>
            </w:pPr>
            <w:r>
              <w:rPr>
                <w:rFonts w:ascii="Arial" w:cs="Arial" w:eastAsia="Arial" w:hAnsi="Arial"/>
                <w:sz w:val="18"/>
                <w:szCs w:val="18"/>
                <w:color w:val="auto"/>
              </w:rPr>
              <w:t>Fair value of:</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Assets acquired (noncash)</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10,666,102</w:t>
            </w: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6340" w:type="dxa"/>
            <w:vAlign w:val="bottom"/>
          </w:tcPr>
          <w:p>
            <w:pPr>
              <w:ind w:left="1080"/>
              <w:spacing w:after="0"/>
              <w:rPr>
                <w:sz w:val="20"/>
                <w:szCs w:val="20"/>
                <w:color w:val="auto"/>
              </w:rPr>
            </w:pPr>
            <w:r>
              <w:rPr>
                <w:rFonts w:ascii="Arial" w:cs="Arial" w:eastAsia="Arial" w:hAnsi="Arial"/>
                <w:sz w:val="18"/>
                <w:szCs w:val="18"/>
                <w:color w:val="auto"/>
              </w:rPr>
              <w:t>Liabilities assumed</w:t>
            </w:r>
          </w:p>
        </w:tc>
        <w:tc>
          <w:tcPr>
            <w:tcW w:w="560" w:type="dxa"/>
            <w:vAlign w:val="bottom"/>
          </w:tcPr>
          <w:p>
            <w:pPr>
              <w:spacing w:after="0"/>
              <w:rPr>
                <w:sz w:val="18"/>
                <w:szCs w:val="18"/>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10,044,555</w:t>
            </w: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63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Common stock issued</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405,557</w:t>
            </w: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340" w:type="dxa"/>
            <w:vAlign w:val="bottom"/>
          </w:tcPr>
          <w:p>
            <w:pPr>
              <w:ind w:left="660"/>
              <w:spacing w:after="0"/>
              <w:rPr>
                <w:sz w:val="20"/>
                <w:szCs w:val="20"/>
                <w:color w:val="auto"/>
              </w:rPr>
            </w:pPr>
            <w:r>
              <w:rPr>
                <w:rFonts w:ascii="Arial" w:cs="Arial" w:eastAsia="Arial" w:hAnsi="Arial"/>
                <w:sz w:val="18"/>
                <w:szCs w:val="18"/>
                <w:color w:val="auto"/>
              </w:rPr>
              <w:t>Retirement of Wilmington Trust Corporation preferred stock</w:t>
            </w:r>
          </w:p>
        </w:tc>
        <w:tc>
          <w:tcPr>
            <w:tcW w:w="560" w:type="dxa"/>
            <w:vAlign w:val="bottom"/>
          </w:tcPr>
          <w:p>
            <w:pPr>
              <w:spacing w:after="0"/>
              <w:rPr>
                <w:sz w:val="19"/>
                <w:szCs w:val="19"/>
                <w:color w:val="auto"/>
              </w:rPr>
            </w:pPr>
          </w:p>
        </w:tc>
        <w:tc>
          <w:tcPr>
            <w:tcW w:w="10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330,000</w:t>
            </w:r>
          </w:p>
        </w:tc>
      </w:tr>
      <w:tr>
        <w:trPr>
          <w:trHeight w:val="35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340" w:type="dxa"/>
            <w:vAlign w:val="bottom"/>
          </w:tcPr>
          <w:p>
            <w:pPr>
              <w:ind w:left="316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2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CHANGES IN SHAREHOLDERS’ EQUITY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Accumulated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1"/>
              </w:rPr>
              <w:t>other</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Common</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comprehensive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Preferred</w:t>
            </w: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Common</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stock</w:t>
            </w: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paid-in</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Retained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4"/>
              </w:rPr>
              <w:t>income</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Treasury</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3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20"/>
              <w:spacing w:after="0" w:line="146" w:lineRule="exact"/>
              <w:rPr>
                <w:sz w:val="20"/>
                <w:szCs w:val="20"/>
                <w:color w:val="auto"/>
              </w:rPr>
            </w:pPr>
            <w:r>
              <w:rPr>
                <w:rFonts w:ascii="Arial" w:cs="Arial" w:eastAsia="Arial" w:hAnsi="Arial"/>
                <w:sz w:val="14"/>
                <w:szCs w:val="14"/>
                <w:color w:val="auto"/>
              </w:rPr>
              <w:t>stock</w:t>
            </w:r>
          </w:p>
        </w:tc>
        <w:tc>
          <w:tcPr>
            <w:tcW w:w="72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stock</w:t>
            </w:r>
          </w:p>
        </w:tc>
        <w:tc>
          <w:tcPr>
            <w:tcW w:w="7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5"/>
              </w:rPr>
              <w:t>issuable</w:t>
            </w:r>
          </w:p>
        </w:tc>
        <w:tc>
          <w:tcPr>
            <w:tcW w:w="960" w:type="dxa"/>
            <w:vAlign w:val="bottom"/>
            <w:gridSpan w:val="2"/>
          </w:tcPr>
          <w:p>
            <w:pPr>
              <w:jc w:val="right"/>
              <w:ind w:right="400"/>
              <w:spacing w:after="0" w:line="146" w:lineRule="exact"/>
              <w:rPr>
                <w:sz w:val="20"/>
                <w:szCs w:val="20"/>
                <w:color w:val="auto"/>
              </w:rPr>
            </w:pPr>
            <w:r>
              <w:rPr>
                <w:rFonts w:ascii="Arial" w:cs="Arial" w:eastAsia="Arial" w:hAnsi="Arial"/>
                <w:sz w:val="14"/>
                <w:szCs w:val="14"/>
                <w:color w:val="auto"/>
              </w:rPr>
              <w:t>capital</w:t>
            </w:r>
          </w:p>
        </w:tc>
        <w:tc>
          <w:tcPr>
            <w:tcW w:w="9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rPr>
              <w:t>earnings</w:t>
            </w:r>
          </w:p>
        </w:tc>
        <w:tc>
          <w:tcPr>
            <w:tcW w:w="102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7"/>
              </w:rPr>
              <w:t>(loss), net</w:t>
            </w:r>
          </w:p>
        </w:tc>
        <w:tc>
          <w:tcPr>
            <w:tcW w:w="820" w:type="dxa"/>
            <w:vAlign w:val="bottom"/>
            <w:gridSpan w:val="2"/>
          </w:tcPr>
          <w:p>
            <w:pPr>
              <w:ind w:left="160"/>
              <w:spacing w:after="0" w:line="146" w:lineRule="exact"/>
              <w:rPr>
                <w:sz w:val="20"/>
                <w:szCs w:val="20"/>
                <w:color w:val="auto"/>
              </w:rPr>
            </w:pPr>
            <w:r>
              <w:rPr>
                <w:rFonts w:ascii="Arial" w:cs="Arial" w:eastAsia="Arial" w:hAnsi="Arial"/>
                <w:sz w:val="14"/>
                <w:szCs w:val="14"/>
                <w:color w:val="auto"/>
              </w:rPr>
              <w:t>stock</w:t>
            </w:r>
          </w:p>
        </w:tc>
        <w:tc>
          <w:tcPr>
            <w:tcW w:w="860" w:type="dxa"/>
            <w:vAlign w:val="bottom"/>
            <w:gridSpan w:val="2"/>
          </w:tcPr>
          <w:p>
            <w:pPr>
              <w:jc w:val="right"/>
              <w:ind w:right="340"/>
              <w:spacing w:after="0" w:line="146"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2011</w:t>
            </w:r>
          </w:p>
        </w:tc>
        <w:tc>
          <w:tcPr>
            <w:tcW w:w="25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Balance - January 1, 2011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$ 740,657</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60,198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4,189</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2,398,615</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5,426,701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(205,220)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(67,445)</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8,357,695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528,631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(23,549)</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9"/>
              </w:rPr>
              <w:t>Acquisition of Wilmington Trust Corporation - common</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stock issued</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2,348</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403,209</w:t>
            </w: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405,557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Partial redemption of Series A preferred stock</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(370,000)</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w w:val="90"/>
              </w:rPr>
              <w:t>Conversion of Series B preferred stock into 433,144 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of common stock</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(26,500)</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192</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21,754</w:t>
            </w:r>
          </w:p>
        </w:tc>
        <w:tc>
          <w:tcPr>
            <w:tcW w:w="2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4,554</w:t>
            </w:r>
          </w:p>
        </w:tc>
        <w:tc>
          <w:tcPr>
            <w:tcW w:w="2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Series D preferred stock</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(20,046)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preferred stock discount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16,744</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Compensation expense,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(10,382)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Exercises of stock options, net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(8,948)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30,106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Directors’ stock plan</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612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w w:val="91"/>
              </w:rPr>
              <w:t>Deferred compensation plans, net, including dividend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ind w:left="64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507</w:t>
            </w: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Common stock cash dividends - $1.40 per share</w:t>
            </w:r>
          </w:p>
        </w:tc>
        <w:tc>
          <w:tcPr>
            <w:tcW w:w="10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(173,195)</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(173,195)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$ 860,901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62,777</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2,800,002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5,745,253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(228,769)</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9,244,194</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2012</w:t>
            </w: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76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$ 864,585</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62,842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2,828,986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5,867,165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(356,441)</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9,271,209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439,843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78,592</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518,435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cash dividends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(26,725)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Amortization of preferred stock discount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3,848</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(3,848)</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Compensation expense, net</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216</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18,289</w:t>
            </w:r>
          </w:p>
        </w:tc>
        <w:tc>
          <w:tcPr>
            <w:tcW w:w="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Exercises of stock options,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227</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24,912</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Directors’ stock plan</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1"/>
              </w:rPr>
              <w:t>Deferred compensation plans, net, including dividend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cash dividends - $1.40 per share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(178,271)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(178,271)</w:t>
            </w: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Balance - June 30, 2012</w:t>
            </w: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$ 868,433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63,294</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3,429</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2,874,516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6,098,084</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(277,849)</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9,629,907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w:t>
      </w:r>
    </w:p>
    <w:p>
      <w:pPr>
        <w:spacing w:after="0" w:line="8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the 2011 Annual Report. In the opinion of management, all adjustments necessary for a fair presentation have been made and were all of a normal recurring nature.</w:t>
      </w:r>
    </w:p>
    <w:p>
      <w:pPr>
        <w:spacing w:after="0" w:line="22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May 16, 2011, M&amp;T acquired all of the outstanding common stock of Wilmington Trust Corporation (“Wilmington Trust”), headquartered in Wilmington, Delaware, in a stock-for-stock transaction. Wilmington Trust operated 55 banking offices in Delaware and Pennsylvania at the date of acquisition. The results of operations acquired in the Wilmington Trust transaction have been included in the Company’s financial results since May 16, 2011. Wilmington Trust shareholders received .051372 shares of M&amp;T common stock in exchange for each share of Wilmington Trust common stock, resulting in M&amp;T issuing a total of 4,694,486 common shares with an acquisition date fair value of $406 million.</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Wilmington Trust transaction has been accounted for using the acquisition method of accounting and, accordingly, assets acquired, liabilities assumed and consideration exchanged were recorded at estimated fair value on the acquisition date. Assets acquired totaled approximately $10.8 billion, including $6.4 billion of loans and leases (including approximately $3.2 billion of commercial real estate loans, $1.4 billion of commercial loans and leases, $1.1 billion of consumer loans and $680 million of residential real estate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$112 million of core deposit and other intangible assets. The core deposit and other intangible assets are generally being amortized over periods of 5 to 7 years using an accelerated method. There was no goodwill recorded as a result of the transaction, however,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consideration paid for Wilmington Trust’s common equity and the amounts of acquired identifiable assets and liabilities assumed as of the acquisition date were as follows: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color w:val="auto"/>
              </w:rPr>
              <w:t>(in thousands)</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Value of:</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issued (4,694,486 shares)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Preferred stock purchased from U.S. Treasury</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purchase price</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735,557</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due from banks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Interest-bearing deposits at banks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2,606,265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short-term investments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510,390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6,410,430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Core deposit and other intangibles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112,094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969,106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840"/>
              <w:spacing w:after="0"/>
              <w:rPr>
                <w:sz w:val="20"/>
                <w:szCs w:val="20"/>
                <w:color w:val="auto"/>
              </w:rPr>
            </w:pPr>
            <w:r>
              <w:rPr>
                <w:rFonts w:ascii="Arial" w:cs="Arial" w:eastAsia="Arial" w:hAnsi="Arial"/>
                <w:sz w:val="18"/>
                <w:szCs w:val="18"/>
                <w:color w:val="auto"/>
              </w:rPr>
              <w:t>Total identifiable assets</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10,845,042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Deposits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8,864,161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Long-term borrowings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600,830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431,812</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10,044,555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gain resulting from acquisition</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table presents certain pro forma information as if Wilmington Trust had been included in the Company’s results of operations for the three months and six months ended June 30, 2011 rather than since the acquisition date on May 16, 2011. These results combine the historical results of Wilmington Trust into the Company’s consolidated statement of income and, while certain adjustments were made for the estimated impact of certain fair valuation adjustments and other acquisition-related activity, they are not indicative of what would have occurred had the acquisition taken place as indicated. In particular, no adjustments have been made to eliminate the amount of Wilmington Trust’s provision for credit losses of $41 million or the impact of other-than-temporary impairment losses of $5 million recognized by Wilmington Trust during the first quarter of 2011 that may not have been necessary had the acquired loans and investment securities been recorded at fair value as of the beginning of 2011. Additionally, the Company expects to achieve operating cost savings and other business synergies as a result of the acquisition which are not reflected in the pro forma amounts that follow.</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8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764"/>
              <w:spacing w:after="0"/>
              <w:rPr>
                <w:sz w:val="20"/>
                <w:szCs w:val="20"/>
                <w:color w:val="auto"/>
              </w:rPr>
            </w:pPr>
            <w:r>
              <w:rPr>
                <w:rFonts w:ascii="Arial" w:cs="Arial" w:eastAsia="Arial" w:hAnsi="Arial"/>
                <w:sz w:val="14"/>
                <w:szCs w:val="14"/>
                <w:color w:val="auto"/>
                <w:w w:val="87"/>
              </w:rPr>
              <w:t>Pro forma</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color w:val="auto"/>
                <w:w w:val="87"/>
              </w:rPr>
              <w:t>Pro forma</w:t>
            </w:r>
          </w:p>
        </w:tc>
      </w:tr>
      <w:tr>
        <w:trPr>
          <w:trHeight w:val="149"/>
        </w:trPr>
        <w:tc>
          <w:tcPr>
            <w:tcW w:w="3520" w:type="dxa"/>
            <w:vAlign w:val="bottom"/>
          </w:tcPr>
          <w:p>
            <w:pPr>
              <w:spacing w:after="0"/>
              <w:rPr>
                <w:sz w:val="12"/>
                <w:szCs w:val="12"/>
                <w:color w:val="auto"/>
              </w:rPr>
            </w:pPr>
          </w:p>
        </w:tc>
        <w:tc>
          <w:tcPr>
            <w:tcW w:w="4060" w:type="dxa"/>
            <w:vAlign w:val="bottom"/>
            <w:gridSpan w:val="3"/>
          </w:tcPr>
          <w:p>
            <w:pPr>
              <w:jc w:val="center"/>
              <w:ind w:left="1482"/>
              <w:spacing w:after="0" w:line="149" w:lineRule="exact"/>
              <w:rPr>
                <w:sz w:val="20"/>
                <w:szCs w:val="20"/>
                <w:color w:val="auto"/>
              </w:rPr>
            </w:pPr>
            <w:r>
              <w:rPr>
                <w:rFonts w:ascii="Arial" w:cs="Arial" w:eastAsia="Arial" w:hAnsi="Arial"/>
                <w:sz w:val="14"/>
                <w:szCs w:val="14"/>
                <w:color w:val="auto"/>
                <w:w w:val="85"/>
              </w:rPr>
              <w:t>Three months ended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Six months ended</w:t>
            </w:r>
          </w:p>
        </w:tc>
      </w:tr>
      <w:tr>
        <w:trPr>
          <w:trHeight w:val="159"/>
        </w:trPr>
        <w:tc>
          <w:tcPr>
            <w:tcW w:w="35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jc w:val="center"/>
              <w:ind w:right="764"/>
              <w:spacing w:after="0" w:line="159" w:lineRule="exact"/>
              <w:rPr>
                <w:sz w:val="20"/>
                <w:szCs w:val="20"/>
                <w:color w:val="auto"/>
              </w:rPr>
            </w:pPr>
            <w:r>
              <w:rPr>
                <w:rFonts w:ascii="Arial" w:cs="Arial" w:eastAsia="Arial" w:hAnsi="Arial"/>
                <w:sz w:val="14"/>
                <w:szCs w:val="14"/>
                <w:color w:val="auto"/>
                <w:w w:val="83"/>
              </w:rPr>
              <w:t>June 30, 2011</w:t>
            </w:r>
          </w:p>
        </w:tc>
        <w:tc>
          <w:tcPr>
            <w:tcW w:w="110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3"/>
              </w:rPr>
              <w:t>June 30, 2011</w:t>
            </w:r>
          </w:p>
        </w:tc>
      </w:tr>
      <w:tr>
        <w:trPr>
          <w:trHeight w:val="142"/>
        </w:trPr>
        <w:tc>
          <w:tcPr>
            <w:tcW w:w="35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 thousands)</w:t>
            </w: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(a)</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rPr>
              <w:t>1,166,694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2,208,188</w:t>
            </w:r>
          </w:p>
        </w:tc>
        <w:tc>
          <w:tcPr>
            <w:tcW w:w="100" w:type="dxa"/>
            <w:vAlign w:val="bottom"/>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Net income</w:t>
            </w:r>
          </w:p>
        </w:tc>
        <w:tc>
          <w:tcPr>
            <w:tcW w:w="2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624"/>
              <w:spacing w:after="0"/>
              <w:rPr>
                <w:sz w:val="20"/>
                <w:szCs w:val="20"/>
                <w:color w:val="auto"/>
              </w:rPr>
            </w:pPr>
            <w:r>
              <w:rPr>
                <w:rFonts w:ascii="Arial" w:cs="Arial" w:eastAsia="Arial" w:hAnsi="Arial"/>
                <w:sz w:val="18"/>
                <w:szCs w:val="18"/>
                <w:color w:val="auto"/>
              </w:rPr>
              <w:t>309,527</w:t>
            </w:r>
          </w:p>
        </w:tc>
        <w:tc>
          <w:tcPr>
            <w:tcW w:w="1000" w:type="dxa"/>
            <w:vAlign w:val="bottom"/>
          </w:tcPr>
          <w:p>
            <w:pPr>
              <w:jc w:val="right"/>
              <w:spacing w:after="0"/>
              <w:rPr>
                <w:sz w:val="20"/>
                <w:szCs w:val="20"/>
                <w:color w:val="auto"/>
              </w:rPr>
            </w:pPr>
            <w:r>
              <w:rPr>
                <w:rFonts w:ascii="Arial" w:cs="Arial" w:eastAsia="Arial" w:hAnsi="Arial"/>
                <w:sz w:val="18"/>
                <w:szCs w:val="18"/>
                <w:color w:val="auto"/>
              </w:rPr>
              <w:t>480,948</w:t>
            </w:r>
          </w:p>
        </w:tc>
        <w:tc>
          <w:tcPr>
            <w:tcW w:w="10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net interest income plus other income.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acquisition, the Company incurred merger-related expenses related to systems conversions and other costs of integrating and conforming acquired operations with and into the Company. Those expenses consisted largely of professional services and other temporary help fees associated with systems conversions and/or integration of operations; costs related to termination of existing contractual arrangements of Wilmington Trust to purchase various services; initial marketing and promotion expenses designed to introduce M&amp;T Bank to its new customers; severance for former employees; travel costs; and printing, postage, supplies and other costs of completing the transaction and commencing operations in new markets and offices. The Company does not expect to incur any significant additional merger-related expenses during the remainder of 2012.</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merger-related expenses included in the consolidated statement of income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20" w:type="dxa"/>
            <w:vAlign w:val="bottom"/>
            <w:gridSpan w:val="4"/>
          </w:tcPr>
          <w:p>
            <w:pPr>
              <w:jc w:val="right"/>
              <w:ind w:right="560"/>
              <w:spacing w:after="0"/>
              <w:rPr>
                <w:sz w:val="20"/>
                <w:szCs w:val="20"/>
                <w:color w:val="auto"/>
              </w:rPr>
            </w:pPr>
            <w:r>
              <w:rPr>
                <w:rFonts w:ascii="Arial" w:cs="Arial" w:eastAsia="Arial" w:hAnsi="Arial"/>
                <w:sz w:val="14"/>
                <w:szCs w:val="14"/>
                <w:color w:val="auto"/>
                <w:w w:val="95"/>
              </w:rPr>
              <w:t>Three months ended</w:t>
            </w:r>
          </w:p>
        </w:tc>
        <w:tc>
          <w:tcPr>
            <w:tcW w:w="1480" w:type="dxa"/>
            <w:vAlign w:val="bottom"/>
            <w:gridSpan w:val="4"/>
          </w:tcPr>
          <w:p>
            <w:pPr>
              <w:ind w:left="2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31"/>
        </w:trPr>
        <w:tc>
          <w:tcPr>
            <w:tcW w:w="36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5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1"/>
              </w:rPr>
              <w:t>June 30,</w:t>
            </w:r>
          </w:p>
        </w:tc>
        <w:tc>
          <w:tcPr>
            <w:tcW w:w="3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9"/>
              </w:rPr>
              <w:t>June 30,</w:t>
            </w:r>
          </w:p>
        </w:tc>
        <w:tc>
          <w:tcPr>
            <w:tcW w:w="400" w:type="dxa"/>
            <w:vAlign w:val="bottom"/>
          </w:tcPr>
          <w:p>
            <w:pPr>
              <w:spacing w:after="0"/>
              <w:rPr>
                <w:sz w:val="11"/>
                <w:szCs w:val="11"/>
                <w:color w:val="auto"/>
              </w:rPr>
            </w:pPr>
          </w:p>
        </w:tc>
        <w:tc>
          <w:tcPr>
            <w:tcW w:w="8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rPr>
              <w:t>June 30,</w:t>
            </w:r>
          </w:p>
        </w:tc>
        <w:tc>
          <w:tcPr>
            <w:tcW w:w="5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9"/>
              </w:rPr>
              <w:t>June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640" w:type="dxa"/>
            <w:vAlign w:val="bottom"/>
          </w:tcPr>
          <w:p>
            <w:pPr>
              <w:spacing w:after="0"/>
              <w:rPr>
                <w:sz w:val="13"/>
                <w:szCs w:val="13"/>
                <w:color w:val="auto"/>
              </w:rPr>
            </w:pPr>
          </w:p>
        </w:tc>
        <w:tc>
          <w:tcPr>
            <w:tcW w:w="40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2012</w:t>
            </w:r>
          </w:p>
        </w:tc>
        <w:tc>
          <w:tcPr>
            <w:tcW w:w="920" w:type="dxa"/>
            <w:vAlign w:val="bottom"/>
            <w:gridSpan w:val="2"/>
          </w:tcPr>
          <w:p>
            <w:pPr>
              <w:jc w:val="right"/>
              <w:ind w:right="66"/>
              <w:spacing w:after="0" w:line="159" w:lineRule="exact"/>
              <w:rPr>
                <w:sz w:val="20"/>
                <w:szCs w:val="20"/>
                <w:color w:val="auto"/>
              </w:rPr>
            </w:pPr>
            <w:r>
              <w:rPr>
                <w:rFonts w:ascii="Arial" w:cs="Arial" w:eastAsia="Arial" w:hAnsi="Arial"/>
                <w:sz w:val="14"/>
                <w:szCs w:val="14"/>
                <w:color w:val="auto"/>
              </w:rPr>
              <w:t>2011</w:t>
            </w:r>
          </w:p>
        </w:tc>
        <w:tc>
          <w:tcPr>
            <w:tcW w:w="400" w:type="dxa"/>
            <w:vAlign w:val="bottom"/>
          </w:tcPr>
          <w:p>
            <w:pPr>
              <w:spacing w:after="0"/>
              <w:rPr>
                <w:sz w:val="13"/>
                <w:szCs w:val="13"/>
                <w:color w:val="auto"/>
              </w:rPr>
            </w:pPr>
          </w:p>
        </w:tc>
        <w:tc>
          <w:tcPr>
            <w:tcW w:w="460" w:type="dxa"/>
            <w:vAlign w:val="bottom"/>
          </w:tcPr>
          <w:p>
            <w:pPr>
              <w:jc w:val="right"/>
              <w:ind w:right="20"/>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540" w:type="dxa"/>
            <w:vAlign w:val="bottom"/>
          </w:tcPr>
          <w:p>
            <w:pPr>
              <w:jc w:val="right"/>
              <w:ind w:right="58"/>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340"/>
              <w:spacing w:after="0" w:line="142" w:lineRule="exact"/>
              <w:rPr>
                <w:sz w:val="20"/>
                <w:szCs w:val="20"/>
                <w:color w:val="auto"/>
              </w:rPr>
            </w:pPr>
            <w:r>
              <w:rPr>
                <w:rFonts w:ascii="Arial" w:cs="Arial" w:eastAsia="Arial" w:hAnsi="Arial"/>
                <w:sz w:val="14"/>
                <w:szCs w:val="14"/>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15,305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4,997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3560" w:type="dxa"/>
            <w:vAlign w:val="bottom"/>
          </w:tcPr>
          <w:p>
            <w:pPr>
              <w:spacing w:after="0"/>
              <w:rPr>
                <w:sz w:val="18"/>
                <w:szCs w:val="18"/>
                <w:color w:val="auto"/>
              </w:rPr>
            </w:pPr>
          </w:p>
        </w:tc>
        <w:tc>
          <w:tcPr>
            <w:tcW w:w="5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25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35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318</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costs of operations</w:t>
            </w:r>
          </w:p>
        </w:tc>
        <w:tc>
          <w:tcPr>
            <w:tcW w:w="35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4,127</w:t>
            </w:r>
          </w:p>
        </w:tc>
        <w:tc>
          <w:tcPr>
            <w:tcW w:w="3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21,348</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4,867</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7,151</w:t>
            </w: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36,996</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9,879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560" w:type="dxa"/>
            <w:vAlign w:val="bottom"/>
            <w:vMerge w:val="restart"/>
          </w:tcPr>
          <w:p>
            <w:pPr>
              <w:jc w:val="right"/>
              <w:ind w:right="1717"/>
              <w:spacing w:after="0"/>
              <w:rPr>
                <w:sz w:val="20"/>
                <w:szCs w:val="20"/>
                <w:color w:val="auto"/>
              </w:rPr>
            </w:pPr>
            <w:r>
              <w:rPr>
                <w:rFonts w:ascii="Arial" w:cs="Arial" w:eastAsia="Arial" w:hAnsi="Arial"/>
                <w:sz w:val="18"/>
                <w:szCs w:val="18"/>
                <w:color w:val="auto"/>
              </w:rPr>
              <w:t>-10-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estimated fair value of investment securities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Gross</w:t>
            </w:r>
          </w:p>
        </w:tc>
        <w:tc>
          <w:tcPr>
            <w:tcW w:w="64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
              <w:spacing w:after="0" w:line="149" w:lineRule="exact"/>
              <w:rPr>
                <w:sz w:val="20"/>
                <w:szCs w:val="20"/>
                <w:color w:val="auto"/>
              </w:rPr>
            </w:pPr>
            <w:r>
              <w:rPr>
                <w:rFonts w:ascii="Arial" w:cs="Arial" w:eastAsia="Arial" w:hAnsi="Arial"/>
                <w:sz w:val="14"/>
                <w:szCs w:val="14"/>
                <w:color w:val="auto"/>
                <w:w w:val="91"/>
              </w:rPr>
              <w:t>Amortized</w:t>
            </w:r>
          </w:p>
        </w:tc>
        <w:tc>
          <w:tcPr>
            <w:tcW w:w="4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6"/>
              </w:rPr>
              <w:t>unrealized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unrealized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3"/>
              <w:spacing w:after="0" w:line="159" w:lineRule="exact"/>
              <w:rPr>
                <w:sz w:val="20"/>
                <w:szCs w:val="20"/>
                <w:color w:val="auto"/>
              </w:rPr>
            </w:pPr>
            <w:r>
              <w:rPr>
                <w:rFonts w:ascii="Arial" w:cs="Arial" w:eastAsia="Arial" w:hAnsi="Arial"/>
                <w:sz w:val="14"/>
                <w:szCs w:val="14"/>
                <w:color w:val="auto"/>
              </w:rPr>
              <w:t>cost</w:t>
            </w:r>
          </w:p>
        </w:tc>
        <w:tc>
          <w:tcPr>
            <w:tcW w:w="400" w:type="dxa"/>
            <w:vAlign w:val="bottom"/>
          </w:tcPr>
          <w:p>
            <w:pPr>
              <w:spacing w:after="0"/>
              <w:rPr>
                <w:sz w:val="13"/>
                <w:szCs w:val="13"/>
                <w:color w:val="auto"/>
              </w:rPr>
            </w:pPr>
          </w:p>
        </w:tc>
        <w:tc>
          <w:tcPr>
            <w:tcW w:w="10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83"/>
              </w:rPr>
              <w:t>gains</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0"/>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color w:val="auto"/>
              </w:rPr>
              <w:t>(in thousands)</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federal agencies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55,484</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34,007</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569</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3,840,610</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218,117</w:t>
            </w:r>
          </w:p>
        </w:tc>
        <w:tc>
          <w:tcPr>
            <w:tcW w:w="640" w:type="dxa"/>
            <w:vAlign w:val="bottom"/>
          </w:tcPr>
          <w:p>
            <w:pPr>
              <w:jc w:val="right"/>
              <w:spacing w:after="0"/>
              <w:rPr>
                <w:sz w:val="20"/>
                <w:szCs w:val="20"/>
                <w:color w:val="auto"/>
              </w:rPr>
            </w:pPr>
            <w:r>
              <w:rPr>
                <w:rFonts w:ascii="Arial" w:cs="Arial" w:eastAsia="Arial" w:hAnsi="Arial"/>
                <w:sz w:val="18"/>
                <w:szCs w:val="18"/>
                <w:color w:val="auto"/>
              </w:rPr>
              <w:t>227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4,058,500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residential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1,252,709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189,571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1,068,392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 commercial</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13,048</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921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Collateralized debt obligations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43,749</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13,079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158,153</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2,034</w:t>
            </w:r>
          </w:p>
        </w:tc>
        <w:tc>
          <w:tcPr>
            <w:tcW w:w="640" w:type="dxa"/>
            <w:vAlign w:val="bottom"/>
          </w:tcPr>
          <w:p>
            <w:pPr>
              <w:jc w:val="right"/>
              <w:spacing w:after="0"/>
              <w:rPr>
                <w:sz w:val="20"/>
                <w:szCs w:val="20"/>
                <w:color w:val="auto"/>
              </w:rPr>
            </w:pPr>
            <w:r>
              <w:rPr>
                <w:rFonts w:ascii="Arial" w:cs="Arial" w:eastAsia="Arial" w:hAnsi="Arial"/>
                <w:sz w:val="18"/>
                <w:szCs w:val="18"/>
                <w:color w:val="auto"/>
              </w:rPr>
              <w:t>31,258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112,337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10,926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5,510,097</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251,094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227,137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5,534,054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held to maturity:</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187,936</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8,375</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733,912</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31,929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255,291</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1,188,465</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40,621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Other securities</w:t>
            </w:r>
          </w:p>
        </w:tc>
        <w:tc>
          <w:tcPr>
            <w:tcW w:w="2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334,781</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7,033,343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291,715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324,387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7,000,671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2"/>
            <w:vMerge w:val="continu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U.S. Treasury and federal agencies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69,468</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1,255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39,518</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4,344,116</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177,392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 residential</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1,369,371</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6,373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239,488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Privately issued commercial</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17,679</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43,834</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11,154</w:t>
            </w:r>
          </w:p>
        </w:tc>
        <w:tc>
          <w:tcPr>
            <w:tcW w:w="640" w:type="dxa"/>
            <w:vAlign w:val="bottom"/>
          </w:tcPr>
          <w:p>
            <w:pPr>
              <w:jc w:val="right"/>
              <w:spacing w:after="0"/>
              <w:rPr>
                <w:sz w:val="20"/>
                <w:szCs w:val="20"/>
                <w:color w:val="auto"/>
              </w:rPr>
            </w:pPr>
            <w:r>
              <w:rPr>
                <w:rFonts w:ascii="Arial" w:cs="Arial" w:eastAsia="Arial" w:hAnsi="Arial"/>
                <w:sz w:val="18"/>
                <w:szCs w:val="18"/>
                <w:color w:val="auto"/>
              </w:rPr>
              <w:t>2,488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216,700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4,588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Equity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211,737</w:t>
            </w:r>
          </w:p>
        </w:tc>
        <w:tc>
          <w:tcPr>
            <w:tcW w:w="4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8,468</w:t>
            </w:r>
          </w:p>
        </w:tc>
        <w:tc>
          <w:tcPr>
            <w:tcW w:w="640" w:type="dxa"/>
            <w:vAlign w:val="bottom"/>
          </w:tcPr>
          <w:p>
            <w:pPr>
              <w:jc w:val="right"/>
              <w:spacing w:after="0"/>
              <w:rPr>
                <w:sz w:val="20"/>
                <w:szCs w:val="20"/>
                <w:color w:val="auto"/>
              </w:rPr>
            </w:pPr>
            <w:r>
              <w:rPr>
                <w:rFonts w:ascii="Arial" w:cs="Arial" w:eastAsia="Arial" w:hAnsi="Arial"/>
                <w:sz w:val="18"/>
                <w:szCs w:val="18"/>
                <w:color w:val="auto"/>
              </w:rPr>
              <w:t>4,500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6,312,423</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210,001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293,864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6,228,560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Investment securities held to maturity:</w:t>
            </w:r>
          </w:p>
        </w:tc>
        <w:tc>
          <w:tcPr>
            <w:tcW w:w="2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188,680</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9,141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issued or guaranteed</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608,533</w:t>
            </w:r>
          </w:p>
        </w:tc>
        <w:tc>
          <w:tcPr>
            <w:tcW w:w="14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24,881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Privately issued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268,642</w:t>
            </w:r>
          </w:p>
        </w:tc>
        <w:tc>
          <w:tcPr>
            <w:tcW w:w="4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99,140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1,077,708</w:t>
            </w:r>
          </w:p>
        </w:tc>
        <w:tc>
          <w:tcPr>
            <w:tcW w:w="4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34,022</w:t>
            </w:r>
          </w:p>
        </w:tc>
        <w:tc>
          <w:tcPr>
            <w:tcW w:w="640" w:type="dxa"/>
            <w:vAlign w:val="bottom"/>
          </w:tcPr>
          <w:p>
            <w:pPr>
              <w:jc w:val="right"/>
              <w:spacing w:after="0"/>
              <w:rPr>
                <w:sz w:val="20"/>
                <w:szCs w:val="20"/>
                <w:color w:val="auto"/>
              </w:rPr>
            </w:pPr>
            <w:r>
              <w:rPr>
                <w:rFonts w:ascii="Arial" w:cs="Arial" w:eastAsia="Arial" w:hAnsi="Arial"/>
                <w:sz w:val="18"/>
                <w:szCs w:val="18"/>
                <w:color w:val="auto"/>
              </w:rPr>
              <w:t>99,168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1,012,562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securities</w:t>
            </w:r>
          </w:p>
        </w:tc>
        <w:tc>
          <w:tcPr>
            <w:tcW w:w="2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7,757,017</w:t>
            </w:r>
          </w:p>
        </w:tc>
        <w:tc>
          <w:tcPr>
            <w:tcW w:w="1440" w:type="dxa"/>
            <w:vAlign w:val="bottom"/>
            <w:gridSpan w:val="3"/>
          </w:tcPr>
          <w:p>
            <w:pPr>
              <w:jc w:val="right"/>
              <w:ind w:right="400"/>
              <w:spacing w:after="0"/>
              <w:rPr>
                <w:sz w:val="20"/>
                <w:szCs w:val="20"/>
                <w:color w:val="auto"/>
              </w:rPr>
            </w:pPr>
            <w:r>
              <w:rPr>
                <w:rFonts w:ascii="Arial" w:cs="Arial" w:eastAsia="Arial" w:hAnsi="Arial"/>
                <w:sz w:val="18"/>
                <w:szCs w:val="18"/>
                <w:color w:val="auto"/>
              </w:rPr>
              <w:t>244,023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393,032</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7,608,008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120" w:type="dxa"/>
            <w:vAlign w:val="bottom"/>
            <w:vMerge w:val="restart"/>
          </w:tcPr>
          <w:p>
            <w:pPr>
              <w:jc w:val="right"/>
              <w:ind w:right="832"/>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80" w:right="6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Gross realized gains on investment securities were $111 million and $150 million for the three-month and six-month periods ended June 30, 2011. Gross realized gains were not significant in 2012. Gross realized losses on investment securities were not significant during the three-month and six-month periods ended June 30, 2012 or 2011. During the second quarter of 2011, the Company sold residential mortgage-backed securities guaranteed by the Federal National Mortgage Association (“Fannie Mae”) and the Federal Home Loan Mortgage Corporation (“Freddie Mac”) having an aggregate amortized cost of approximately $1.0 billion which resulted in a gain of $66 million (pre-tax). The Company also sold trust preferred securities and collateralized debt obligations during the second quarter of 2011 having an aggregate amortized cost of $136 million and $100 million, respectively, which resulted in gains of $25 million (pre-tax) and $20 million (pre-tax), respectively. During the first quarter of 2011, the Company sold residential mortgage-backed securities guaranteed by Fannie Mae and Freddie Mac having an aggregate amortized cost of approximately $484 million which resulted in a gain of $39 million (pre-tax).</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Company recognized pre-tax other-than-temporary impairment losses of $16 million and $28 million during the three months and six months ended June 30, 2012, respectively, and $27 million and $43 million during the three months and six months ended June 30, 2011, respectively, related to privately issued mortgage-backed securities. The impairment charges were recognized in light of deterioration of real estate values and a rise in delinquencies and charge-offs of underlying mortgage loans collateralizing those securities. The other-than-temporary losses represent management’s estimate of credit losses inherent in the debt securities considering projected cash flows using assumptions of delinquency rates, loss severities, and other estimates for future collateral performance.</w:t>
      </w:r>
    </w:p>
    <w:p>
      <w:pPr>
        <w:spacing w:after="0" w:line="10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displays changes in credit losses associated with debt securities for which other-than-temporary impairment losses have been previously recognized in earnings for the three months and six months ended June 30, 2012 and 2011:</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940" w:type="dxa"/>
            <w:vAlign w:val="bottom"/>
            <w:gridSpan w:val="4"/>
          </w:tcPr>
          <w:p>
            <w:pPr>
              <w:jc w:val="center"/>
              <w:ind w:right="140"/>
              <w:spacing w:after="0"/>
              <w:rPr>
                <w:sz w:val="20"/>
                <w:szCs w:val="20"/>
                <w:color w:val="auto"/>
              </w:rPr>
            </w:pPr>
            <w:r>
              <w:rPr>
                <w:rFonts w:ascii="Arial" w:cs="Arial" w:eastAsia="Arial" w:hAnsi="Arial"/>
                <w:sz w:val="14"/>
                <w:szCs w:val="14"/>
                <w:color w:val="auto"/>
                <w:w w:val="85"/>
              </w:rPr>
              <w:t>Three months ended 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480" w:type="dxa"/>
            <w:vAlign w:val="bottom"/>
            <w:gridSpan w:val="2"/>
          </w:tcPr>
          <w:p>
            <w:pPr>
              <w:jc w:val="right"/>
              <w:ind w:right="142"/>
              <w:spacing w:after="0" w:line="159" w:lineRule="exact"/>
              <w:rPr>
                <w:sz w:val="20"/>
                <w:szCs w:val="20"/>
                <w:color w:val="auto"/>
              </w:rPr>
            </w:pPr>
            <w:r>
              <w:rPr>
                <w:rFonts w:ascii="Arial" w:cs="Arial" w:eastAsia="Arial" w:hAnsi="Arial"/>
                <w:sz w:val="14"/>
                <w:szCs w:val="14"/>
                <w:color w:val="auto"/>
              </w:rPr>
              <w:t>2012</w:t>
            </w:r>
          </w:p>
        </w:tc>
        <w:tc>
          <w:tcPr>
            <w:tcW w:w="420" w:type="dxa"/>
            <w:vAlign w:val="bottom"/>
          </w:tcPr>
          <w:p>
            <w:pPr>
              <w:spacing w:after="0"/>
              <w:rPr>
                <w:sz w:val="13"/>
                <w:szCs w:val="13"/>
                <w:color w:val="auto"/>
              </w:rPr>
            </w:pPr>
          </w:p>
        </w:tc>
        <w:tc>
          <w:tcPr>
            <w:tcW w:w="700" w:type="dxa"/>
            <w:vAlign w:val="bottom"/>
          </w:tcPr>
          <w:p>
            <w:pPr>
              <w:jc w:val="right"/>
              <w:ind w:right="136"/>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$ 267,473</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4"/>
              </w:rPr>
              <w:t>Additions for credit losses not previously recognized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16,173</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27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27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(19,449)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$ 264,197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40" w:type="dxa"/>
            <w:vAlign w:val="bottom"/>
            <w:gridSpan w:val="4"/>
          </w:tcPr>
          <w:p>
            <w:pPr>
              <w:jc w:val="center"/>
              <w:ind w:right="120"/>
              <w:spacing w:after="0"/>
              <w:rPr>
                <w:sz w:val="20"/>
                <w:szCs w:val="20"/>
                <w:color w:val="auto"/>
              </w:rPr>
            </w:pPr>
            <w:r>
              <w:rPr>
                <w:rFonts w:ascii="Arial" w:cs="Arial" w:eastAsia="Arial" w:hAnsi="Arial"/>
                <w:sz w:val="14"/>
                <w:szCs w:val="14"/>
                <w:color w:val="auto"/>
                <w:w w:val="85"/>
              </w:rPr>
              <w:t>Six months ended 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480" w:type="dxa"/>
            <w:vAlign w:val="bottom"/>
            <w:gridSpan w:val="2"/>
          </w:tcPr>
          <w:p>
            <w:pPr>
              <w:jc w:val="right"/>
              <w:ind w:right="142"/>
              <w:spacing w:after="0" w:line="159" w:lineRule="exact"/>
              <w:rPr>
                <w:sz w:val="20"/>
                <w:szCs w:val="20"/>
                <w:color w:val="auto"/>
              </w:rPr>
            </w:pPr>
            <w:r>
              <w:rPr>
                <w:rFonts w:ascii="Arial" w:cs="Arial" w:eastAsia="Arial" w:hAnsi="Arial"/>
                <w:sz w:val="14"/>
                <w:szCs w:val="14"/>
                <w:color w:val="auto"/>
              </w:rPr>
              <w:t>2012</w:t>
            </w:r>
          </w:p>
        </w:tc>
        <w:tc>
          <w:tcPr>
            <w:tcW w:w="420" w:type="dxa"/>
            <w:vAlign w:val="bottom"/>
          </w:tcPr>
          <w:p>
            <w:pPr>
              <w:spacing w:after="0"/>
              <w:rPr>
                <w:sz w:val="13"/>
                <w:szCs w:val="13"/>
                <w:color w:val="auto"/>
              </w:rPr>
            </w:pPr>
          </w:p>
        </w:tc>
        <w:tc>
          <w:tcPr>
            <w:tcW w:w="700" w:type="dxa"/>
            <w:vAlign w:val="bottom"/>
          </w:tcPr>
          <w:p>
            <w:pPr>
              <w:jc w:val="right"/>
              <w:ind w:right="136"/>
              <w:spacing w:after="0" w:line="159"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$ 285,399</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4"/>
              </w:rPr>
              <w:t>Additions for credit losses not previously recognized</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27,659</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increases in cash flows</w:t>
            </w:r>
          </w:p>
        </w:tc>
        <w:tc>
          <w:tcPr>
            <w:tcW w:w="27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Reductions for realized losses</w:t>
            </w:r>
          </w:p>
        </w:tc>
        <w:tc>
          <w:tcPr>
            <w:tcW w:w="27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(48,861)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(67,322)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$ 264,197</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780" w:type="dxa"/>
            <w:vAlign w:val="bottom"/>
            <w:vMerge w:val="restart"/>
          </w:tcPr>
          <w:p>
            <w:pPr>
              <w:jc w:val="right"/>
              <w:ind w:right="2177"/>
              <w:spacing w:after="0"/>
              <w:rPr>
                <w:sz w:val="20"/>
                <w:szCs w:val="20"/>
                <w:color w:val="auto"/>
              </w:rPr>
            </w:pPr>
            <w:r>
              <w:rPr>
                <w:rFonts w:ascii="Arial" w:cs="Arial" w:eastAsia="Arial" w:hAnsi="Arial"/>
                <w:sz w:val="18"/>
                <w:szCs w:val="18"/>
                <w:color w:val="auto"/>
              </w:rPr>
              <w:t>-12-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June 30, 2012, the amortized cost and estimated fair value of debt securities by contractual maturity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6"/>
              <w:spacing w:after="0"/>
              <w:rPr>
                <w:sz w:val="20"/>
                <w:szCs w:val="20"/>
                <w:color w:val="auto"/>
              </w:rPr>
            </w:pPr>
            <w:r>
              <w:rPr>
                <w:rFonts w:ascii="Arial" w:cs="Arial" w:eastAsia="Arial" w:hAnsi="Arial"/>
                <w:sz w:val="14"/>
                <w:szCs w:val="14"/>
                <w:color w:val="auto"/>
                <w:w w:val="91"/>
              </w:rPr>
              <w:t>Amortized</w:t>
            </w:r>
          </w:p>
        </w:tc>
        <w:tc>
          <w:tcPr>
            <w:tcW w:w="4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cost</w:t>
            </w:r>
          </w:p>
        </w:tc>
        <w:tc>
          <w:tcPr>
            <w:tcW w:w="420" w:type="dxa"/>
            <w:vAlign w:val="bottom"/>
          </w:tcPr>
          <w:p>
            <w:pPr>
              <w:spacing w:after="0"/>
              <w:rPr>
                <w:sz w:val="13"/>
                <w:szCs w:val="13"/>
                <w:color w:val="auto"/>
              </w:rPr>
            </w:pPr>
          </w:p>
        </w:tc>
        <w:tc>
          <w:tcPr>
            <w:tcW w:w="8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ind w:right="539"/>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33,314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206,266</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291,393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275,194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available for sale</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5,106,367</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5,139,019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tcPr>
          <w:p>
            <w:pPr>
              <w:spacing w:after="0"/>
              <w:rPr>
                <w:sz w:val="19"/>
                <w:szCs w:val="19"/>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5,397,760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5,414,213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to maturity:</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30,983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five years</w:t>
            </w:r>
          </w:p>
        </w:tc>
        <w:tc>
          <w:tcPr>
            <w:tcW w:w="2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114,797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120,839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Due after ten years</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207,607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 held to maturity</w:t>
            </w:r>
          </w:p>
        </w:tc>
        <w:tc>
          <w:tcPr>
            <w:tcW w:w="29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989,203</w:t>
            </w: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tcPr>
          <w:p>
            <w:pPr>
              <w:spacing w:after="0"/>
              <w:rPr>
                <w:sz w:val="19"/>
                <w:szCs w:val="19"/>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1,188,465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1,131,836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20" w:type="dxa"/>
            <w:vAlign w:val="bottom"/>
            <w:vMerge w:val="restart"/>
          </w:tcPr>
          <w:p>
            <w:pPr>
              <w:jc w:val="right"/>
              <w:ind w:right="2032"/>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0" w:right="1440"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summary of investment securities that as of June 30, 2012 and December 31, 2011 had been in a continuous unrealized loss position for less than twelve months and those that had been in a continuous unrealized loss position for twelve months or longer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color w:val="auto"/>
                <w:w w:val="93"/>
              </w:rPr>
              <w:t>Less than 12 months</w:t>
            </w:r>
          </w:p>
        </w:tc>
        <w:tc>
          <w:tcPr>
            <w:tcW w:w="1840" w:type="dxa"/>
            <w:vAlign w:val="bottom"/>
            <w:gridSpan w:val="4"/>
          </w:tcPr>
          <w:p>
            <w:pPr>
              <w:jc w:val="right"/>
              <w:ind w:right="4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1"/>
        </w:trPr>
        <w:tc>
          <w:tcPr>
            <w:tcW w:w="42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6"/>
              </w:rPr>
              <w:t>Unrealized</w:t>
            </w: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8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Fair value</w:t>
            </w:r>
          </w:p>
        </w:tc>
        <w:tc>
          <w:tcPr>
            <w:tcW w:w="92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losses</w:t>
            </w:r>
          </w:p>
        </w:tc>
        <w:tc>
          <w:tcPr>
            <w:tcW w:w="740" w:type="dxa"/>
            <w:vAlign w:val="bottom"/>
          </w:tcPr>
          <w:p>
            <w:pPr>
              <w:jc w:val="right"/>
              <w:ind w:right="14"/>
              <w:spacing w:after="0" w:line="159" w:lineRule="exact"/>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13"/>
                <w:szCs w:val="13"/>
                <w:color w:val="auto"/>
              </w:rPr>
            </w:pP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right"/>
              <w:ind w:right="354"/>
              <w:spacing w:after="0" w:line="142"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issued or guaranteed</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Privately issued residential</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126,139</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(1,861)</w:t>
            </w:r>
          </w:p>
        </w:tc>
        <w:tc>
          <w:tcPr>
            <w:tcW w:w="740" w:type="dxa"/>
            <w:vAlign w:val="bottom"/>
          </w:tcPr>
          <w:p>
            <w:pPr>
              <w:jc w:val="right"/>
              <w:spacing w:after="0"/>
              <w:rPr>
                <w:sz w:val="20"/>
                <w:szCs w:val="20"/>
                <w:color w:val="auto"/>
              </w:rPr>
            </w:pPr>
            <w:r>
              <w:rPr>
                <w:rFonts w:ascii="Arial" w:cs="Arial" w:eastAsia="Arial" w:hAnsi="Arial"/>
                <w:sz w:val="18"/>
                <w:szCs w:val="18"/>
                <w:color w:val="auto"/>
              </w:rPr>
              <w:t>841,748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(187,710)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Privately issued commercial</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3,106</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740" w:type="dxa"/>
            <w:vAlign w:val="bottom"/>
          </w:tcPr>
          <w:p>
            <w:pPr>
              <w:jc w:val="right"/>
              <w:spacing w:after="0"/>
              <w:rPr>
                <w:sz w:val="20"/>
                <w:szCs w:val="20"/>
                <w:color w:val="auto"/>
              </w:rPr>
            </w:pPr>
            <w:r>
              <w:rPr>
                <w:rFonts w:ascii="Arial" w:cs="Arial" w:eastAsia="Arial" w:hAnsi="Arial"/>
                <w:sz w:val="18"/>
                <w:szCs w:val="18"/>
                <w:color w:val="auto"/>
              </w:rPr>
              <w:t>5,349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74,206</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(29,205)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8,118</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(1,389)</w:t>
            </w:r>
          </w:p>
        </w:tc>
        <w:tc>
          <w:tcPr>
            <w:tcW w:w="740" w:type="dxa"/>
            <w:vAlign w:val="bottom"/>
          </w:tcPr>
          <w:p>
            <w:pPr>
              <w:jc w:val="right"/>
              <w:spacing w:after="0"/>
              <w:rPr>
                <w:sz w:val="20"/>
                <w:szCs w:val="20"/>
                <w:color w:val="auto"/>
              </w:rPr>
            </w:pPr>
            <w:r>
              <w:rPr>
                <w:rFonts w:ascii="Arial" w:cs="Arial" w:eastAsia="Arial" w:hAnsi="Arial"/>
                <w:sz w:val="18"/>
                <w:szCs w:val="18"/>
                <w:color w:val="auto"/>
              </w:rPr>
              <w:t>2,193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170,328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946,252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(221,724)</w:t>
            </w:r>
          </w:p>
        </w:tc>
        <w:tc>
          <w:tcPr>
            <w:tcW w:w="0" w:type="dxa"/>
            <w:vAlign w:val="bottom"/>
          </w:tcPr>
          <w:p>
            <w:pPr>
              <w:spacing w:after="0"/>
              <w:rPr>
                <w:sz w:val="1"/>
                <w:szCs w:val="1"/>
                <w:color w:val="auto"/>
              </w:rPr>
            </w:pPr>
          </w:p>
        </w:tc>
      </w:tr>
      <w:tr>
        <w:trPr>
          <w:trHeight w:val="221"/>
        </w:trPr>
        <w:tc>
          <w:tcPr>
            <w:tcW w:w="42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157,659</w:t>
            </w: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(97,220)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157,828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(97,227)</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175,926</w:t>
            </w:r>
          </w:p>
        </w:tc>
        <w:tc>
          <w:tcPr>
            <w:tcW w:w="3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(5,436)</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1,104,080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(318,951)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Government issued or guaranteed</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200" w:type="dxa"/>
            <w:vAlign w:val="bottom"/>
          </w:tcPr>
          <w:p>
            <w:pPr>
              <w:ind w:left="440"/>
              <w:spacing w:after="0"/>
              <w:rPr>
                <w:sz w:val="20"/>
                <w:szCs w:val="20"/>
                <w:color w:val="auto"/>
              </w:rPr>
            </w:pPr>
            <w:r>
              <w:rPr>
                <w:rFonts w:ascii="Arial" w:cs="Arial" w:eastAsia="Arial" w:hAnsi="Arial"/>
                <w:sz w:val="18"/>
                <w:szCs w:val="18"/>
                <w:color w:val="auto"/>
              </w:rPr>
              <w:t>Privately issued residential</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297,133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(14,188)</w:t>
            </w:r>
          </w:p>
        </w:tc>
        <w:tc>
          <w:tcPr>
            <w:tcW w:w="740" w:type="dxa"/>
            <w:vAlign w:val="bottom"/>
          </w:tcPr>
          <w:p>
            <w:pPr>
              <w:jc w:val="right"/>
              <w:spacing w:after="0"/>
              <w:rPr>
                <w:sz w:val="20"/>
                <w:szCs w:val="20"/>
                <w:color w:val="auto"/>
              </w:rPr>
            </w:pPr>
            <w:r>
              <w:rPr>
                <w:rFonts w:ascii="Arial" w:cs="Arial" w:eastAsia="Arial" w:hAnsi="Arial"/>
                <w:sz w:val="18"/>
                <w:szCs w:val="18"/>
                <w:color w:val="auto"/>
              </w:rPr>
              <w:t>751,077</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(225,300)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Privately issued commercial</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Collateralized debt obligations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2,871</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(335)</w:t>
            </w:r>
          </w:p>
        </w:tc>
        <w:tc>
          <w:tcPr>
            <w:tcW w:w="740" w:type="dxa"/>
            <w:vAlign w:val="bottom"/>
          </w:tcPr>
          <w:p>
            <w:pPr>
              <w:jc w:val="right"/>
              <w:spacing w:after="0"/>
              <w:rPr>
                <w:sz w:val="20"/>
                <w:szCs w:val="20"/>
                <w:color w:val="auto"/>
              </w:rPr>
            </w:pPr>
            <w:r>
              <w:rPr>
                <w:rFonts w:ascii="Arial" w:cs="Arial" w:eastAsia="Arial" w:hAnsi="Arial"/>
                <w:sz w:val="18"/>
                <w:szCs w:val="18"/>
                <w:color w:val="auto"/>
              </w:rPr>
              <w:t>4,863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debt securities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73,635</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(34,560)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Equity securities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421,016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(29,096)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851,849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(264,768)</w:t>
            </w:r>
          </w:p>
        </w:tc>
        <w:tc>
          <w:tcPr>
            <w:tcW w:w="0" w:type="dxa"/>
            <w:vAlign w:val="bottom"/>
          </w:tcPr>
          <w:p>
            <w:pPr>
              <w:spacing w:after="0"/>
              <w:rPr>
                <w:sz w:val="1"/>
                <w:szCs w:val="1"/>
                <w:color w:val="auto"/>
              </w:rPr>
            </w:pPr>
          </w:p>
        </w:tc>
      </w:tr>
      <w:tr>
        <w:trPr>
          <w:trHeight w:val="221"/>
        </w:trPr>
        <w:tc>
          <w:tcPr>
            <w:tcW w:w="42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2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Privately issued mortgage-backed securities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1,883</w:t>
            </w:r>
          </w:p>
        </w:tc>
        <w:tc>
          <w:tcPr>
            <w:tcW w:w="3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740" w:type="dxa"/>
            <w:vAlign w:val="bottom"/>
          </w:tcPr>
          <w:p>
            <w:pPr>
              <w:jc w:val="right"/>
              <w:spacing w:after="0"/>
              <w:rPr>
                <w:sz w:val="20"/>
                <w:szCs w:val="20"/>
                <w:color w:val="auto"/>
              </w:rPr>
            </w:pPr>
            <w:r>
              <w:rPr>
                <w:rFonts w:ascii="Arial" w:cs="Arial" w:eastAsia="Arial" w:hAnsi="Arial"/>
                <w:sz w:val="18"/>
                <w:szCs w:val="18"/>
                <w:color w:val="auto"/>
              </w:rPr>
              <w:t>167,139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(98,548)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(98,572)</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vMerge w:val="continue"/>
          </w:tcPr>
          <w:p>
            <w:pPr>
              <w:spacing w:after="0"/>
              <w:rPr>
                <w:sz w:val="19"/>
                <w:szCs w:val="19"/>
                <w:color w:val="auto"/>
              </w:rPr>
            </w:pPr>
          </w:p>
        </w:tc>
        <w:tc>
          <w:tcPr>
            <w:tcW w:w="2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425,983</w:t>
            </w:r>
          </w:p>
        </w:tc>
        <w:tc>
          <w:tcPr>
            <w:tcW w:w="3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(29,692)</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1,020,418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(363,340)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560" w:type="dxa"/>
            <w:vAlign w:val="bottom"/>
            <w:vMerge w:val="restart"/>
          </w:tcPr>
          <w:p>
            <w:pPr>
              <w:jc w:val="right"/>
              <w:ind w:right="1272"/>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80"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owned 290 individual investment securities with aggregate gross unrealized losses of $324 million at June 30, 2012. Approximately</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$288 million of the unrealized losses pertained to privately issued mortgage-backed securities with a cost basis of $1.4 billion. The Company also had $33 million of unrealized losses on trust preferred securities issued by financial institutions, securities backed by trust preferred securities issued by financial institutions and other entities, and other debt securities having a cost basis of $133 million. Based on a review of each of the remaining securities in the investment securities portfolio at June 30, 2012, with the exception of the aforementioned securities for which other-than-temporary impairment losses were recognized, the Company concluded that it expected to recover the amortized cost basis of its investment. As of June 30, 2012, the Company does not intend to sell nor is it anticipated that it would be required to sell any of its impaired investment securities. At June 30, 2012, the Company has not identified events or changes in circumstances which may have a significant adverse effect on the fair value of the $335 million of cost method investment securities.</w:t>
      </w:r>
    </w:p>
    <w:p>
      <w:pPr>
        <w:spacing w:after="0" w:line="238"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outstanding principal balance and the carrying amount of acquired loans that were recorded at fair value at the acquisition date that is included in the consolidated balance sheet is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Arial" w:cs="Arial" w:eastAsia="Arial" w:hAnsi="Arial"/>
                <w:sz w:val="14"/>
                <w:szCs w:val="14"/>
                <w:color w:val="auto"/>
              </w:rPr>
              <w:t>June 30,</w:t>
            </w:r>
          </w:p>
        </w:tc>
        <w:tc>
          <w:tcPr>
            <w:tcW w:w="1300" w:type="dxa"/>
            <w:vAlign w:val="bottom"/>
            <w:gridSpan w:val="3"/>
          </w:tcPr>
          <w:p>
            <w:pPr>
              <w:ind w:left="440"/>
              <w:spacing w:after="0"/>
              <w:rPr>
                <w:sz w:val="20"/>
                <w:szCs w:val="20"/>
                <w:color w:val="auto"/>
              </w:rPr>
            </w:pPr>
            <w:r>
              <w:rPr>
                <w:rFonts w:ascii="Arial" w:cs="Arial" w:eastAsia="Arial" w:hAnsi="Arial"/>
                <w:sz w:val="14"/>
                <w:szCs w:val="14"/>
                <w:color w:val="auto"/>
                <w:w w:val="95"/>
              </w:rPr>
              <w:t>December 31,</w:t>
            </w:r>
          </w:p>
        </w:tc>
      </w:tr>
      <w:tr>
        <w:trPr>
          <w:trHeight w:val="159"/>
        </w:trPr>
        <w:tc>
          <w:tcPr>
            <w:tcW w:w="4740" w:type="dxa"/>
            <w:vAlign w:val="bottom"/>
          </w:tcPr>
          <w:p>
            <w:pPr>
              <w:spacing w:after="0"/>
              <w:rPr>
                <w:sz w:val="13"/>
                <w:szCs w:val="13"/>
                <w:color w:val="auto"/>
              </w:rPr>
            </w:pPr>
          </w:p>
        </w:tc>
        <w:tc>
          <w:tcPr>
            <w:tcW w:w="2640" w:type="dxa"/>
            <w:vAlign w:val="bottom"/>
            <w:gridSpan w:val="2"/>
          </w:tcPr>
          <w:p>
            <w:pPr>
              <w:jc w:val="right"/>
              <w:ind w:right="206"/>
              <w:spacing w:after="0" w:line="159" w:lineRule="exact"/>
              <w:rPr>
                <w:sz w:val="20"/>
                <w:szCs w:val="20"/>
                <w:color w:val="auto"/>
              </w:rPr>
            </w:pPr>
            <w:r>
              <w:rPr>
                <w:rFonts w:ascii="Arial" w:cs="Arial" w:eastAsia="Arial" w:hAnsi="Arial"/>
                <w:sz w:val="14"/>
                <w:szCs w:val="14"/>
                <w:color w:val="auto"/>
              </w:rPr>
              <w:t>2012</w:t>
            </w:r>
          </w:p>
        </w:tc>
        <w:tc>
          <w:tcPr>
            <w:tcW w:w="1200" w:type="dxa"/>
            <w:vAlign w:val="bottom"/>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4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0" w:type="dxa"/>
            <w:vAlign w:val="bottom"/>
            <w:tcBorders>
              <w:top w:val="single" w:sz="8" w:color="auto"/>
            </w:tcBorders>
            <w:gridSpan w:val="3"/>
          </w:tcPr>
          <w:p>
            <w:pPr>
              <w:jc w:val="right"/>
              <w:ind w:right="53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$8,097,216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9,203,366</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Carrying amount:</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financial, leasing, etc.</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1,216,711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1,331,198</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Commercial real estate</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3,222,688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3,879,518</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814,288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915,371</w:t>
            </w:r>
          </w:p>
        </w:tc>
        <w:tc>
          <w:tcPr>
            <w:tcW w:w="100" w:type="dxa"/>
            <w:vAlign w:val="bottom"/>
            <w:shd w:val="clear" w:color="auto" w:fill="CCEEFF"/>
          </w:tcPr>
          <w:p>
            <w:pPr>
              <w:spacing w:after="0"/>
              <w:rPr>
                <w:sz w:val="18"/>
                <w:szCs w:val="18"/>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1,834,751</w:t>
            </w:r>
          </w:p>
        </w:tc>
        <w:tc>
          <w:tcPr>
            <w:tcW w:w="4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2,033,700</w:t>
            </w:r>
          </w:p>
        </w:tc>
        <w:tc>
          <w:tcPr>
            <w:tcW w:w="10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7,088,438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8,159,787</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Purchased impaired loans included in the table above totaled $561 million at June 30, 2012 and $653 million at December 31, 2011, representing less than 1% of the Company’s assets as of each date.</w:t>
      </w:r>
    </w:p>
    <w:p>
      <w:pPr>
        <w:spacing w:after="0" w:line="132"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Interest income on acquired loans that were recorded at fair value at the acquisition date was $90 million and $171 million for the three months and six months ended June 30, 2012 and $69 million and $110 million for the three months and six months ended June 30, 2011, respectively. Reflecting an improvement in estimated cash flows on acquired loans, the Company transferred $140 million from nonaccretable balance to accretable yield during the quarter ended</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June 30, 2012. At December 31, 2010 and June 30, 2011, the accretable yield on acquired loans was $457 million and $1.04 billion, respectively. A summary of changes in the accretable yield for acquired loans for the three months and six months ended June 30, 2012 follows:</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80" w:type="dxa"/>
            <w:vAlign w:val="bottom"/>
            <w:gridSpan w:val="7"/>
          </w:tcPr>
          <w:p>
            <w:pPr>
              <w:jc w:val="right"/>
              <w:ind w:right="540"/>
              <w:spacing w:after="0"/>
              <w:rPr>
                <w:sz w:val="20"/>
                <w:szCs w:val="20"/>
                <w:color w:val="auto"/>
              </w:rPr>
            </w:pPr>
            <w:r>
              <w:rPr>
                <w:rFonts w:ascii="Arial" w:cs="Arial" w:eastAsia="Arial" w:hAnsi="Arial"/>
                <w:sz w:val="14"/>
                <w:szCs w:val="14"/>
                <w:color w:val="auto"/>
              </w:rPr>
              <w:t>Three months ended June 30, 2012</w:t>
            </w:r>
          </w:p>
        </w:tc>
        <w:tc>
          <w:tcPr>
            <w:tcW w:w="0" w:type="dxa"/>
            <w:vAlign w:val="bottom"/>
          </w:tcPr>
          <w:p>
            <w:pPr>
              <w:spacing w:after="0"/>
              <w:rPr>
                <w:sz w:val="1"/>
                <w:szCs w:val="1"/>
                <w:color w:val="auto"/>
              </w:rPr>
            </w:pPr>
          </w:p>
        </w:tc>
      </w:tr>
      <w:tr>
        <w:trPr>
          <w:trHeight w:val="131"/>
        </w:trPr>
        <w:tc>
          <w:tcPr>
            <w:tcW w:w="42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40"/>
              <w:spacing w:after="0" w:line="131" w:lineRule="exact"/>
              <w:rPr>
                <w:sz w:val="20"/>
                <w:szCs w:val="20"/>
                <w:color w:val="auto"/>
              </w:rPr>
            </w:pPr>
            <w:r>
              <w:rPr>
                <w:rFonts w:ascii="Arial" w:cs="Arial" w:eastAsia="Arial" w:hAnsi="Arial"/>
                <w:sz w:val="14"/>
                <w:szCs w:val="14"/>
                <w:color w:val="auto"/>
                <w:w w:val="83"/>
              </w:rPr>
              <w:t>Purchased</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right"/>
              <w:ind w:right="620"/>
              <w:spacing w:after="0" w:line="131" w:lineRule="exact"/>
              <w:rPr>
                <w:sz w:val="20"/>
                <w:szCs w:val="20"/>
                <w:color w:val="auto"/>
              </w:rPr>
            </w:pPr>
            <w:r>
              <w:rPr>
                <w:rFonts w:ascii="Arial" w:cs="Arial" w:eastAsia="Arial" w:hAnsi="Arial"/>
                <w:sz w:val="14"/>
                <w:szCs w:val="14"/>
                <w:color w:val="auto"/>
              </w:rPr>
              <w:t>Other</w:t>
            </w: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6"/>
              </w:rPr>
              <w:t>impaired</w:t>
            </w:r>
          </w:p>
        </w:tc>
        <w:tc>
          <w:tcPr>
            <w:tcW w:w="220" w:type="dxa"/>
            <w:vAlign w:val="bottom"/>
          </w:tcPr>
          <w:p>
            <w:pPr>
              <w:spacing w:after="0"/>
              <w:rPr>
                <w:sz w:val="13"/>
                <w:szCs w:val="13"/>
                <w:color w:val="auto"/>
              </w:rPr>
            </w:pPr>
          </w:p>
        </w:tc>
        <w:tc>
          <w:tcPr>
            <w:tcW w:w="110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acquired</w:t>
            </w: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$22,565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747,466</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770,031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Interest income</w:t>
            </w:r>
          </w:p>
        </w:tc>
        <w:tc>
          <w:tcPr>
            <w:tcW w:w="3300" w:type="dxa"/>
            <w:vAlign w:val="bottom"/>
            <w:gridSpan w:val="3"/>
          </w:tcPr>
          <w:p>
            <w:pPr>
              <w:jc w:val="right"/>
              <w:ind w:right="180"/>
              <w:spacing w:after="0"/>
              <w:rPr>
                <w:sz w:val="20"/>
                <w:szCs w:val="20"/>
                <w:color w:val="auto"/>
              </w:rPr>
            </w:pPr>
            <w:r>
              <w:rPr>
                <w:rFonts w:ascii="Arial" w:cs="Arial" w:eastAsia="Arial" w:hAnsi="Arial"/>
                <w:sz w:val="18"/>
                <w:szCs w:val="18"/>
                <w:color w:val="auto"/>
              </w:rPr>
              <w:t>(9,621)</w:t>
            </w: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(80,249)</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(89,870)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Reclassifications from (to) nonaccretable balance, net</w:t>
            </w:r>
          </w:p>
        </w:tc>
        <w:tc>
          <w:tcPr>
            <w:tcW w:w="3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42,655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97,165</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139,820</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(a)</w:t>
            </w:r>
          </w:p>
        </w:tc>
        <w:tc>
          <w:tcPr>
            <w:tcW w:w="2480" w:type="dxa"/>
            <w:vAlign w:val="bottom"/>
          </w:tcPr>
          <w:p>
            <w:pPr>
              <w:spacing w:after="0"/>
              <w:rPr>
                <w:sz w:val="18"/>
                <w:szCs w:val="18"/>
                <w:color w:val="auto"/>
              </w:rPr>
            </w:pPr>
          </w:p>
        </w:tc>
        <w:tc>
          <w:tcPr>
            <w:tcW w:w="5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(31,221)</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(31,221)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55,599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733,161</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788,760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80" w:type="dxa"/>
            <w:vAlign w:val="bottom"/>
            <w:vMerge w:val="restart"/>
          </w:tcPr>
          <w:p>
            <w:pPr>
              <w:jc w:val="right"/>
              <w:ind w:right="1672"/>
              <w:spacing w:after="0"/>
              <w:rPr>
                <w:sz w:val="20"/>
                <w:szCs w:val="20"/>
                <w:color w:val="auto"/>
              </w:rPr>
            </w:pPr>
            <w:r>
              <w:rPr>
                <w:rFonts w:ascii="Arial" w:cs="Arial" w:eastAsia="Arial" w:hAnsi="Arial"/>
                <w:sz w:val="18"/>
                <w:szCs w:val="18"/>
                <w:color w:val="auto"/>
              </w:rPr>
              <w:t>-15-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630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Loans and leases and the allowance for credit losses, continued</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gridSpan w:val="7"/>
          </w:tcPr>
          <w:p>
            <w:pPr>
              <w:jc w:val="center"/>
              <w:ind w:right="100"/>
              <w:spacing w:after="0"/>
              <w:rPr>
                <w:sz w:val="20"/>
                <w:szCs w:val="20"/>
                <w:color w:val="auto"/>
              </w:rPr>
            </w:pPr>
            <w:r>
              <w:rPr>
                <w:rFonts w:ascii="Arial" w:cs="Arial" w:eastAsia="Arial" w:hAnsi="Arial"/>
                <w:sz w:val="14"/>
                <w:szCs w:val="14"/>
                <w:color w:val="auto"/>
                <w:w w:val="85"/>
              </w:rPr>
              <w:t>Six months ended June 30, 2012</w:t>
            </w:r>
          </w:p>
        </w:tc>
      </w:tr>
      <w:tr>
        <w:trPr>
          <w:trHeight w:val="131"/>
        </w:trPr>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color w:val="auto"/>
                <w:w w:val="89"/>
              </w:rPr>
              <w:t>Purchased</w:t>
            </w: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460"/>
              <w:spacing w:after="0" w:line="131" w:lineRule="exact"/>
              <w:rPr>
                <w:sz w:val="20"/>
                <w:szCs w:val="20"/>
                <w:color w:val="auto"/>
              </w:rPr>
            </w:pPr>
            <w:r>
              <w:rPr>
                <w:rFonts w:ascii="Arial" w:cs="Arial" w:eastAsia="Arial" w:hAnsi="Arial"/>
                <w:sz w:val="14"/>
                <w:szCs w:val="14"/>
                <w:color w:val="auto"/>
                <w:w w:val="91"/>
              </w:rPr>
              <w:t>Other</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impaired</w:t>
            </w:r>
          </w:p>
        </w:tc>
        <w:tc>
          <w:tcPr>
            <w:tcW w:w="220" w:type="dxa"/>
            <w:vAlign w:val="bottom"/>
          </w:tcPr>
          <w:p>
            <w:pPr>
              <w:spacing w:after="0"/>
              <w:rPr>
                <w:sz w:val="13"/>
                <w:szCs w:val="13"/>
                <w:color w:val="auto"/>
              </w:rPr>
            </w:pPr>
          </w:p>
        </w:tc>
        <w:tc>
          <w:tcPr>
            <w:tcW w:w="114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9"/>
              </w:rPr>
              <w:t>acquired</w:t>
            </w:r>
          </w:p>
        </w:tc>
        <w:tc>
          <w:tcPr>
            <w:tcW w:w="8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Total</w:t>
            </w: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200"/>
              <w:spacing w:after="0" w:line="142" w:lineRule="exact"/>
              <w:rPr>
                <w:sz w:val="20"/>
                <w:szCs w:val="20"/>
                <w:color w:val="auto"/>
              </w:rPr>
            </w:pPr>
            <w:r>
              <w:rPr>
                <w:rFonts w:ascii="Arial" w:cs="Arial" w:eastAsia="Arial" w:hAnsi="Arial"/>
                <w:sz w:val="14"/>
                <w:szCs w:val="14"/>
                <w:color w:val="auto"/>
                <w:w w:val="85"/>
              </w:rPr>
              <w:t>(in thousands)</w:t>
            </w: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$ 30,805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807,960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838,765</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Interest income</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(17,285)</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(153,972)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(171,257)</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from (to) nonaccretable balance, net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98,165</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140,244</w:t>
            </w: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(a)</w:t>
            </w:r>
          </w:p>
        </w:tc>
        <w:tc>
          <w:tcPr>
            <w:tcW w:w="1140" w:type="dxa"/>
            <w:vAlign w:val="bottom"/>
          </w:tcPr>
          <w:p>
            <w:pPr>
              <w:spacing w:after="0"/>
              <w:rPr>
                <w:sz w:val="19"/>
                <w:szCs w:val="19"/>
                <w:color w:val="auto"/>
              </w:rPr>
            </w:pPr>
          </w:p>
        </w:tc>
        <w:tc>
          <w:tcPr>
            <w:tcW w:w="66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(18,992)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(18,992)</w:t>
            </w: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1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$ 55,599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733,161</w:t>
            </w: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788,760</w:t>
            </w:r>
          </w:p>
        </w:tc>
        <w:tc>
          <w:tcPr>
            <w:tcW w:w="10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prepayments.</w:t>
      </w:r>
    </w:p>
    <w:p>
      <w:pPr>
        <w:spacing w:after="0" w:line="171"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A summary of current, past due and nonaccrual loans as of June 30, 2012 and December 31,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color w:val="auto"/>
                <w:w w:val="88"/>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3"/>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68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5"/>
              </w:rPr>
              <w:t>due and accruing</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83"/>
              </w:rPr>
              <w:t>Purchased</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3"/>
              </w:rPr>
              <w:t>Days past</w:t>
            </w:r>
          </w:p>
        </w:tc>
        <w:tc>
          <w:tcPr>
            <w:tcW w:w="640" w:type="dxa"/>
            <w:vAlign w:val="bottom"/>
            <w:tcBorders>
              <w:top w:val="single" w:sz="8" w:color="auto"/>
            </w:tcBorders>
          </w:tcPr>
          <w:p>
            <w:pPr>
              <w:jc w:val="right"/>
              <w:ind w:right="99"/>
              <w:spacing w:after="0" w:line="131" w:lineRule="exact"/>
              <w:rPr>
                <w:sz w:val="20"/>
                <w:szCs w:val="20"/>
                <w:color w:val="auto"/>
              </w:rPr>
            </w:pPr>
            <w:r>
              <w:rPr>
                <w:rFonts w:ascii="Arial" w:cs="Arial" w:eastAsia="Arial" w:hAnsi="Arial"/>
                <w:sz w:val="14"/>
                <w:szCs w:val="14"/>
                <w:color w:val="auto"/>
              </w:rPr>
              <w:t>Non-</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4"/>
              </w:rPr>
              <w:t>Acquired</w:t>
            </w:r>
          </w:p>
        </w:tc>
        <w:tc>
          <w:tcPr>
            <w:tcW w:w="200" w:type="dxa"/>
            <w:vAlign w:val="bottom"/>
          </w:tcPr>
          <w:p>
            <w:pPr>
              <w:spacing w:after="0"/>
              <w:rPr>
                <w:sz w:val="11"/>
                <w:szCs w:val="11"/>
                <w:color w:val="auto"/>
              </w:rPr>
            </w:pP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9"/>
              </w:rPr>
              <w:t>impaired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Current</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due</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acquired</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(a)</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93"/>
              </w:rPr>
              <w:t>(b)</w:t>
            </w:r>
          </w:p>
        </w:tc>
        <w:tc>
          <w:tcPr>
            <w:tcW w:w="2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w w:val="84"/>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color w:val="auto"/>
                <w:w w:val="85"/>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$16,138,169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73,581</w:t>
            </w:r>
          </w:p>
        </w:tc>
        <w:tc>
          <w:tcPr>
            <w:tcW w:w="640" w:type="dxa"/>
            <w:vAlign w:val="bottom"/>
          </w:tcPr>
          <w:p>
            <w:pPr>
              <w:jc w:val="right"/>
              <w:spacing w:after="0"/>
              <w:rPr>
                <w:sz w:val="20"/>
                <w:szCs w:val="20"/>
                <w:color w:val="auto"/>
              </w:rPr>
            </w:pPr>
            <w:r>
              <w:rPr>
                <w:rFonts w:ascii="Arial" w:cs="Arial" w:eastAsia="Arial" w:hAnsi="Arial"/>
                <w:sz w:val="18"/>
                <w:szCs w:val="18"/>
                <w:color w:val="auto"/>
              </w:rPr>
              <w:t>1,455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12,402</w:t>
            </w:r>
          </w:p>
        </w:tc>
        <w:tc>
          <w:tcPr>
            <w:tcW w:w="640" w:type="dxa"/>
            <w:vAlign w:val="bottom"/>
          </w:tcPr>
          <w:p>
            <w:pPr>
              <w:jc w:val="right"/>
              <w:spacing w:after="0"/>
              <w:rPr>
                <w:sz w:val="20"/>
                <w:szCs w:val="20"/>
                <w:color w:val="auto"/>
              </w:rPr>
            </w:pPr>
            <w:r>
              <w:rPr>
                <w:rFonts w:ascii="Arial" w:cs="Arial" w:eastAsia="Arial" w:hAnsi="Arial"/>
                <w:sz w:val="18"/>
                <w:szCs w:val="18"/>
                <w:color w:val="auto"/>
              </w:rPr>
              <w:t>16,424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153,556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16,395,587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20,854,618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128,489</w:t>
            </w:r>
          </w:p>
        </w:tc>
        <w:tc>
          <w:tcPr>
            <w:tcW w:w="640" w:type="dxa"/>
            <w:vAlign w:val="bottom"/>
          </w:tcPr>
          <w:p>
            <w:pPr>
              <w:jc w:val="right"/>
              <w:spacing w:after="0"/>
              <w:rPr>
                <w:sz w:val="20"/>
                <w:szCs w:val="20"/>
                <w:color w:val="auto"/>
              </w:rPr>
            </w:pPr>
            <w:r>
              <w:rPr>
                <w:rFonts w:ascii="Arial" w:cs="Arial" w:eastAsia="Arial" w:hAnsi="Arial"/>
                <w:sz w:val="18"/>
                <w:szCs w:val="18"/>
                <w:color w:val="auto"/>
              </w:rPr>
              <w:t>10,128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49,038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164,855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173,278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21,380,406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761,655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18,330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264,163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2,051,194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16,174</w:t>
            </w:r>
          </w:p>
        </w:tc>
        <w:tc>
          <w:tcPr>
            <w:tcW w:w="640" w:type="dxa"/>
            <w:vAlign w:val="bottom"/>
          </w:tcPr>
          <w:p>
            <w:pPr>
              <w:jc w:val="right"/>
              <w:spacing w:after="0"/>
              <w:rPr>
                <w:sz w:val="20"/>
                <w:szCs w:val="20"/>
                <w:color w:val="auto"/>
              </w:rPr>
            </w:pPr>
            <w:r>
              <w:rPr>
                <w:rFonts w:ascii="Arial" w:cs="Arial" w:eastAsia="Arial" w:hAnsi="Arial"/>
                <w:sz w:val="18"/>
                <w:szCs w:val="18"/>
                <w:color w:val="auto"/>
              </w:rPr>
              <w:t>4,352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23,158</w:t>
            </w:r>
          </w:p>
        </w:tc>
        <w:tc>
          <w:tcPr>
            <w:tcW w:w="640" w:type="dxa"/>
            <w:vAlign w:val="bottom"/>
          </w:tcPr>
          <w:p>
            <w:pPr>
              <w:jc w:val="right"/>
              <w:spacing w:after="0"/>
              <w:rPr>
                <w:sz w:val="20"/>
                <w:szCs w:val="20"/>
                <w:color w:val="auto"/>
              </w:rPr>
            </w:pPr>
            <w:r>
              <w:rPr>
                <w:rFonts w:ascii="Arial" w:cs="Arial" w:eastAsia="Arial" w:hAnsi="Arial"/>
                <w:sz w:val="18"/>
                <w:szCs w:val="18"/>
                <w:color w:val="auto"/>
              </w:rPr>
              <w:t>63,446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26,303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2,184,627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8,563,870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252,076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251,750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41,047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9,330,815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355,574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24,221</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100,915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480,710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2280" w:type="dxa"/>
            <w:vAlign w:val="bottom"/>
            <w:gridSpan w:val="3"/>
          </w:tcPr>
          <w:p>
            <w:pPr>
              <w:jc w:val="right"/>
              <w:ind w:right="200"/>
              <w:spacing w:after="0"/>
              <w:rPr>
                <w:sz w:val="20"/>
                <w:szCs w:val="20"/>
                <w:color w:val="auto"/>
              </w:rPr>
            </w:pPr>
            <w:r>
              <w:rPr>
                <w:rFonts w:ascii="Arial" w:cs="Arial" w:eastAsia="Arial" w:hAnsi="Arial"/>
                <w:sz w:val="18"/>
                <w:szCs w:val="18"/>
                <w:color w:val="auto"/>
              </w:rPr>
              <w:t>6,384,785</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41,795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15,263</w:t>
            </w:r>
          </w:p>
        </w:tc>
        <w:tc>
          <w:tcPr>
            <w:tcW w:w="640" w:type="dxa"/>
            <w:vAlign w:val="bottom"/>
          </w:tcPr>
          <w:p>
            <w:pPr>
              <w:jc w:val="right"/>
              <w:spacing w:after="0"/>
              <w:rPr>
                <w:sz w:val="20"/>
                <w:szCs w:val="20"/>
                <w:color w:val="auto"/>
              </w:rPr>
            </w:pPr>
            <w:r>
              <w:rPr>
                <w:rFonts w:ascii="Arial" w:cs="Arial" w:eastAsia="Arial" w:hAnsi="Arial"/>
                <w:sz w:val="18"/>
                <w:szCs w:val="18"/>
                <w:color w:val="auto"/>
              </w:rPr>
              <w:t>4,381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54,509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6,500,733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2,490,590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2,628,257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38,085</w:t>
            </w:r>
          </w:p>
        </w:tc>
        <w:tc>
          <w:tcPr>
            <w:tcW w:w="640" w:type="dxa"/>
            <w:vAlign w:val="bottom"/>
          </w:tcPr>
          <w:p>
            <w:pPr>
              <w:jc w:val="right"/>
              <w:spacing w:after="0"/>
              <w:rPr>
                <w:sz w:val="20"/>
                <w:szCs w:val="20"/>
                <w:color w:val="auto"/>
              </w:rPr>
            </w:pPr>
            <w:r>
              <w:rPr>
                <w:rFonts w:ascii="Arial" w:cs="Arial" w:eastAsia="Arial" w:hAnsi="Arial"/>
                <w:sz w:val="18"/>
                <w:szCs w:val="18"/>
                <w:color w:val="auto"/>
              </w:rPr>
              <w:t>4,700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2,988</w:t>
            </w:r>
          </w:p>
        </w:tc>
        <w:tc>
          <w:tcPr>
            <w:tcW w:w="640" w:type="dxa"/>
            <w:vAlign w:val="bottom"/>
          </w:tcPr>
          <w:p>
            <w:pPr>
              <w:jc w:val="right"/>
              <w:spacing w:after="0"/>
              <w:rPr>
                <w:sz w:val="20"/>
                <w:szCs w:val="20"/>
                <w:color w:val="auto"/>
              </w:rPr>
            </w:pPr>
            <w:r>
              <w:rPr>
                <w:rFonts w:ascii="Arial" w:cs="Arial" w:eastAsia="Arial" w:hAnsi="Arial"/>
                <w:sz w:val="18"/>
                <w:szCs w:val="18"/>
                <w:color w:val="auto"/>
              </w:rPr>
              <w:t>296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2,694,426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60,228,712</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656,447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274,598</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162,487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560,700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968,328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62,851,272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080" w:type="dxa"/>
            <w:vAlign w:val="bottom"/>
            <w:gridSpan w:val="2"/>
          </w:tcPr>
          <w:p>
            <w:pPr>
              <w:jc w:val="right"/>
              <w:ind w:right="142"/>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center"/>
              <w:ind w:right="200"/>
              <w:spacing w:after="0"/>
              <w:rPr>
                <w:sz w:val="20"/>
                <w:szCs w:val="20"/>
                <w:color w:val="auto"/>
              </w:rPr>
            </w:pPr>
            <w:r>
              <w:rPr>
                <w:rFonts w:ascii="Arial" w:cs="Arial" w:eastAsia="Arial" w:hAnsi="Arial"/>
                <w:sz w:val="14"/>
                <w:szCs w:val="14"/>
                <w:color w:val="auto"/>
                <w:w w:val="88"/>
              </w:rPr>
              <w:t>90 Days or</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4"/>
          </w:tcPr>
          <w:p>
            <w:pPr>
              <w:jc w:val="center"/>
              <w:ind w:right="200"/>
              <w:spacing w:after="0" w:line="149" w:lineRule="exact"/>
              <w:rPr>
                <w:sz w:val="20"/>
                <w:szCs w:val="20"/>
                <w:color w:val="auto"/>
              </w:rPr>
            </w:pPr>
            <w:r>
              <w:rPr>
                <w:rFonts w:ascii="Arial" w:cs="Arial" w:eastAsia="Arial" w:hAnsi="Arial"/>
                <w:sz w:val="14"/>
                <w:szCs w:val="14"/>
                <w:color w:val="auto"/>
                <w:w w:val="83"/>
              </w:rPr>
              <w:t>more past</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gridSpan w:val="2"/>
          </w:tcPr>
          <w:p>
            <w:pPr>
              <w:jc w:val="center"/>
              <w:ind w:left="114"/>
              <w:spacing w:after="0" w:line="159" w:lineRule="exact"/>
              <w:rPr>
                <w:sz w:val="20"/>
                <w:szCs w:val="20"/>
                <w:color w:val="auto"/>
              </w:rPr>
            </w:pPr>
            <w:r>
              <w:rPr>
                <w:rFonts w:ascii="Arial" w:cs="Arial" w:eastAsia="Arial" w:hAnsi="Arial"/>
                <w:sz w:val="14"/>
                <w:szCs w:val="14"/>
                <w:color w:val="auto"/>
                <w:w w:val="89"/>
              </w:rPr>
              <w:t>30-89</w:t>
            </w:r>
          </w:p>
        </w:tc>
        <w:tc>
          <w:tcPr>
            <w:tcW w:w="200" w:type="dxa"/>
            <w:vAlign w:val="bottom"/>
          </w:tcPr>
          <w:p>
            <w:pPr>
              <w:spacing w:after="0"/>
              <w:rPr>
                <w:sz w:val="13"/>
                <w:szCs w:val="13"/>
                <w:color w:val="auto"/>
              </w:rPr>
            </w:pPr>
          </w:p>
        </w:tc>
        <w:tc>
          <w:tcPr>
            <w:tcW w:w="1680" w:type="dxa"/>
            <w:vAlign w:val="bottom"/>
            <w:gridSpan w:val="4"/>
          </w:tcPr>
          <w:p>
            <w:pPr>
              <w:jc w:val="center"/>
              <w:ind w:right="200"/>
              <w:spacing w:after="0" w:line="159" w:lineRule="exact"/>
              <w:rPr>
                <w:sz w:val="20"/>
                <w:szCs w:val="20"/>
                <w:color w:val="auto"/>
              </w:rPr>
            </w:pPr>
            <w:r>
              <w:rPr>
                <w:rFonts w:ascii="Arial" w:cs="Arial" w:eastAsia="Arial" w:hAnsi="Arial"/>
                <w:sz w:val="14"/>
                <w:szCs w:val="14"/>
                <w:color w:val="auto"/>
                <w:w w:val="85"/>
              </w:rPr>
              <w:t>due and accruing</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3"/>
              </w:rPr>
              <w:t>Purchased</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7"/>
              </w:rPr>
              <w:t>Days</w:t>
            </w:r>
          </w:p>
        </w:tc>
        <w:tc>
          <w:tcPr>
            <w:tcW w:w="640" w:type="dxa"/>
            <w:vAlign w:val="bottom"/>
            <w:tcBorders>
              <w:top w:val="single" w:sz="8" w:color="auto"/>
            </w:tcBorders>
          </w:tcPr>
          <w:p>
            <w:pPr>
              <w:jc w:val="right"/>
              <w:ind w:right="99"/>
              <w:spacing w:after="0" w:line="131" w:lineRule="exact"/>
              <w:rPr>
                <w:sz w:val="20"/>
                <w:szCs w:val="20"/>
                <w:color w:val="auto"/>
              </w:rPr>
            </w:pPr>
            <w:r>
              <w:rPr>
                <w:rFonts w:ascii="Arial" w:cs="Arial" w:eastAsia="Arial" w:hAnsi="Arial"/>
                <w:sz w:val="14"/>
                <w:szCs w:val="14"/>
                <w:color w:val="auto"/>
              </w:rPr>
              <w:t>Non-</w:t>
            </w:r>
          </w:p>
        </w:tc>
        <w:tc>
          <w:tcPr>
            <w:tcW w:w="2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0"/>
              </w:rPr>
              <w:t>Acquired</w:t>
            </w:r>
          </w:p>
        </w:tc>
        <w:tc>
          <w:tcPr>
            <w:tcW w:w="200" w:type="dxa"/>
            <w:vAlign w:val="bottom"/>
          </w:tcPr>
          <w:p>
            <w:pPr>
              <w:spacing w:after="0"/>
              <w:rPr>
                <w:sz w:val="11"/>
                <w:szCs w:val="11"/>
                <w:color w:val="auto"/>
              </w:rPr>
            </w:pPr>
          </w:p>
        </w:tc>
        <w:tc>
          <w:tcPr>
            <w:tcW w:w="840" w:type="dxa"/>
            <w:vAlign w:val="bottom"/>
            <w:gridSpan w:val="2"/>
          </w:tcPr>
          <w:p>
            <w:pPr>
              <w:jc w:val="center"/>
              <w:ind w:right="200"/>
              <w:spacing w:after="0" w:line="131" w:lineRule="exact"/>
              <w:rPr>
                <w:sz w:val="20"/>
                <w:szCs w:val="20"/>
                <w:color w:val="auto"/>
              </w:rPr>
            </w:pPr>
            <w:r>
              <w:rPr>
                <w:rFonts w:ascii="Arial" w:cs="Arial" w:eastAsia="Arial" w:hAnsi="Arial"/>
                <w:sz w:val="14"/>
                <w:szCs w:val="14"/>
                <w:color w:val="auto"/>
                <w:w w:val="89"/>
              </w:rPr>
              <w:t>impaired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880" w:type="dxa"/>
            <w:vAlign w:val="bottom"/>
          </w:tcPr>
          <w:p>
            <w:pPr>
              <w:jc w:val="right"/>
              <w:ind w:right="154"/>
              <w:spacing w:after="0" w:line="159" w:lineRule="exact"/>
              <w:rPr>
                <w:sz w:val="20"/>
                <w:szCs w:val="20"/>
                <w:color w:val="auto"/>
              </w:rPr>
            </w:pPr>
            <w:r>
              <w:rPr>
                <w:rFonts w:ascii="Arial" w:cs="Arial" w:eastAsia="Arial" w:hAnsi="Arial"/>
                <w:sz w:val="14"/>
                <w:szCs w:val="14"/>
                <w:color w:val="auto"/>
              </w:rPr>
              <w:t>Current</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1"/>
              </w:rPr>
              <w:t>past due</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acquired</w:t>
            </w:r>
          </w:p>
        </w:tc>
        <w:tc>
          <w:tcPr>
            <w:tcW w:w="20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(a)</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3"/>
              </w:rPr>
              <w:t>(b)</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93"/>
              </w:rPr>
              <w:t>Nonaccrual</w:t>
            </w:r>
          </w:p>
        </w:tc>
        <w:tc>
          <w:tcPr>
            <w:tcW w:w="200" w:type="dxa"/>
            <w:vAlign w:val="bottom"/>
          </w:tcPr>
          <w:p>
            <w:pPr>
              <w:spacing w:after="0"/>
              <w:rPr>
                <w:sz w:val="13"/>
                <w:szCs w:val="13"/>
                <w:color w:val="auto"/>
              </w:rPr>
            </w:pPr>
          </w:p>
        </w:tc>
        <w:tc>
          <w:tcPr>
            <w:tcW w:w="9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color w:val="auto"/>
                <w:w w:val="94"/>
              </w:rPr>
              <w:t>(in thousands)</w:t>
            </w: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$15,493,803</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37,112</w:t>
            </w:r>
          </w:p>
        </w:tc>
        <w:tc>
          <w:tcPr>
            <w:tcW w:w="640" w:type="dxa"/>
            <w:vAlign w:val="bottom"/>
          </w:tcPr>
          <w:p>
            <w:pPr>
              <w:jc w:val="right"/>
              <w:spacing w:after="0"/>
              <w:rPr>
                <w:sz w:val="20"/>
                <w:szCs w:val="20"/>
                <w:color w:val="auto"/>
              </w:rPr>
            </w:pPr>
            <w:r>
              <w:rPr>
                <w:rFonts w:ascii="Arial" w:cs="Arial" w:eastAsia="Arial" w:hAnsi="Arial"/>
                <w:sz w:val="18"/>
                <w:szCs w:val="18"/>
                <w:color w:val="auto"/>
              </w:rPr>
              <w:t>7,601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8,560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23,762</w:t>
            </w:r>
          </w:p>
        </w:tc>
        <w:tc>
          <w:tcPr>
            <w:tcW w:w="760" w:type="dxa"/>
            <w:vAlign w:val="bottom"/>
          </w:tcPr>
          <w:p>
            <w:pPr>
              <w:jc w:val="right"/>
              <w:spacing w:after="0"/>
              <w:rPr>
                <w:sz w:val="20"/>
                <w:szCs w:val="20"/>
                <w:color w:val="auto"/>
              </w:rPr>
            </w:pPr>
            <w:r>
              <w:rPr>
                <w:rFonts w:ascii="Arial" w:cs="Arial" w:eastAsia="Arial" w:hAnsi="Arial"/>
                <w:sz w:val="18"/>
                <w:szCs w:val="18"/>
                <w:color w:val="auto"/>
              </w:rPr>
              <w:t>163,598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15,734,436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Commercial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19,658,761</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172,641</w:t>
            </w:r>
          </w:p>
        </w:tc>
        <w:tc>
          <w:tcPr>
            <w:tcW w:w="640" w:type="dxa"/>
            <w:vAlign w:val="bottom"/>
          </w:tcPr>
          <w:p>
            <w:pPr>
              <w:jc w:val="right"/>
              <w:spacing w:after="0"/>
              <w:rPr>
                <w:sz w:val="20"/>
                <w:szCs w:val="20"/>
                <w:color w:val="auto"/>
              </w:rPr>
            </w:pPr>
            <w:r>
              <w:rPr>
                <w:rFonts w:ascii="Arial" w:cs="Arial" w:eastAsia="Arial" w:hAnsi="Arial"/>
                <w:sz w:val="18"/>
                <w:szCs w:val="18"/>
                <w:color w:val="auto"/>
              </w:rPr>
              <w:t>9,983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54,148</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192,804</w:t>
            </w:r>
          </w:p>
        </w:tc>
        <w:tc>
          <w:tcPr>
            <w:tcW w:w="760" w:type="dxa"/>
            <w:vAlign w:val="bottom"/>
          </w:tcPr>
          <w:p>
            <w:pPr>
              <w:jc w:val="right"/>
              <w:spacing w:after="0"/>
              <w:rPr>
                <w:sz w:val="20"/>
                <w:szCs w:val="20"/>
                <w:color w:val="auto"/>
              </w:rPr>
            </w:pPr>
            <w:r>
              <w:rPr>
                <w:rFonts w:ascii="Arial" w:cs="Arial" w:eastAsia="Arial" w:hAnsi="Arial"/>
                <w:sz w:val="18"/>
                <w:szCs w:val="18"/>
                <w:color w:val="auto"/>
              </w:rPr>
              <w:t>171,111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20,259,448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845,680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49,353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297,005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 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2,393,304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41,049</w:t>
            </w:r>
          </w:p>
        </w:tc>
        <w:tc>
          <w:tcPr>
            <w:tcW w:w="640" w:type="dxa"/>
            <w:vAlign w:val="bottom"/>
          </w:tcPr>
          <w:p>
            <w:pPr>
              <w:jc w:val="right"/>
              <w:spacing w:after="0"/>
              <w:rPr>
                <w:sz w:val="20"/>
                <w:szCs w:val="20"/>
                <w:color w:val="auto"/>
              </w:rPr>
            </w:pPr>
            <w:r>
              <w:rPr>
                <w:rFonts w:ascii="Arial" w:cs="Arial" w:eastAsia="Arial" w:hAnsi="Arial"/>
                <w:sz w:val="18"/>
                <w:szCs w:val="18"/>
                <w:color w:val="auto"/>
              </w:rPr>
              <w:t>968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23,582</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78,105</w:t>
            </w:r>
          </w:p>
        </w:tc>
        <w:tc>
          <w:tcPr>
            <w:tcW w:w="760" w:type="dxa"/>
            <w:vAlign w:val="bottom"/>
          </w:tcPr>
          <w:p>
            <w:pPr>
              <w:jc w:val="right"/>
              <w:spacing w:after="0"/>
              <w:rPr>
                <w:sz w:val="20"/>
                <w:szCs w:val="20"/>
                <w:color w:val="auto"/>
              </w:rPr>
            </w:pPr>
            <w:r>
              <w:rPr>
                <w:rFonts w:ascii="Arial" w:cs="Arial" w:eastAsia="Arial" w:hAnsi="Arial"/>
                <w:sz w:val="18"/>
                <w:szCs w:val="18"/>
                <w:color w:val="auto"/>
              </w:rPr>
              <w:t>106,325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2,643,333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6,626,182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256,017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250,472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37,982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56,741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7,400,075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Residential Alt-A</w:t>
            </w:r>
          </w:p>
        </w:tc>
        <w:tc>
          <w:tcPr>
            <w:tcW w:w="880" w:type="dxa"/>
            <w:vAlign w:val="bottom"/>
          </w:tcPr>
          <w:p>
            <w:pPr>
              <w:jc w:val="right"/>
              <w:spacing w:after="0"/>
              <w:rPr>
                <w:sz w:val="20"/>
                <w:szCs w:val="20"/>
                <w:color w:val="auto"/>
              </w:rPr>
            </w:pPr>
            <w:r>
              <w:rPr>
                <w:rFonts w:ascii="Arial" w:cs="Arial" w:eastAsia="Arial" w:hAnsi="Arial"/>
                <w:sz w:val="18"/>
                <w:szCs w:val="18"/>
                <w:color w:val="auto"/>
              </w:rPr>
              <w:t>383,834</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34,077</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105,179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523,090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Home equity lines and loans</w:t>
            </w:r>
          </w:p>
        </w:tc>
        <w:tc>
          <w:tcPr>
            <w:tcW w:w="880" w:type="dxa"/>
            <w:vAlign w:val="bottom"/>
          </w:tcPr>
          <w:p>
            <w:pPr>
              <w:jc w:val="right"/>
              <w:spacing w:after="0"/>
              <w:rPr>
                <w:sz w:val="20"/>
                <w:szCs w:val="20"/>
                <w:color w:val="auto"/>
              </w:rPr>
            </w:pPr>
            <w:r>
              <w:rPr>
                <w:rFonts w:ascii="Arial" w:cs="Arial" w:eastAsia="Arial" w:hAnsi="Arial"/>
                <w:sz w:val="18"/>
                <w:szCs w:val="18"/>
                <w:color w:val="auto"/>
              </w:rPr>
              <w:t>6,570,675</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43,516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15,409</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4,635</w:t>
            </w:r>
          </w:p>
        </w:tc>
        <w:tc>
          <w:tcPr>
            <w:tcW w:w="760" w:type="dxa"/>
            <w:vAlign w:val="bottom"/>
          </w:tcPr>
          <w:p>
            <w:pPr>
              <w:jc w:val="right"/>
              <w:spacing w:after="0"/>
              <w:rPr>
                <w:sz w:val="20"/>
                <w:szCs w:val="20"/>
                <w:color w:val="auto"/>
              </w:rPr>
            </w:pPr>
            <w:r>
              <w:rPr>
                <w:rFonts w:ascii="Arial" w:cs="Arial" w:eastAsia="Arial" w:hAnsi="Arial"/>
                <w:sz w:val="18"/>
                <w:szCs w:val="18"/>
                <w:color w:val="auto"/>
              </w:rPr>
              <w:t>47,150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6,681,385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2,644,330</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48,342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spacing w:after="0"/>
              <w:rPr>
                <w:sz w:val="20"/>
                <w:szCs w:val="20"/>
                <w:color w:val="auto"/>
              </w:rPr>
            </w:pPr>
            <w:r>
              <w:rPr>
                <w:rFonts w:ascii="Arial" w:cs="Arial" w:eastAsia="Arial" w:hAnsi="Arial"/>
                <w:sz w:val="18"/>
                <w:szCs w:val="18"/>
                <w:color w:val="auto"/>
              </w:rPr>
              <w:t>2,551,225</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43,547</w:t>
            </w:r>
          </w:p>
        </w:tc>
        <w:tc>
          <w:tcPr>
            <w:tcW w:w="640" w:type="dxa"/>
            <w:vAlign w:val="bottom"/>
          </w:tcPr>
          <w:p>
            <w:pPr>
              <w:jc w:val="right"/>
              <w:spacing w:after="0"/>
              <w:rPr>
                <w:sz w:val="20"/>
                <w:szCs w:val="20"/>
                <w:color w:val="auto"/>
              </w:rPr>
            </w:pPr>
            <w:r>
              <w:rPr>
                <w:rFonts w:ascii="Arial" w:cs="Arial" w:eastAsia="Arial" w:hAnsi="Arial"/>
                <w:sz w:val="18"/>
                <w:szCs w:val="18"/>
                <w:color w:val="auto"/>
              </w:rPr>
              <w:t>5,249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760" w:type="dxa"/>
            <w:vAlign w:val="bottom"/>
          </w:tcPr>
          <w:p>
            <w:pPr>
              <w:jc w:val="right"/>
              <w:spacing w:after="0"/>
              <w:rPr>
                <w:sz w:val="20"/>
                <w:szCs w:val="20"/>
                <w:color w:val="auto"/>
              </w:rPr>
            </w:pPr>
            <w:r>
              <w:rPr>
                <w:rFonts w:ascii="Arial" w:cs="Arial" w:eastAsia="Arial" w:hAnsi="Arial"/>
                <w:sz w:val="18"/>
                <w:szCs w:val="18"/>
                <w:color w:val="auto"/>
              </w:rPr>
              <w:t>23,126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2,625,797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57,167,794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725,654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287,876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653,362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1,097,581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60,096,005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were recorded at fair value.</w:t>
      </w:r>
    </w:p>
    <w:p>
      <w:pPr>
        <w:spacing w:after="0" w:line="164" w:lineRule="exact"/>
        <w:rPr>
          <w:rFonts w:ascii="Arial" w:cs="Arial" w:eastAsia="Arial" w:hAnsi="Arial"/>
          <w:sz w:val="18"/>
          <w:szCs w:val="18"/>
          <w:i w:val="1"/>
          <w:iCs w:val="1"/>
          <w:color w:val="auto"/>
        </w:rPr>
      </w:pPr>
    </w:p>
    <w:p>
      <w:pPr>
        <w:ind w:left="460"/>
        <w:spacing w:after="0"/>
        <w:rPr>
          <w:rFonts w:ascii="Arial" w:cs="Arial" w:eastAsia="Arial" w:hAnsi="Arial"/>
          <w:sz w:val="18"/>
          <w:szCs w:val="18"/>
          <w:i w:val="1"/>
          <w:iCs w:val="1"/>
          <w:color w:val="auto"/>
        </w:rPr>
      </w:pPr>
      <w:r>
        <w:rPr>
          <w:rFonts w:ascii="Arial" w:cs="Arial" w:eastAsia="Arial" w:hAnsi="Arial"/>
          <w:sz w:val="18"/>
          <w:szCs w:val="18"/>
          <w:color w:val="auto"/>
        </w:rPr>
        <w:t>Changes in the allowance for credit losses for the three months ended June 30,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190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Real Estate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0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5"/>
              </w:rPr>
              <w:t>Leasing, etc.</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8"/>
              </w:rPr>
              <w:t>Commercial</w:t>
            </w: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86"/>
              </w:rPr>
              <w:t>Consumer</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$ 239,273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97,301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142,912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72,966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19,103</w:t>
            </w: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(3,309)</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5,587</w:t>
            </w:r>
          </w:p>
        </w:tc>
        <w:tc>
          <w:tcPr>
            <w:tcW w:w="620" w:type="dxa"/>
            <w:vAlign w:val="bottom"/>
          </w:tcPr>
          <w:p>
            <w:pPr>
              <w:jc w:val="right"/>
              <w:spacing w:after="0"/>
              <w:rPr>
                <w:sz w:val="20"/>
                <w:szCs w:val="20"/>
                <w:color w:val="auto"/>
              </w:rPr>
            </w:pPr>
            <w:r>
              <w:rPr>
                <w:rFonts w:ascii="Arial" w:cs="Arial" w:eastAsia="Arial" w:hAnsi="Arial"/>
                <w:sz w:val="18"/>
                <w:szCs w:val="18"/>
                <w:color w:val="auto"/>
              </w:rPr>
              <w:t>38,427</w:t>
            </w:r>
          </w:p>
        </w:tc>
        <w:tc>
          <w:tcPr>
            <w:tcW w:w="3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w w:val="79"/>
              </w:rPr>
              <w:t>192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(16,078)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(13,056)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(11,407)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(23,621)</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(64,162)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12,184</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0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(13,648)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(11,724)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(9,619)</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(16,987)</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(51,978)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$ 244,728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93,269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164,352</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8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three months ended June 30,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Commercial,</w:t>
            </w:r>
          </w:p>
        </w:tc>
        <w:tc>
          <w:tcPr>
            <w:tcW w:w="1880" w:type="dxa"/>
            <w:vAlign w:val="bottom"/>
            <w:gridSpan w:val="4"/>
            <w:vMerge w:val="restart"/>
          </w:tcPr>
          <w:p>
            <w:pPr>
              <w:jc w:val="right"/>
              <w:ind w:right="78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0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color w:val="auto"/>
                <w:w w:val="90"/>
              </w:rPr>
              <w:t>Financial,</w:t>
            </w:r>
          </w:p>
        </w:tc>
        <w:tc>
          <w:tcPr>
            <w:tcW w:w="188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5"/>
              </w:rPr>
              <w:t>Leasing, etc.</w:t>
            </w:r>
          </w:p>
        </w:tc>
        <w:tc>
          <w:tcPr>
            <w:tcW w:w="9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8"/>
              </w:rPr>
              <w:t>Commercial</w:t>
            </w:r>
          </w:p>
        </w:tc>
        <w:tc>
          <w:tcPr>
            <w:tcW w:w="9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9"/>
              </w:rPr>
              <w:t>Consumer</w:t>
            </w: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6"/>
              </w:rPr>
              <w:t>Unallocated</w:t>
            </w: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$ 215,659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391,107</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87,526</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137,351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72,060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903,703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6,870</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22,735</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13,654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19,852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3020" w:type="dxa"/>
            <w:vAlign w:val="bottom"/>
            <w:gridSpan w:val="3"/>
          </w:tcPr>
          <w:p>
            <w:pPr>
              <w:jc w:val="right"/>
              <w:ind w:right="240"/>
              <w:spacing w:after="0"/>
              <w:rPr>
                <w:sz w:val="20"/>
                <w:szCs w:val="20"/>
                <w:color w:val="auto"/>
              </w:rPr>
            </w:pPr>
            <w:r>
              <w:rPr>
                <w:rFonts w:ascii="Arial" w:cs="Arial" w:eastAsia="Arial" w:hAnsi="Arial"/>
                <w:sz w:val="18"/>
                <w:szCs w:val="18"/>
                <w:color w:val="auto"/>
              </w:rPr>
              <w:t>(14,923)</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(15,915)</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(15,872)</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(24,940)</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2,033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5,046</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gridSpan w:val="2"/>
            <w:vMerge w:val="continue"/>
          </w:tcPr>
          <w:p>
            <w:pPr>
              <w:spacing w:after="0"/>
              <w:rPr>
                <w:sz w:val="19"/>
                <w:szCs w:val="19"/>
                <w:color w:val="auto"/>
              </w:rPr>
            </w:pPr>
          </w:p>
        </w:tc>
        <w:tc>
          <w:tcPr>
            <w:tcW w:w="20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(12,650)</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(12,731)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(13,839)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(19,894)</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(59,114)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$ 209,879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401,111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87,341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137,309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71,949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907,589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2012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Commercial,</w:t>
            </w:r>
          </w:p>
        </w:tc>
        <w:tc>
          <w:tcPr>
            <w:tcW w:w="190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8"/>
              </w:rPr>
              <w:t>Leasing, etc.</w:t>
            </w: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5"/>
              </w:rPr>
              <w:t>Commercial</w:t>
            </w: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9"/>
              </w:rPr>
              <w:t>Consumer</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3"/>
                <w:szCs w:val="13"/>
                <w:color w:val="auto"/>
              </w:rPr>
            </w:pPr>
          </w:p>
        </w:tc>
        <w:tc>
          <w:tcPr>
            <w:tcW w:w="8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$ 234,022</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367,637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91,915</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143,121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71,595</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908,290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tcPr>
          <w:p>
            <w:pPr>
              <w:jc w:val="right"/>
              <w:spacing w:after="0"/>
              <w:rPr>
                <w:sz w:val="20"/>
                <w:szCs w:val="20"/>
                <w:color w:val="auto"/>
              </w:rPr>
            </w:pPr>
            <w:r>
              <w:rPr>
                <w:rFonts w:ascii="Arial" w:cs="Arial" w:eastAsia="Arial" w:hAnsi="Arial"/>
                <w:sz w:val="18"/>
                <w:szCs w:val="18"/>
                <w:color w:val="auto"/>
              </w:rPr>
              <w:t>29,224</w:t>
            </w:r>
          </w:p>
        </w:tc>
        <w:tc>
          <w:tcPr>
            <w:tcW w:w="3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(5,569)</w:t>
            </w:r>
          </w:p>
        </w:tc>
        <w:tc>
          <w:tcPr>
            <w:tcW w:w="600" w:type="dxa"/>
            <w:vAlign w:val="bottom"/>
          </w:tcPr>
          <w:p>
            <w:pPr>
              <w:jc w:val="right"/>
              <w:spacing w:after="0"/>
              <w:rPr>
                <w:sz w:val="20"/>
                <w:szCs w:val="20"/>
                <w:color w:val="auto"/>
              </w:rPr>
            </w:pPr>
            <w:r>
              <w:rPr>
                <w:rFonts w:ascii="Arial" w:cs="Arial" w:eastAsia="Arial" w:hAnsi="Arial"/>
                <w:sz w:val="18"/>
                <w:szCs w:val="18"/>
                <w:color w:val="auto"/>
              </w:rPr>
              <w:t>21,817</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61,965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(24,115)</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(23,596)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(24,125)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(52,602)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24,176</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(18,518)</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(20,547)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(20,463)</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(40,734)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$ 244,728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341,521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93,269</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164,352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73,158</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917,028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allowance for credit losses for the six months ended June 30, 2011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Commercial,</w:t>
            </w:r>
          </w:p>
        </w:tc>
        <w:tc>
          <w:tcPr>
            <w:tcW w:w="1900" w:type="dxa"/>
            <w:vAlign w:val="bottom"/>
            <w:gridSpan w:val="4"/>
            <w:vMerge w:val="restart"/>
          </w:tcPr>
          <w:p>
            <w:pPr>
              <w:jc w:val="right"/>
              <w:ind w:right="8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0"/>
              </w:rPr>
              <w:t>Financial,</w:t>
            </w:r>
          </w:p>
        </w:tc>
        <w:tc>
          <w:tcPr>
            <w:tcW w:w="19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7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2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8"/>
              </w:rPr>
              <w:t>Leasing, etc.</w:t>
            </w:r>
          </w:p>
        </w:tc>
        <w:tc>
          <w:tcPr>
            <w:tcW w:w="98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5"/>
              </w:rPr>
              <w:t>Commercial</w:t>
            </w:r>
          </w:p>
        </w:tc>
        <w:tc>
          <w:tcPr>
            <w:tcW w:w="92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83"/>
              </w:rPr>
              <w:t>Residential</w:t>
            </w: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w w:val="89"/>
              </w:rPr>
              <w:t>Consumer</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86"/>
              </w:rPr>
              <w:t>Unallocated</w:t>
            </w:r>
          </w:p>
        </w:tc>
        <w:tc>
          <w:tcPr>
            <w:tcW w:w="300" w:type="dxa"/>
            <w:vAlign w:val="bottom"/>
          </w:tcPr>
          <w:p>
            <w:pPr>
              <w:spacing w:after="0"/>
              <w:rPr>
                <w:sz w:val="13"/>
                <w:szCs w:val="13"/>
                <w:color w:val="auto"/>
              </w:rPr>
            </w:pPr>
          </w:p>
        </w:tc>
        <w:tc>
          <w:tcPr>
            <w:tcW w:w="8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4"/>
          </w:tcPr>
          <w:p>
            <w:pPr>
              <w:jc w:val="right"/>
              <w:ind w:right="72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$ 212,579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400,562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133,067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700" w:type="dxa"/>
            <w:vAlign w:val="bottom"/>
          </w:tcPr>
          <w:p>
            <w:pPr>
              <w:jc w:val="right"/>
              <w:spacing w:after="0"/>
              <w:rPr>
                <w:sz w:val="20"/>
                <w:szCs w:val="20"/>
                <w:color w:val="auto"/>
              </w:rPr>
            </w:pPr>
            <w:r>
              <w:rPr>
                <w:rFonts w:ascii="Arial" w:cs="Arial" w:eastAsia="Arial" w:hAnsi="Arial"/>
                <w:sz w:val="18"/>
                <w:szCs w:val="18"/>
                <w:color w:val="auto"/>
              </w:rPr>
              <w:t>21,812</w:t>
            </w:r>
          </w:p>
        </w:tc>
        <w:tc>
          <w:tcPr>
            <w:tcW w:w="3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37,510</w:t>
            </w:r>
          </w:p>
        </w:tc>
        <w:tc>
          <w:tcPr>
            <w:tcW w:w="600" w:type="dxa"/>
            <w:vAlign w:val="bottom"/>
          </w:tcPr>
          <w:p>
            <w:pPr>
              <w:jc w:val="right"/>
              <w:spacing w:after="0"/>
              <w:rPr>
                <w:sz w:val="20"/>
                <w:szCs w:val="20"/>
                <w:color w:val="auto"/>
              </w:rPr>
            </w:pPr>
            <w:r>
              <w:rPr>
                <w:rFonts w:ascii="Arial" w:cs="Arial" w:eastAsia="Arial" w:hAnsi="Arial"/>
                <w:sz w:val="18"/>
                <w:szCs w:val="18"/>
                <w:color w:val="auto"/>
              </w:rPr>
              <w:t>29,495</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47,616</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420"/>
              <w:spacing w:after="0"/>
              <w:rPr>
                <w:sz w:val="20"/>
                <w:szCs w:val="20"/>
                <w:color w:val="auto"/>
              </w:rPr>
            </w:pPr>
            <w:r>
              <w:rPr>
                <w:rFonts w:ascii="Arial" w:cs="Arial" w:eastAsia="Arial" w:hAnsi="Arial"/>
                <w:sz w:val="18"/>
                <w:szCs w:val="18"/>
                <w:color w:val="auto"/>
              </w:rPr>
              <w:t>Charge-offs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(28,950)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(40,494)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(32,039)</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(53,261)</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(154,744)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Recoveries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21,392</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charge-offs</w:t>
            </w: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2"/>
            <w:vMerge w:val="continue"/>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(24,512)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(36,961)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(28,505)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(43,374)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(133,352)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$ 209,879</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401,111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87,341</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137,309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71,949</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907,589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Despite the above allocation, the allowance for credit losses is general in nature and is available to absorb losses from any portfolio segment.</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establishing the allowance for credit losses, the Company estimates losses attributable to specific troubled credits identified through both normal and detailed or intensified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 by loan analysis of larger balance commercial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an extensive loan grading system which is applied to all commercial and commercial real estate credits on an individual loan basis. Loan officers are responsible for continually assigning grades to these loans based on standards outlined in the Company’s Credit Policy. Internal loan grades are also monitored by the Company’s loan review department to ensure consistency and strict adherence to the prescribed standards.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 As updated appraisals are obtained on individual loans or other events in the market place indicate that collateral values have significantly changed, individual loan grades are adjusted as appropriate. Changes in other factors cited may also lead to loan grade changes at anytime. Except for consumer and residential mortgage loans that are considered smaller balance homogenous loans and acquired loans that are evaluated on an aggregated basis, the Company considers a loan to be impaired for purposes of applying GAAP when, based on current information and events, it is probable that the Company will be unable to collect all amounts according to the contractual terms of the loan agreement or the loan is delinquent 90 days. Regardless of loan type, the Company considers a loan to be impaired if it qualifies as a troubled debt restructuring. Modified loans, including smaller balance homogenous loans, that are considered to be troubled debt restructurings are evaluated for impairment giving consideration to the impact of the modified loan terms on the present value of the loan’s expected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provide information with respect to impaired loans and leases as of June 30, 2012 and December 31, 2011 and for the three months and six months ended June 30, 2012 and June 30,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4"/>
                <w:szCs w:val="14"/>
                <w:color w:val="auto"/>
                <w:w w:val="90"/>
              </w:rPr>
              <w:t>June 30, 2012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rPr>
              <w:t>December 31, 2011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90"/>
              </w:rPr>
              <w:t>Unpaid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center"/>
              <w:ind w:right="220"/>
              <w:spacing w:after="0" w:line="131" w:lineRule="exact"/>
              <w:rPr>
                <w:sz w:val="20"/>
                <w:szCs w:val="20"/>
                <w:color w:val="auto"/>
              </w:rPr>
            </w:pPr>
            <w:r>
              <w:rPr>
                <w:rFonts w:ascii="Arial" w:cs="Arial" w:eastAsia="Arial" w:hAnsi="Arial"/>
                <w:sz w:val="14"/>
                <w:szCs w:val="14"/>
                <w:color w:val="auto"/>
                <w:w w:val="85"/>
              </w:rPr>
              <w:t>Unpaid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Recorded</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principal</w:t>
            </w:r>
          </w:p>
        </w:tc>
        <w:tc>
          <w:tcPr>
            <w:tcW w:w="200" w:type="dxa"/>
            <w:vAlign w:val="bottom"/>
          </w:tcPr>
          <w:p>
            <w:pPr>
              <w:spacing w:after="0"/>
              <w:rPr>
                <w:sz w:val="12"/>
                <w:szCs w:val="12"/>
                <w:color w:val="auto"/>
              </w:rPr>
            </w:pPr>
          </w:p>
        </w:tc>
        <w:tc>
          <w:tcPr>
            <w:tcW w:w="8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74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8"/>
              </w:rPr>
              <w:t>Recorded</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principal</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40"/>
              <w:spacing w:after="0" w:line="159" w:lineRule="exact"/>
              <w:rPr>
                <w:sz w:val="20"/>
                <w:szCs w:val="20"/>
                <w:color w:val="auto"/>
              </w:rPr>
            </w:pPr>
            <w:r>
              <w:rPr>
                <w:rFonts w:ascii="Arial" w:cs="Arial" w:eastAsia="Arial" w:hAnsi="Arial"/>
                <w:sz w:val="14"/>
                <w:szCs w:val="14"/>
                <w:color w:val="auto"/>
                <w:w w:val="88"/>
              </w:rPr>
              <w:t>investment</w:t>
            </w:r>
          </w:p>
        </w:tc>
        <w:tc>
          <w:tcPr>
            <w:tcW w:w="14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5"/>
              </w:rPr>
              <w:t>balance</w:t>
            </w:r>
          </w:p>
        </w:tc>
        <w:tc>
          <w:tcPr>
            <w:tcW w:w="200" w:type="dxa"/>
            <w:vAlign w:val="bottom"/>
          </w:tcPr>
          <w:p>
            <w:pPr>
              <w:spacing w:after="0"/>
              <w:rPr>
                <w:sz w:val="13"/>
                <w:szCs w:val="13"/>
                <w:color w:val="auto"/>
              </w:rPr>
            </w:pPr>
          </w:p>
        </w:tc>
        <w:tc>
          <w:tcPr>
            <w:tcW w:w="84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w w:val="94"/>
              </w:rPr>
              <w:t>investment</w:t>
            </w:r>
          </w:p>
        </w:tc>
        <w:tc>
          <w:tcPr>
            <w:tcW w:w="22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5"/>
              </w:rPr>
              <w:t>balance</w:t>
            </w:r>
          </w:p>
        </w:tc>
        <w:tc>
          <w:tcPr>
            <w:tcW w:w="7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3"/>
          </w:tcPr>
          <w:p>
            <w:pPr>
              <w:jc w:val="right"/>
              <w:ind w:right="394"/>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118,670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139,477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39,134</w:t>
            </w:r>
          </w:p>
        </w:tc>
        <w:tc>
          <w:tcPr>
            <w:tcW w:w="740" w:type="dxa"/>
            <w:vAlign w:val="bottom"/>
          </w:tcPr>
          <w:p>
            <w:pPr>
              <w:jc w:val="right"/>
              <w:spacing w:after="0"/>
              <w:rPr>
                <w:sz w:val="20"/>
                <w:szCs w:val="20"/>
                <w:color w:val="auto"/>
              </w:rPr>
            </w:pPr>
            <w:r>
              <w:rPr>
                <w:rFonts w:ascii="Arial" w:cs="Arial" w:eastAsia="Arial" w:hAnsi="Arial"/>
                <w:sz w:val="18"/>
                <w:szCs w:val="18"/>
                <w:color w:val="auto"/>
              </w:rPr>
              <w:t>118,538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145,510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116,765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148,232</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19,323</w:t>
            </w:r>
          </w:p>
        </w:tc>
        <w:tc>
          <w:tcPr>
            <w:tcW w:w="740" w:type="dxa"/>
            <w:vAlign w:val="bottom"/>
          </w:tcPr>
          <w:p>
            <w:pPr>
              <w:jc w:val="right"/>
              <w:spacing w:after="0"/>
              <w:rPr>
                <w:sz w:val="20"/>
                <w:szCs w:val="20"/>
                <w:color w:val="auto"/>
              </w:rPr>
            </w:pPr>
            <w:r>
              <w:rPr>
                <w:rFonts w:ascii="Arial" w:cs="Arial" w:eastAsia="Arial" w:hAnsi="Arial"/>
                <w:sz w:val="18"/>
                <w:szCs w:val="18"/>
                <w:color w:val="auto"/>
              </w:rPr>
              <w:t>102,886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128,456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135,172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243,663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159,293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280,869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81,077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89,410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12,404</w:t>
            </w:r>
          </w:p>
        </w:tc>
        <w:tc>
          <w:tcPr>
            <w:tcW w:w="740" w:type="dxa"/>
            <w:vAlign w:val="bottom"/>
          </w:tcPr>
          <w:p>
            <w:pPr>
              <w:jc w:val="right"/>
              <w:spacing w:after="0"/>
              <w:rPr>
                <w:sz w:val="20"/>
                <w:szCs w:val="20"/>
                <w:color w:val="auto"/>
              </w:rPr>
            </w:pPr>
            <w:r>
              <w:rPr>
                <w:rFonts w:ascii="Arial" w:cs="Arial" w:eastAsia="Arial" w:hAnsi="Arial"/>
                <w:sz w:val="18"/>
                <w:szCs w:val="18"/>
                <w:color w:val="auto"/>
              </w:rPr>
              <w:t>20,234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24,639</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127,032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101,882</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119,498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136,995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150,849</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23,000</w:t>
            </w:r>
          </w:p>
        </w:tc>
        <w:tc>
          <w:tcPr>
            <w:tcW w:w="740" w:type="dxa"/>
            <w:vAlign w:val="bottom"/>
          </w:tcPr>
          <w:p>
            <w:pPr>
              <w:jc w:val="right"/>
              <w:spacing w:after="0"/>
              <w:rPr>
                <w:sz w:val="20"/>
                <w:szCs w:val="20"/>
                <w:color w:val="auto"/>
              </w:rPr>
            </w:pPr>
            <w:r>
              <w:rPr>
                <w:rFonts w:ascii="Arial" w:cs="Arial" w:eastAsia="Arial" w:hAnsi="Arial"/>
                <w:sz w:val="18"/>
                <w:szCs w:val="18"/>
                <w:color w:val="auto"/>
              </w:rPr>
              <w:t>150,396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162,978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13,327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2,986</w:t>
            </w:r>
          </w:p>
        </w:tc>
        <w:tc>
          <w:tcPr>
            <w:tcW w:w="740" w:type="dxa"/>
            <w:vAlign w:val="bottom"/>
          </w:tcPr>
          <w:p>
            <w:pPr>
              <w:jc w:val="right"/>
              <w:spacing w:after="0"/>
              <w:rPr>
                <w:sz w:val="20"/>
                <w:szCs w:val="20"/>
                <w:color w:val="auto"/>
              </w:rPr>
            </w:pPr>
            <w:r>
              <w:rPr>
                <w:rFonts w:ascii="Arial" w:cs="Arial" w:eastAsia="Arial" w:hAnsi="Arial"/>
                <w:sz w:val="18"/>
                <w:szCs w:val="18"/>
                <w:color w:val="auto"/>
              </w:rPr>
              <w:t>9,385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51,649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15,324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770,780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974,217</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154,396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934,731</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0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1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financial, leasing, etc.</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52,473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60,778</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Real estate:</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79,604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71,636</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91,118</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 builder and developer</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110,954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128,880</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133,156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177,277</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commercial construction</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89,862</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17,990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24,930</w:t>
            </w:r>
          </w:p>
        </w:tc>
        <w:tc>
          <w:tcPr>
            <w:tcW w:w="20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25,625</w:t>
            </w:r>
          </w:p>
        </w:tc>
        <w:tc>
          <w:tcPr>
            <w:tcW w:w="22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Alt-A</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62,379</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34,356</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60,942</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273,216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357,652</w:t>
            </w:r>
          </w:p>
        </w:tc>
        <w:tc>
          <w:tcPr>
            <w:tcW w:w="200" w:type="dxa"/>
            <w:vAlign w:val="bottom"/>
          </w:tcPr>
          <w:p>
            <w:pPr>
              <w:spacing w:after="0"/>
              <w:rPr>
                <w:sz w:val="20"/>
                <w:szCs w:val="20"/>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398,590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505,602</w:t>
            </w:r>
          </w:p>
        </w:tc>
        <w:tc>
          <w:tcPr>
            <w:tcW w:w="220" w:type="dxa"/>
            <w:vAlign w:val="bottom"/>
          </w:tcPr>
          <w:p>
            <w:pPr>
              <w:spacing w:after="0"/>
              <w:rPr>
                <w:sz w:val="20"/>
                <w:szCs w:val="20"/>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financial, leasing, etc.</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161,849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191,950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39,134</w:t>
            </w:r>
          </w:p>
        </w:tc>
        <w:tc>
          <w:tcPr>
            <w:tcW w:w="740" w:type="dxa"/>
            <w:vAlign w:val="bottom"/>
          </w:tcPr>
          <w:p>
            <w:pPr>
              <w:jc w:val="right"/>
              <w:spacing w:after="0"/>
              <w:rPr>
                <w:sz w:val="20"/>
                <w:szCs w:val="20"/>
                <w:color w:val="auto"/>
              </w:rPr>
            </w:pPr>
            <w:r>
              <w:rPr>
                <w:rFonts w:ascii="Arial" w:cs="Arial" w:eastAsia="Arial" w:hAnsi="Arial"/>
                <w:sz w:val="18"/>
                <w:szCs w:val="18"/>
                <w:color w:val="auto"/>
              </w:rPr>
              <w:t>171,642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206,288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Commercial</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179,294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227,836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19,323</w:t>
            </w:r>
          </w:p>
        </w:tc>
        <w:tc>
          <w:tcPr>
            <w:tcW w:w="740" w:type="dxa"/>
            <w:vAlign w:val="bottom"/>
          </w:tcPr>
          <w:p>
            <w:pPr>
              <w:jc w:val="right"/>
              <w:spacing w:after="0"/>
              <w:rPr>
                <w:sz w:val="20"/>
                <w:szCs w:val="20"/>
                <w:color w:val="auto"/>
              </w:rPr>
            </w:pPr>
            <w:r>
              <w:rPr>
                <w:rFonts w:ascii="Arial" w:cs="Arial" w:eastAsia="Arial" w:hAnsi="Arial"/>
                <w:sz w:val="18"/>
                <w:szCs w:val="18"/>
                <w:color w:val="auto"/>
              </w:rPr>
              <w:t>174,522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219,574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 builder and developer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246,126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372,543</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33,490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458,146</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 commercial construction</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86,053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98,796</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12,404</w:t>
            </w:r>
          </w:p>
        </w:tc>
        <w:tc>
          <w:tcPr>
            <w:tcW w:w="740" w:type="dxa"/>
            <w:vAlign w:val="bottom"/>
          </w:tcPr>
          <w:p>
            <w:pPr>
              <w:jc w:val="right"/>
              <w:spacing w:after="0"/>
              <w:rPr>
                <w:sz w:val="20"/>
                <w:szCs w:val="20"/>
                <w:color w:val="auto"/>
              </w:rPr>
            </w:pPr>
            <w:r>
              <w:rPr>
                <w:rFonts w:ascii="Arial" w:cs="Arial" w:eastAsia="Arial" w:hAnsi="Arial"/>
                <w:sz w:val="18"/>
                <w:szCs w:val="18"/>
                <w:color w:val="auto"/>
              </w:rPr>
              <w:t>106,886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114,501</w:t>
            </w:r>
          </w:p>
        </w:tc>
        <w:tc>
          <w:tcPr>
            <w:tcW w:w="62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151,962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145,123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Residential Alt-A</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170,583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213,228</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23,000</w:t>
            </w:r>
          </w:p>
        </w:tc>
        <w:tc>
          <w:tcPr>
            <w:tcW w:w="740" w:type="dxa"/>
            <w:vAlign w:val="bottom"/>
          </w:tcPr>
          <w:p>
            <w:pPr>
              <w:jc w:val="right"/>
              <w:spacing w:after="0"/>
              <w:rPr>
                <w:sz w:val="20"/>
                <w:szCs w:val="20"/>
                <w:color w:val="auto"/>
              </w:rPr>
            </w:pPr>
            <w:r>
              <w:rPr>
                <w:rFonts w:ascii="Arial" w:cs="Arial" w:eastAsia="Arial" w:hAnsi="Arial"/>
                <w:sz w:val="18"/>
                <w:szCs w:val="18"/>
                <w:color w:val="auto"/>
              </w:rPr>
              <w:t>184,752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223,920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Home equity lines and loans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13,327</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2,986</w:t>
            </w:r>
          </w:p>
        </w:tc>
        <w:tc>
          <w:tcPr>
            <w:tcW w:w="740" w:type="dxa"/>
            <w:vAlign w:val="bottom"/>
          </w:tcPr>
          <w:p>
            <w:pPr>
              <w:jc w:val="right"/>
              <w:spacing w:after="0"/>
              <w:rPr>
                <w:sz w:val="20"/>
                <w:szCs w:val="20"/>
                <w:color w:val="auto"/>
              </w:rPr>
            </w:pPr>
            <w:r>
              <w:rPr>
                <w:rFonts w:ascii="Arial" w:cs="Arial" w:eastAsia="Arial" w:hAnsi="Arial"/>
                <w:sz w:val="18"/>
                <w:szCs w:val="18"/>
                <w:color w:val="auto"/>
              </w:rPr>
              <w:t>9,385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10,670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Automobile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51,649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15,324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53,710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10,578</w:t>
            </w: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2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1,043,996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1,331,869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154,396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1,123,315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1,440,333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168,001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580" w:type="dxa"/>
            <w:vAlign w:val="bottom"/>
            <w:vMerge w:val="restart"/>
          </w:tcPr>
          <w:p>
            <w:pPr>
              <w:jc w:val="right"/>
              <w:ind w:right="3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left="359"/>
              <w:spacing w:after="0"/>
              <w:rPr>
                <w:sz w:val="20"/>
                <w:szCs w:val="20"/>
                <w:color w:val="auto"/>
              </w:rPr>
            </w:pPr>
            <w:r>
              <w:rPr>
                <w:rFonts w:ascii="Arial" w:cs="Arial" w:eastAsia="Arial" w:hAnsi="Arial"/>
                <w:sz w:val="14"/>
                <w:szCs w:val="14"/>
                <w:color w:val="auto"/>
                <w:w w:val="86"/>
              </w:rPr>
              <w:t>Three months ended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jc w:val="center"/>
              <w:ind w:left="409"/>
              <w:spacing w:after="0"/>
              <w:rPr>
                <w:sz w:val="20"/>
                <w:szCs w:val="20"/>
                <w:color w:val="auto"/>
              </w:rPr>
            </w:pPr>
            <w:r>
              <w:rPr>
                <w:rFonts w:ascii="Arial" w:cs="Arial" w:eastAsia="Arial" w:hAnsi="Arial"/>
                <w:sz w:val="14"/>
                <w:szCs w:val="14"/>
                <w:color w:val="auto"/>
                <w:w w:val="85"/>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left="359"/>
              <w:spacing w:after="0" w:line="159" w:lineRule="exact"/>
              <w:rPr>
                <w:sz w:val="20"/>
                <w:szCs w:val="20"/>
                <w:color w:val="auto"/>
              </w:rPr>
            </w:pPr>
            <w:r>
              <w:rPr>
                <w:rFonts w:ascii="Arial" w:cs="Arial" w:eastAsia="Arial" w:hAnsi="Arial"/>
                <w:sz w:val="14"/>
                <w:szCs w:val="14"/>
                <w:color w:val="auto"/>
                <w:w w:val="85"/>
              </w:rPr>
              <w:t>June 30, 2012</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bottom w:val="single" w:sz="8" w:color="auto"/>
            </w:tcBorders>
            <w:gridSpan w:val="4"/>
          </w:tcPr>
          <w:p>
            <w:pPr>
              <w:jc w:val="center"/>
              <w:ind w:left="409"/>
              <w:spacing w:after="0" w:line="159" w:lineRule="exact"/>
              <w:rPr>
                <w:sz w:val="20"/>
                <w:szCs w:val="20"/>
                <w:color w:val="auto"/>
              </w:rPr>
            </w:pPr>
            <w:r>
              <w:rPr>
                <w:rFonts w:ascii="Arial" w:cs="Arial" w:eastAsia="Arial" w:hAnsi="Arial"/>
                <w:sz w:val="14"/>
                <w:szCs w:val="14"/>
                <w:color w:val="auto"/>
                <w:w w:val="83"/>
              </w:rPr>
              <w:t>June 30, 2011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19"/>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recognized</w:t>
            </w:r>
          </w:p>
        </w:tc>
        <w:tc>
          <w:tcPr>
            <w:tcW w:w="2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30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Cash</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9"/>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40" w:type="dxa"/>
            <w:vAlign w:val="bottom"/>
          </w:tcPr>
          <w:p>
            <w:pPr>
              <w:jc w:val="right"/>
              <w:ind w:right="57"/>
              <w:spacing w:after="0" w:line="159" w:lineRule="exact"/>
              <w:rPr>
                <w:sz w:val="20"/>
                <w:szCs w:val="20"/>
                <w:color w:val="auto"/>
              </w:rPr>
            </w:pPr>
            <w:r>
              <w:rPr>
                <w:rFonts w:ascii="Arial" w:cs="Arial" w:eastAsia="Arial" w:hAnsi="Arial"/>
                <w:sz w:val="14"/>
                <w:szCs w:val="14"/>
                <w:color w:val="auto"/>
              </w:rPr>
              <w:t>basis</w:t>
            </w:r>
          </w:p>
        </w:tc>
        <w:tc>
          <w:tcPr>
            <w:tcW w:w="2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469"/>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162,827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194,508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262,254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308,709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93,980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127,258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1,315</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97,317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Consumer: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52,200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58,650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984</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1,087,554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11,415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8,693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1,130,660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5,941</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41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4"/>
          </w:tcPr>
          <w:p>
            <w:pPr>
              <w:jc w:val="center"/>
              <w:ind w:left="359"/>
              <w:spacing w:after="0"/>
              <w:rPr>
                <w:sz w:val="20"/>
                <w:szCs w:val="20"/>
                <w:color w:val="auto"/>
              </w:rPr>
            </w:pPr>
            <w:r>
              <w:rPr>
                <w:rFonts w:ascii="Arial" w:cs="Arial" w:eastAsia="Arial" w:hAnsi="Arial"/>
                <w:sz w:val="14"/>
                <w:szCs w:val="14"/>
                <w:color w:val="auto"/>
                <w:w w:val="85"/>
              </w:rPr>
              <w:t>Six months ended</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jc w:val="center"/>
              <w:ind w:left="389"/>
              <w:spacing w:after="0"/>
              <w:rPr>
                <w:sz w:val="20"/>
                <w:szCs w:val="20"/>
                <w:color w:val="auto"/>
              </w:rPr>
            </w:pPr>
            <w:r>
              <w:rPr>
                <w:rFonts w:ascii="Arial" w:cs="Arial" w:eastAsia="Arial" w:hAnsi="Arial"/>
                <w:sz w:val="14"/>
                <w:szCs w:val="14"/>
                <w:color w:val="auto"/>
                <w:w w:val="85"/>
              </w:rPr>
              <w:t>Six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center"/>
              <w:ind w:left="359"/>
              <w:spacing w:after="0" w:line="159" w:lineRule="exact"/>
              <w:rPr>
                <w:sz w:val="20"/>
                <w:szCs w:val="20"/>
                <w:color w:val="auto"/>
              </w:rPr>
            </w:pPr>
            <w:r>
              <w:rPr>
                <w:rFonts w:ascii="Arial" w:cs="Arial" w:eastAsia="Arial" w:hAnsi="Arial"/>
                <w:sz w:val="14"/>
                <w:szCs w:val="14"/>
                <w:color w:val="auto"/>
                <w:w w:val="85"/>
              </w:rPr>
              <w:t>June 30, 2012</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Borders>
              <w:bottom w:val="single" w:sz="8" w:color="auto"/>
            </w:tcBorders>
            <w:gridSpan w:val="4"/>
          </w:tcPr>
          <w:p>
            <w:pPr>
              <w:jc w:val="center"/>
              <w:ind w:left="409"/>
              <w:spacing w:after="0" w:line="159" w:lineRule="exact"/>
              <w:rPr>
                <w:sz w:val="20"/>
                <w:szCs w:val="20"/>
                <w:color w:val="auto"/>
              </w:rPr>
            </w:pPr>
            <w:r>
              <w:rPr>
                <w:rFonts w:ascii="Arial" w:cs="Arial" w:eastAsia="Arial" w:hAnsi="Arial"/>
                <w:sz w:val="14"/>
                <w:szCs w:val="14"/>
                <w:color w:val="auto"/>
                <w:w w:val="83"/>
              </w:rPr>
              <w:t>June 30, 2011</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jc w:val="center"/>
              <w:spacing w:after="0" w:line="131" w:lineRule="exact"/>
              <w:rPr>
                <w:sz w:val="20"/>
                <w:szCs w:val="20"/>
                <w:color w:val="auto"/>
              </w:rPr>
            </w:pPr>
            <w:r>
              <w:rPr>
                <w:rFonts w:ascii="Arial" w:cs="Arial" w:eastAsia="Arial" w:hAnsi="Arial"/>
                <w:sz w:val="14"/>
                <w:szCs w:val="14"/>
                <w:color w:val="auto"/>
                <w:w w:val="87"/>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right="19"/>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28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recognized</w:t>
            </w:r>
          </w:p>
        </w:tc>
        <w:tc>
          <w:tcPr>
            <w:tcW w:w="20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84"/>
              </w:rPr>
              <w:t>Average</w:t>
            </w:r>
          </w:p>
        </w:tc>
        <w:tc>
          <w:tcPr>
            <w:tcW w:w="200" w:type="dxa"/>
            <w:vAlign w:val="bottom"/>
          </w:tcPr>
          <w:p>
            <w:pPr>
              <w:spacing w:after="0"/>
              <w:rPr>
                <w:sz w:val="13"/>
                <w:szCs w:val="13"/>
                <w:color w:val="auto"/>
              </w:rPr>
            </w:pPr>
          </w:p>
        </w:tc>
        <w:tc>
          <w:tcPr>
            <w:tcW w:w="130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7"/>
              </w:rPr>
              <w:t>recognized</w:t>
            </w: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19"/>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ind w:right="57"/>
              <w:spacing w:after="0" w:line="149" w:lineRule="exact"/>
              <w:rPr>
                <w:sz w:val="20"/>
                <w:szCs w:val="20"/>
                <w:color w:val="auto"/>
              </w:rPr>
            </w:pPr>
            <w:r>
              <w:rPr>
                <w:rFonts w:ascii="Arial" w:cs="Arial" w:eastAsia="Arial" w:hAnsi="Arial"/>
                <w:sz w:val="14"/>
                <w:szCs w:val="14"/>
                <w:color w:val="auto"/>
              </w:rPr>
              <w:t>Cash</w:t>
            </w: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6"/>
              </w:rPr>
              <w:t>recorded</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59"/>
        </w:trPr>
        <w:tc>
          <w:tcPr>
            <w:tcW w:w="41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9"/>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40" w:type="dxa"/>
            <w:vAlign w:val="bottom"/>
          </w:tcPr>
          <w:p>
            <w:pPr>
              <w:jc w:val="right"/>
              <w:ind w:right="57"/>
              <w:spacing w:after="0" w:line="159" w:lineRule="exact"/>
              <w:rPr>
                <w:sz w:val="20"/>
                <w:szCs w:val="20"/>
                <w:color w:val="auto"/>
              </w:rPr>
            </w:pPr>
            <w:r>
              <w:rPr>
                <w:rFonts w:ascii="Arial" w:cs="Arial" w:eastAsia="Arial" w:hAnsi="Arial"/>
                <w:sz w:val="14"/>
                <w:szCs w:val="14"/>
                <w:color w:val="auto"/>
              </w:rPr>
              <w:t>basis</w:t>
            </w:r>
          </w:p>
        </w:tc>
        <w:tc>
          <w:tcPr>
            <w:tcW w:w="2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8"/>
              </w:rPr>
              <w:t>investment</w:t>
            </w:r>
          </w:p>
        </w:tc>
        <w:tc>
          <w:tcPr>
            <w:tcW w:w="200" w:type="dxa"/>
            <w:vAlign w:val="bottom"/>
          </w:tcPr>
          <w:p>
            <w:pPr>
              <w:spacing w:after="0"/>
              <w:rPr>
                <w:sz w:val="13"/>
                <w:szCs w:val="13"/>
                <w:color w:val="auto"/>
              </w:rPr>
            </w:pPr>
          </w:p>
        </w:tc>
        <w:tc>
          <w:tcPr>
            <w:tcW w:w="7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Total</w:t>
            </w:r>
          </w:p>
        </w:tc>
        <w:tc>
          <w:tcPr>
            <w:tcW w:w="56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jc w:val="right"/>
              <w:ind w:right="469"/>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2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164,779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167,456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Real estate: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179,213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191,472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 builder and developer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271,903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317,054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103,751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126,880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90,813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Alt-A</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202,339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Consumer:</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lines and loans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40"/>
              <w:spacing w:after="0"/>
              <w:rPr>
                <w:sz w:val="20"/>
                <w:szCs w:val="20"/>
                <w:color w:val="auto"/>
              </w:rPr>
            </w:pPr>
            <w:r>
              <w:rPr>
                <w:rFonts w:ascii="Arial" w:cs="Arial" w:eastAsia="Arial" w:hAnsi="Arial"/>
                <w:sz w:val="18"/>
                <w:szCs w:val="18"/>
                <w:color w:val="auto"/>
              </w:rPr>
              <w:t>Automobile</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52,799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58,655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1,968</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1,100,021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16,995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11,452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1,146,942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12,544</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00" w:type="dxa"/>
            <w:vAlign w:val="bottom"/>
            <w:vMerge w:val="restart"/>
          </w:tcPr>
          <w:p>
            <w:pPr>
              <w:jc w:val="right"/>
              <w:ind w:right="732"/>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accordance with the previously described policies, the Company utilizes a loan grading system that is applied to all commercial loans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In general, acquired loans that were recorded at estimated fair value on the acquisition date are assigned a “pass” loan grade because their net financial statement value is based on the present value of expected cash flows.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All larger balance criticized commercial and commercial real estate loans are individually reviewed by centralized loan review personnel each quarter to determine the appropriateness of the assigned loan grade, including whether the loan should be reported as accruing or nonaccruing. Smaller balance criticized loans are analyzed by business line risk management areas to ensure proper loan grade classification. Furthermore, criticized nonaccrual commercial loans and commercial real estate loans are considered impaired and, as a result, specific loss allowances on such loans are established within the allowance for credit losses to the extent appropriate in each individual instance. The following table summarizes the loan grades applied to the various classes of the Company’s commercial and commercial real estate loans as of June 30, 2012 and December 31, 2011.</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w w:val="89"/>
              </w:rPr>
              <w:t>Commercial,</w:t>
            </w:r>
          </w:p>
        </w:tc>
        <w:tc>
          <w:tcPr>
            <w:tcW w:w="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w w:val="85"/>
              </w:rPr>
              <w:t>Real Estate</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6"/>
              </w:rPr>
              <w:t>Residential</w:t>
            </w:r>
          </w:p>
        </w:tc>
        <w:tc>
          <w:tcPr>
            <w:tcW w:w="280" w:type="dxa"/>
            <w:vAlign w:val="bottom"/>
          </w:tcPr>
          <w:p>
            <w:pPr>
              <w:spacing w:after="0"/>
              <w:rPr>
                <w:sz w:val="11"/>
                <w:szCs w:val="11"/>
                <w:color w:val="auto"/>
              </w:rPr>
            </w:pPr>
          </w:p>
        </w:tc>
        <w:tc>
          <w:tcPr>
            <w:tcW w:w="760" w:type="dxa"/>
            <w:vAlign w:val="bottom"/>
          </w:tcPr>
          <w:p>
            <w:pPr>
              <w:jc w:val="center"/>
              <w:spacing w:after="0" w:line="131" w:lineRule="exact"/>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Financial,</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0"/>
              </w:rPr>
              <w:t>Builder and</w:t>
            </w:r>
          </w:p>
        </w:tc>
        <w:tc>
          <w:tcPr>
            <w:tcW w:w="2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Commercial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900" w:type="dxa"/>
            <w:vAlign w:val="bottom"/>
          </w:tcPr>
          <w:p>
            <w:pPr>
              <w:jc w:val="center"/>
              <w:spacing w:after="0" w:line="159" w:lineRule="exact"/>
              <w:rPr>
                <w:sz w:val="20"/>
                <w:szCs w:val="20"/>
                <w:color w:val="auto"/>
              </w:rPr>
            </w:pPr>
            <w:r>
              <w:rPr>
                <w:rFonts w:ascii="Arial" w:cs="Arial" w:eastAsia="Arial" w:hAnsi="Arial"/>
                <w:sz w:val="14"/>
                <w:szCs w:val="14"/>
                <w:color w:val="auto"/>
                <w:w w:val="85"/>
              </w:rPr>
              <w:t>Leasing, etc.</w:t>
            </w:r>
          </w:p>
        </w:tc>
        <w:tc>
          <w:tcPr>
            <w:tcW w:w="280" w:type="dxa"/>
            <w:vAlign w:val="bottom"/>
          </w:tcPr>
          <w:p>
            <w:pPr>
              <w:spacing w:after="0"/>
              <w:rPr>
                <w:sz w:val="13"/>
                <w:szCs w:val="13"/>
                <w:color w:val="auto"/>
              </w:rPr>
            </w:pPr>
          </w:p>
        </w:tc>
        <w:tc>
          <w:tcPr>
            <w:tcW w:w="860" w:type="dxa"/>
            <w:vAlign w:val="bottom"/>
          </w:tcPr>
          <w:p>
            <w:pPr>
              <w:jc w:val="right"/>
              <w:ind w:right="22"/>
              <w:spacing w:after="0" w:line="159" w:lineRule="exact"/>
              <w:rPr>
                <w:sz w:val="20"/>
                <w:szCs w:val="20"/>
                <w:color w:val="auto"/>
              </w:rPr>
            </w:pPr>
            <w:r>
              <w:rPr>
                <w:rFonts w:ascii="Arial" w:cs="Arial" w:eastAsia="Arial" w:hAnsi="Arial"/>
                <w:sz w:val="14"/>
                <w:szCs w:val="14"/>
                <w:color w:val="auto"/>
                <w:w w:val="99"/>
              </w:rPr>
              <w:t>Commercial</w:t>
            </w:r>
          </w:p>
        </w:tc>
        <w:tc>
          <w:tcPr>
            <w:tcW w:w="300" w:type="dxa"/>
            <w:vAlign w:val="bottom"/>
          </w:tcPr>
          <w:p>
            <w:pPr>
              <w:spacing w:after="0"/>
              <w:rPr>
                <w:sz w:val="13"/>
                <w:szCs w:val="13"/>
                <w:color w:val="auto"/>
              </w:rPr>
            </w:pPr>
          </w:p>
        </w:tc>
        <w:tc>
          <w:tcPr>
            <w:tcW w:w="760" w:type="dxa"/>
            <w:vAlign w:val="bottom"/>
          </w:tcPr>
          <w:p>
            <w:pPr>
              <w:jc w:val="center"/>
              <w:spacing w:after="0" w:line="159" w:lineRule="exact"/>
              <w:rPr>
                <w:sz w:val="20"/>
                <w:szCs w:val="20"/>
                <w:color w:val="auto"/>
              </w:rPr>
            </w:pPr>
            <w:r>
              <w:rPr>
                <w:rFonts w:ascii="Arial" w:cs="Arial" w:eastAsia="Arial" w:hAnsi="Arial"/>
                <w:sz w:val="14"/>
                <w:szCs w:val="14"/>
                <w:color w:val="auto"/>
                <w:w w:val="87"/>
              </w:rPr>
              <w:t>Developer</w:t>
            </w:r>
          </w:p>
        </w:tc>
        <w:tc>
          <w:tcPr>
            <w:tcW w:w="280" w:type="dxa"/>
            <w:vAlign w:val="bottom"/>
          </w:tcPr>
          <w:p>
            <w:pPr>
              <w:spacing w:after="0"/>
              <w:rPr>
                <w:sz w:val="13"/>
                <w:szCs w:val="13"/>
                <w:color w:val="auto"/>
              </w:rPr>
            </w:pP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color w:val="auto"/>
                <w:w w:val="89"/>
              </w:rPr>
              <w:t>Construction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jc w:val="right"/>
              <w:ind w:right="566"/>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Pass</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$15,499,951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20,403,488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989,903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1,903,981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accrual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803,640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103,523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153,556</w:t>
            </w:r>
          </w:p>
        </w:tc>
        <w:tc>
          <w:tcPr>
            <w:tcW w:w="2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173,278</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240,248</w:t>
            </w:r>
          </w:p>
        </w:tc>
        <w:tc>
          <w:tcPr>
            <w:tcW w:w="2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16,395,587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21,380,406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1,333,674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6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$14,869,636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19,089,252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Criticized accrual</w:t>
            </w:r>
          </w:p>
        </w:tc>
        <w:tc>
          <w:tcPr>
            <w:tcW w:w="900" w:type="dxa"/>
            <w:vAlign w:val="bottom"/>
          </w:tcPr>
          <w:p>
            <w:pPr>
              <w:jc w:val="right"/>
              <w:spacing w:after="0"/>
              <w:rPr>
                <w:sz w:val="20"/>
                <w:szCs w:val="20"/>
                <w:color w:val="auto"/>
              </w:rPr>
            </w:pPr>
            <w:r>
              <w:rPr>
                <w:rFonts w:ascii="Arial" w:cs="Arial" w:eastAsia="Arial" w:hAnsi="Arial"/>
                <w:sz w:val="18"/>
                <w:szCs w:val="18"/>
                <w:color w:val="auto"/>
              </w:rPr>
              <w:t>701,202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999,085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140,787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282,399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Criticized nonaccrual</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163,598</w:t>
            </w:r>
          </w:p>
        </w:tc>
        <w:tc>
          <w:tcPr>
            <w:tcW w:w="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171,111</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281,576</w:t>
            </w:r>
          </w:p>
        </w:tc>
        <w:tc>
          <w:tcPr>
            <w:tcW w:w="2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15,734,436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20,259,448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1,508,333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2,643,333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determining the allowance for credit losses, residential real estate loans and consumer loans are generally evaluated collectively after considering such factors as payment performance,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M&amp;T’s Credit Department. In arriving at such forecasts, M&amp;T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 changing market conditions, the introduction of new loan and lease product types, and other risks associated with the Company’s loan portfolio that may not be specifically identifiable.</w:t>
      </w:r>
    </w:p>
    <w:p>
      <w:pPr>
        <w:spacing w:after="0" w:line="123"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At June 30, 2012 and December 31, 2011, the allocation of the allowance for credit losses summarized on the basis of the Company’s impairment methodology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Commercial,</w:t>
            </w:r>
          </w:p>
        </w:tc>
        <w:tc>
          <w:tcPr>
            <w:tcW w:w="1900" w:type="dxa"/>
            <w:vAlign w:val="bottom"/>
            <w:gridSpan w:val="4"/>
            <w:vMerge w:val="restart"/>
          </w:tcPr>
          <w:p>
            <w:pPr>
              <w:ind w:left="500"/>
              <w:spacing w:after="0"/>
              <w:rPr>
                <w:sz w:val="20"/>
                <w:szCs w:val="20"/>
                <w:color w:val="auto"/>
              </w:rPr>
            </w:pPr>
            <w:r>
              <w:rPr>
                <w:rFonts w:ascii="Arial" w:cs="Arial" w:eastAsia="Arial" w:hAnsi="Arial"/>
                <w:sz w:val="14"/>
                <w:szCs w:val="14"/>
                <w:color w:val="auto"/>
              </w:rPr>
              <w:t>Real Estate</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20" w:type="dxa"/>
            <w:vAlign w:val="bottom"/>
            <w:gridSpan w:val="3"/>
            <w:vMerge w:val="restart"/>
          </w:tcPr>
          <w:p>
            <w:pPr>
              <w:jc w:val="right"/>
              <w:ind w:right="400"/>
              <w:spacing w:after="0" w:line="149" w:lineRule="exact"/>
              <w:rPr>
                <w:sz w:val="20"/>
                <w:szCs w:val="20"/>
                <w:color w:val="auto"/>
              </w:rPr>
            </w:pPr>
            <w:r>
              <w:rPr>
                <w:rFonts w:ascii="Arial" w:cs="Arial" w:eastAsia="Arial" w:hAnsi="Arial"/>
                <w:sz w:val="14"/>
                <w:szCs w:val="14"/>
                <w:color w:val="auto"/>
              </w:rPr>
              <w:t>Financial,</w:t>
            </w:r>
          </w:p>
        </w:tc>
        <w:tc>
          <w:tcPr>
            <w:tcW w:w="19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Leasing, etc.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w w:val="88"/>
              </w:rPr>
              <w:t>Commercial</w:t>
            </w:r>
          </w:p>
        </w:tc>
        <w:tc>
          <w:tcPr>
            <w:tcW w:w="1220" w:type="dxa"/>
            <w:vAlign w:val="bottom"/>
            <w:gridSpan w:val="3"/>
          </w:tcPr>
          <w:p>
            <w:pPr>
              <w:ind w:left="300"/>
              <w:spacing w:after="0" w:line="159" w:lineRule="exact"/>
              <w:rPr>
                <w:sz w:val="20"/>
                <w:szCs w:val="20"/>
                <w:color w:val="auto"/>
              </w:rPr>
            </w:pPr>
            <w:r>
              <w:rPr>
                <w:rFonts w:ascii="Arial" w:cs="Arial" w:eastAsia="Arial" w:hAnsi="Arial"/>
                <w:sz w:val="14"/>
                <w:szCs w:val="14"/>
                <w:color w:val="auto"/>
              </w:rPr>
              <w:t>Residential</w:t>
            </w:r>
          </w:p>
        </w:tc>
        <w:tc>
          <w:tcPr>
            <w:tcW w:w="9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Consumer</w:t>
            </w:r>
          </w:p>
        </w:tc>
        <w:tc>
          <w:tcPr>
            <w:tcW w:w="76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2780" w:type="dxa"/>
            <w:vAlign w:val="bottom"/>
            <w:gridSpan w:val="2"/>
          </w:tcPr>
          <w:p>
            <w:pPr>
              <w:ind w:left="266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38,961</w:t>
            </w:r>
          </w:p>
        </w:tc>
        <w:tc>
          <w:tcPr>
            <w:tcW w:w="680" w:type="dxa"/>
            <w:vAlign w:val="bottom"/>
          </w:tcPr>
          <w:p>
            <w:pPr>
              <w:jc w:val="right"/>
              <w:spacing w:after="0"/>
              <w:rPr>
                <w:sz w:val="20"/>
                <w:szCs w:val="20"/>
                <w:color w:val="auto"/>
              </w:rPr>
            </w:pPr>
            <w:r>
              <w:rPr>
                <w:rFonts w:ascii="Arial" w:cs="Arial" w:eastAsia="Arial" w:hAnsi="Arial"/>
                <w:sz w:val="18"/>
                <w:szCs w:val="18"/>
                <w:color w:val="auto"/>
              </w:rPr>
              <w:t>64,143</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27,258</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22,713</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$153,075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205,594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275,671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62,182</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141,159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684,606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Purchased impaired</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173</w:t>
            </w:r>
          </w:p>
        </w:tc>
        <w:tc>
          <w:tcPr>
            <w:tcW w:w="680" w:type="dxa"/>
            <w:vAlign w:val="bottom"/>
          </w:tcPr>
          <w:p>
            <w:pPr>
              <w:jc w:val="right"/>
              <w:spacing w:after="0"/>
              <w:rPr>
                <w:sz w:val="20"/>
                <w:szCs w:val="20"/>
                <w:color w:val="auto"/>
              </w:rPr>
            </w:pPr>
            <w:r>
              <w:rPr>
                <w:rFonts w:ascii="Arial" w:cs="Arial" w:eastAsia="Arial" w:hAnsi="Arial"/>
                <w:sz w:val="18"/>
                <w:szCs w:val="18"/>
                <w:color w:val="auto"/>
              </w:rPr>
              <w:t>1,707</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3,829</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480</w:t>
            </w:r>
          </w:p>
        </w:tc>
        <w:tc>
          <w:tcPr>
            <w:tcW w:w="660" w:type="dxa"/>
            <w:vAlign w:val="bottom"/>
          </w:tcPr>
          <w:p>
            <w:pPr>
              <w:jc w:val="right"/>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Allocated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244,728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341,521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93,269</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164,352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843,870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Unallocated</w:t>
            </w: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73,158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917,028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2780" w:type="dxa"/>
            <w:vAlign w:val="bottom"/>
            <w:gridSpan w:val="2"/>
            <w:shd w:val="clear" w:color="auto" w:fill="CCEEFF"/>
          </w:tcPr>
          <w:p>
            <w:pPr>
              <w:ind w:left="26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71,784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29,420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15,858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$165,579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185,048</w:t>
            </w:r>
          </w:p>
        </w:tc>
        <w:tc>
          <w:tcPr>
            <w:tcW w:w="680" w:type="dxa"/>
            <w:vAlign w:val="bottom"/>
          </w:tcPr>
          <w:p>
            <w:pPr>
              <w:jc w:val="right"/>
              <w:spacing w:after="0"/>
              <w:rPr>
                <w:sz w:val="20"/>
                <w:szCs w:val="20"/>
                <w:color w:val="auto"/>
              </w:rPr>
            </w:pPr>
            <w:r>
              <w:rPr>
                <w:rFonts w:ascii="Arial" w:cs="Arial" w:eastAsia="Arial" w:hAnsi="Arial"/>
                <w:sz w:val="18"/>
                <w:szCs w:val="18"/>
                <w:color w:val="auto"/>
              </w:rPr>
              <w:t>291,271</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60,742</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126,613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663,674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1,753</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Allocated</w:t>
            </w: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234,022</w:t>
            </w:r>
          </w:p>
        </w:tc>
        <w:tc>
          <w:tcPr>
            <w:tcW w:w="680" w:type="dxa"/>
            <w:vAlign w:val="bottom"/>
          </w:tcPr>
          <w:p>
            <w:pPr>
              <w:jc w:val="right"/>
              <w:spacing w:after="0"/>
              <w:rPr>
                <w:sz w:val="20"/>
                <w:szCs w:val="20"/>
                <w:color w:val="auto"/>
              </w:rPr>
            </w:pPr>
            <w:r>
              <w:rPr>
                <w:rFonts w:ascii="Arial" w:cs="Arial" w:eastAsia="Arial" w:hAnsi="Arial"/>
                <w:sz w:val="18"/>
                <w:szCs w:val="18"/>
                <w:color w:val="auto"/>
              </w:rPr>
              <w:t>367,637</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91,915</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143,121</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836,695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2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908,290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60" w:type="dxa"/>
            <w:vAlign w:val="bottom"/>
            <w:vMerge w:val="restart"/>
          </w:tcPr>
          <w:p>
            <w:pPr>
              <w:jc w:val="right"/>
              <w:ind w:right="83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recorded investment in loans and leases summarized on the basis of the Company’s impairment methodology as of June 30, 2012 and December 31, 2011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1"/>
              </w:rPr>
              <w:t>Commercial,</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6"/>
              </w:rPr>
              <w:t>Financial,</w:t>
            </w:r>
          </w:p>
        </w:tc>
        <w:tc>
          <w:tcPr>
            <w:tcW w:w="200" w:type="dxa"/>
            <w:vAlign w:val="bottom"/>
          </w:tcPr>
          <w:p>
            <w:pPr>
              <w:spacing w:after="0"/>
              <w:rPr>
                <w:sz w:val="15"/>
                <w:szCs w:val="15"/>
                <w:color w:val="auto"/>
              </w:rPr>
            </w:pPr>
          </w:p>
        </w:tc>
        <w:tc>
          <w:tcPr>
            <w:tcW w:w="2020" w:type="dxa"/>
            <w:vAlign w:val="bottom"/>
            <w:gridSpan w:val="4"/>
          </w:tcPr>
          <w:p>
            <w:pPr>
              <w:ind w:left="600"/>
              <w:spacing w:after="0"/>
              <w:rPr>
                <w:sz w:val="20"/>
                <w:szCs w:val="20"/>
                <w:color w:val="auto"/>
              </w:rPr>
            </w:pPr>
            <w:r>
              <w:rPr>
                <w:rFonts w:ascii="Arial" w:cs="Arial" w:eastAsia="Arial" w:hAnsi="Arial"/>
                <w:sz w:val="14"/>
                <w:szCs w:val="14"/>
                <w:color w:val="auto"/>
              </w:rPr>
              <w:t>Real Estate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Arial" w:cs="Arial" w:eastAsia="Arial" w:hAnsi="Arial"/>
                <w:sz w:val="14"/>
                <w:szCs w:val="14"/>
                <w:color w:val="auto"/>
                <w:w w:val="85"/>
              </w:rPr>
              <w:t>Leasing, etc.</w:t>
            </w:r>
          </w:p>
        </w:tc>
        <w:tc>
          <w:tcPr>
            <w:tcW w:w="200" w:type="dxa"/>
            <w:vAlign w:val="bottom"/>
          </w:tcPr>
          <w:p>
            <w:pPr>
              <w:spacing w:after="0"/>
              <w:rPr>
                <w:sz w:val="12"/>
                <w:szCs w:val="12"/>
                <w:color w:val="auto"/>
              </w:rPr>
            </w:pPr>
          </w:p>
        </w:tc>
        <w:tc>
          <w:tcPr>
            <w:tcW w:w="86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w w:val="99"/>
              </w:rPr>
              <w:t>Commercial</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Residential</w:t>
            </w:r>
          </w:p>
        </w:tc>
        <w:tc>
          <w:tcPr>
            <w:tcW w:w="200" w:type="dxa"/>
            <w:vAlign w:val="bottom"/>
          </w:tcPr>
          <w:p>
            <w:pPr>
              <w:spacing w:after="0"/>
              <w:rPr>
                <w:sz w:val="12"/>
                <w:szCs w:val="12"/>
                <w:color w:val="auto"/>
              </w:rPr>
            </w:pPr>
          </w:p>
        </w:tc>
        <w:tc>
          <w:tcPr>
            <w:tcW w:w="96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2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color w:val="auto"/>
              </w:rPr>
              <w:t>(in thousands)</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161,669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504,281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295,314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73,934</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1,035,198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16,217,494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23,901,962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9,469,076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11,666,842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61,255,374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16,424</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492,464</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47,135</w:t>
            </w: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16,395,587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24,898,707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9,811,525</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11,745,453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62,851,272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December 31,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561,615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306,320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1,110,873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15,539,232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23,281,585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7,560,104</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11,950,849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58,331,770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23,762</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567,914</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56,741</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15,734,436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24,411,114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7,923,165</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12,027,290</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60,096,005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2012 and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6"/>
          </w:tcPr>
          <w:p>
            <w:pPr>
              <w:ind w:left="180"/>
              <w:spacing w:after="0" w:line="159" w:lineRule="exact"/>
              <w:rPr>
                <w:sz w:val="20"/>
                <w:szCs w:val="20"/>
                <w:color w:val="auto"/>
              </w:rPr>
            </w:pPr>
            <w:r>
              <w:rPr>
                <w:rFonts w:ascii="Arial" w:cs="Arial" w:eastAsia="Arial" w:hAnsi="Arial"/>
                <w:sz w:val="14"/>
                <w:szCs w:val="14"/>
                <w:color w:val="auto"/>
              </w:rPr>
              <w:t>Recorded investment</w:t>
            </w:r>
          </w:p>
        </w:tc>
        <w:tc>
          <w:tcPr>
            <w:tcW w:w="120" w:type="dxa"/>
            <w:vAlign w:val="bottom"/>
          </w:tcPr>
          <w:p>
            <w:pPr>
              <w:spacing w:after="0"/>
              <w:rPr>
                <w:sz w:val="13"/>
                <w:szCs w:val="13"/>
                <w:color w:val="auto"/>
              </w:rPr>
            </w:pPr>
          </w:p>
        </w:tc>
        <w:tc>
          <w:tcPr>
            <w:tcW w:w="1520" w:type="dxa"/>
            <w:vAlign w:val="bottom"/>
            <w:gridSpan w:val="5"/>
          </w:tcPr>
          <w:p>
            <w:pPr>
              <w:jc w:val="right"/>
              <w:ind w:right="48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40"/>
              <w:spacing w:after="0" w:line="131" w:lineRule="exact"/>
              <w:rPr>
                <w:sz w:val="20"/>
                <w:szCs w:val="20"/>
                <w:color w:val="auto"/>
              </w:rPr>
            </w:pPr>
            <w:r>
              <w:rPr>
                <w:rFonts w:ascii="Arial" w:cs="Arial" w:eastAsia="Arial" w:hAnsi="Arial"/>
                <w:sz w:val="14"/>
                <w:szCs w:val="14"/>
                <w:color w:val="auto"/>
                <w:w w:val="82"/>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6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2012</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Pre-</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3"/>
        </w:trPr>
        <w:tc>
          <w:tcPr>
            <w:tcW w:w="6860" w:type="dxa"/>
            <w:vAlign w:val="bottom"/>
            <w:gridSpan w:val="3"/>
            <w:vMerge w:val="continue"/>
          </w:tcPr>
          <w:p>
            <w:pPr>
              <w:spacing w:after="0"/>
              <w:rPr>
                <w:sz w:val="13"/>
                <w:szCs w:val="13"/>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Number</w:t>
            </w:r>
          </w:p>
        </w:tc>
        <w:tc>
          <w:tcPr>
            <w:tcW w:w="180" w:type="dxa"/>
            <w:vAlign w:val="bottom"/>
          </w:tcPr>
          <w:p>
            <w:pPr>
              <w:spacing w:after="0"/>
              <w:rPr>
                <w:sz w:val="13"/>
                <w:szCs w:val="13"/>
                <w:color w:val="auto"/>
              </w:rPr>
            </w:pPr>
          </w:p>
        </w:tc>
        <w:tc>
          <w:tcPr>
            <w:tcW w:w="760" w:type="dxa"/>
            <w:vAlign w:val="bottom"/>
            <w:gridSpan w:val="3"/>
          </w:tcPr>
          <w:p>
            <w:pPr>
              <w:ind w:left="20"/>
              <w:spacing w:after="0" w:line="146" w:lineRule="exact"/>
              <w:rPr>
                <w:sz w:val="20"/>
                <w:szCs w:val="20"/>
                <w:color w:val="auto"/>
              </w:rPr>
            </w:pPr>
            <w:r>
              <w:rPr>
                <w:rFonts w:ascii="Arial" w:cs="Arial" w:eastAsia="Arial" w:hAnsi="Arial"/>
                <w:sz w:val="14"/>
                <w:szCs w:val="14"/>
                <w:color w:val="auto"/>
                <w:w w:val="96"/>
              </w:rPr>
              <w:t>modification</w:t>
            </w:r>
          </w:p>
        </w:tc>
        <w:tc>
          <w:tcPr>
            <w:tcW w:w="340" w:type="dxa"/>
            <w:vAlign w:val="bottom"/>
          </w:tcPr>
          <w:p>
            <w:pPr>
              <w:spacing w:after="0"/>
              <w:rPr>
                <w:sz w:val="13"/>
                <w:szCs w:val="13"/>
                <w:color w:val="auto"/>
              </w:rPr>
            </w:pPr>
          </w:p>
        </w:tc>
        <w:tc>
          <w:tcPr>
            <w:tcW w:w="98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46" w:lineRule="exact"/>
              <w:rPr>
                <w:sz w:val="20"/>
                <w:szCs w:val="20"/>
                <w:color w:val="auto"/>
              </w:rPr>
            </w:pPr>
            <w:r>
              <w:rPr>
                <w:rFonts w:ascii="Arial" w:cs="Arial" w:eastAsia="Arial" w:hAnsi="Arial"/>
                <w:sz w:val="14"/>
                <w:szCs w:val="14"/>
                <w:color w:val="auto"/>
                <w:w w:val="81"/>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ind w:left="40"/>
              <w:spacing w:after="0" w:line="149" w:lineRule="exact"/>
              <w:rPr>
                <w:sz w:val="20"/>
                <w:szCs w:val="20"/>
                <w:color w:val="auto"/>
              </w:rPr>
            </w:pPr>
            <w:r>
              <w:rPr>
                <w:rFonts w:ascii="Arial" w:cs="Arial" w:eastAsia="Arial" w:hAnsi="Arial"/>
                <w:sz w:val="14"/>
                <w:szCs w:val="14"/>
                <w:color w:val="auto"/>
                <w:w w:val="94"/>
              </w:rPr>
              <w:t>(dollars in thousands)</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10,392</w:t>
            </w:r>
          </w:p>
        </w:tc>
        <w:tc>
          <w:tcPr>
            <w:tcW w:w="6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9,061</w:t>
            </w:r>
          </w:p>
        </w:tc>
        <w:tc>
          <w:tcPr>
            <w:tcW w:w="2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 (1,331)</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w w:val="93"/>
              </w:rPr>
              <w:t>2,011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18"/>
                <w:szCs w:val="18"/>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60,888</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60,898</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1,087</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1,543</w:t>
            </w: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89,684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88,494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(1,190)</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4"/>
                <w:szCs w:val="14"/>
                <w:color w:val="auto"/>
                <w:w w:val="89"/>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6"/>
          </w:tcPr>
          <w:p>
            <w:pPr>
              <w:ind w:left="160"/>
              <w:spacing w:after="0" w:line="159" w:lineRule="exact"/>
              <w:rPr>
                <w:sz w:val="20"/>
                <w:szCs w:val="20"/>
                <w:color w:val="auto"/>
              </w:rPr>
            </w:pPr>
            <w:r>
              <w:rPr>
                <w:rFonts w:ascii="Arial" w:cs="Arial" w:eastAsia="Arial" w:hAnsi="Arial"/>
                <w:sz w:val="14"/>
                <w:szCs w:val="14"/>
                <w:color w:val="auto"/>
              </w:rPr>
              <w:t>Recorded investment</w:t>
            </w:r>
          </w:p>
        </w:tc>
        <w:tc>
          <w:tcPr>
            <w:tcW w:w="140" w:type="dxa"/>
            <w:vAlign w:val="bottom"/>
          </w:tcPr>
          <w:p>
            <w:pPr>
              <w:spacing w:after="0"/>
              <w:rPr>
                <w:sz w:val="13"/>
                <w:szCs w:val="13"/>
                <w:color w:val="auto"/>
              </w:rPr>
            </w:pPr>
          </w:p>
        </w:tc>
        <w:tc>
          <w:tcPr>
            <w:tcW w:w="1380" w:type="dxa"/>
            <w:vAlign w:val="bottom"/>
            <w:gridSpan w:val="5"/>
          </w:tcPr>
          <w:p>
            <w:pPr>
              <w:jc w:val="center"/>
              <w:ind w:right="240"/>
              <w:spacing w:after="0" w:line="159" w:lineRule="exact"/>
              <w:rPr>
                <w:sz w:val="20"/>
                <w:szCs w:val="20"/>
                <w:color w:val="auto"/>
              </w:rPr>
            </w:pPr>
            <w:r>
              <w:rPr>
                <w:rFonts w:ascii="Arial" w:cs="Arial" w:eastAsia="Arial" w:hAnsi="Arial"/>
                <w:sz w:val="14"/>
                <w:szCs w:val="14"/>
                <w:color w:val="auto"/>
                <w:w w:val="93"/>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31" w:lineRule="exact"/>
              <w:rPr>
                <w:sz w:val="20"/>
                <w:szCs w:val="20"/>
                <w:color w:val="auto"/>
              </w:rPr>
            </w:pPr>
            <w:r>
              <w:rPr>
                <w:rFonts w:ascii="Arial" w:cs="Arial" w:eastAsia="Arial" w:hAnsi="Arial"/>
                <w:sz w:val="14"/>
                <w:szCs w:val="14"/>
                <w:color w:val="auto"/>
                <w:w w:val="88"/>
              </w:rPr>
              <w:t>Recorded</w:t>
            </w: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8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2011</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Pre-</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Post-</w:t>
            </w: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5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1"/>
              </w:rPr>
              <w:t>Interest</w:t>
            </w:r>
          </w:p>
        </w:tc>
        <w:tc>
          <w:tcPr>
            <w:tcW w:w="0" w:type="dxa"/>
            <w:vAlign w:val="bottom"/>
          </w:tcPr>
          <w:p>
            <w:pPr>
              <w:spacing w:after="0"/>
              <w:rPr>
                <w:sz w:val="1"/>
                <w:szCs w:val="1"/>
                <w:color w:val="auto"/>
              </w:rPr>
            </w:pPr>
          </w:p>
        </w:tc>
      </w:tr>
      <w:tr>
        <w:trPr>
          <w:trHeight w:val="153"/>
        </w:trPr>
        <w:tc>
          <w:tcPr>
            <w:tcW w:w="6880" w:type="dxa"/>
            <w:vAlign w:val="bottom"/>
            <w:gridSpan w:val="3"/>
            <w:vMerge w:val="continue"/>
          </w:tcPr>
          <w:p>
            <w:pPr>
              <w:spacing w:after="0"/>
              <w:rPr>
                <w:sz w:val="13"/>
                <w:szCs w:val="13"/>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4"/>
                <w:szCs w:val="14"/>
                <w:color w:val="auto"/>
                <w:w w:val="84"/>
              </w:rPr>
              <w:t>Number</w:t>
            </w:r>
          </w:p>
        </w:tc>
        <w:tc>
          <w:tcPr>
            <w:tcW w:w="400" w:type="dxa"/>
            <w:vAlign w:val="bottom"/>
          </w:tcPr>
          <w:p>
            <w:pPr>
              <w:spacing w:after="0"/>
              <w:rPr>
                <w:sz w:val="13"/>
                <w:szCs w:val="13"/>
                <w:color w:val="auto"/>
              </w:rPr>
            </w:pPr>
          </w:p>
        </w:tc>
        <w:tc>
          <w:tcPr>
            <w:tcW w:w="740" w:type="dxa"/>
            <w:vAlign w:val="bottom"/>
            <w:gridSpan w:val="3"/>
          </w:tcPr>
          <w:p>
            <w:pPr>
              <w:spacing w:after="0" w:line="146" w:lineRule="exact"/>
              <w:rPr>
                <w:sz w:val="20"/>
                <w:szCs w:val="20"/>
                <w:color w:val="auto"/>
              </w:rPr>
            </w:pPr>
            <w:r>
              <w:rPr>
                <w:rFonts w:ascii="Arial" w:cs="Arial" w:eastAsia="Arial" w:hAnsi="Arial"/>
                <w:sz w:val="14"/>
                <w:szCs w:val="14"/>
                <w:color w:val="auto"/>
                <w:w w:val="96"/>
              </w:rPr>
              <w:t>modification</w:t>
            </w:r>
          </w:p>
        </w:tc>
        <w:tc>
          <w:tcPr>
            <w:tcW w:w="360" w:type="dxa"/>
            <w:vAlign w:val="bottom"/>
          </w:tcPr>
          <w:p>
            <w:pPr>
              <w:spacing w:after="0"/>
              <w:rPr>
                <w:sz w:val="13"/>
                <w:szCs w:val="13"/>
                <w:color w:val="auto"/>
              </w:rPr>
            </w:pPr>
          </w:p>
        </w:tc>
        <w:tc>
          <w:tcPr>
            <w:tcW w:w="108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3"/>
                <w:szCs w:val="13"/>
                <w:color w:val="auto"/>
              </w:rPr>
            </w:pPr>
          </w:p>
        </w:tc>
        <w:tc>
          <w:tcPr>
            <w:tcW w:w="680" w:type="dxa"/>
            <w:vAlign w:val="bottom"/>
            <w:gridSpan w:val="2"/>
          </w:tcPr>
          <w:p>
            <w:pPr>
              <w:ind w:left="80"/>
              <w:spacing w:after="0" w:line="146"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520" w:type="dxa"/>
            <w:vAlign w:val="bottom"/>
            <w:gridSpan w:val="2"/>
          </w:tcPr>
          <w:p>
            <w:pPr>
              <w:jc w:val="right"/>
              <w:ind w:right="24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Borders>
              <w:top w:val="single" w:sz="8" w:color="auto"/>
            </w:tcBorders>
          </w:tcPr>
          <w:p>
            <w:pPr>
              <w:spacing w:after="0"/>
              <w:rPr>
                <w:sz w:val="12"/>
                <w:szCs w:val="12"/>
                <w:color w:val="auto"/>
              </w:rPr>
            </w:pPr>
          </w:p>
        </w:tc>
        <w:tc>
          <w:tcPr>
            <w:tcW w:w="48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ind w:left="60"/>
              <w:spacing w:after="0" w:line="149" w:lineRule="exact"/>
              <w:rPr>
                <w:sz w:val="20"/>
                <w:szCs w:val="20"/>
                <w:color w:val="auto"/>
              </w:rPr>
            </w:pPr>
            <w:r>
              <w:rPr>
                <w:rFonts w:ascii="Arial" w:cs="Arial" w:eastAsia="Arial" w:hAnsi="Arial"/>
                <w:sz w:val="14"/>
                <w:szCs w:val="14"/>
                <w:color w:val="auto"/>
              </w:rPr>
              <w:t>(dollars in thousands)</w:t>
            </w: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5,932</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5,947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5,226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5,143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 builder and developer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15,162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14,237</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155</w:t>
            </w:r>
          </w:p>
        </w:tc>
        <w:tc>
          <w:tcPr>
            <w:tcW w:w="2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Residential Alt-A</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1,278</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Home equity lines and loans</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719</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2,845</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2,845</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Interest rate reduction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Principal deferral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860"/>
              <w:spacing w:after="0"/>
              <w:rPr>
                <w:sz w:val="20"/>
                <w:szCs w:val="20"/>
                <w:color w:val="auto"/>
              </w:rPr>
            </w:pPr>
            <w:r>
              <w:rPr>
                <w:rFonts w:ascii="Arial" w:cs="Arial" w:eastAsia="Arial" w:hAnsi="Arial"/>
                <w:sz w:val="18"/>
                <w:szCs w:val="18"/>
                <w:color w:val="auto"/>
              </w:rPr>
              <w:t>Combination of concession types</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41,651</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40,830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and leases and the allowance for credit losses,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tables below summarize the Company’s loan modification activities that were considered troubled debt restructurings for the six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30, 2012 and 2011: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color w:val="auto"/>
              </w:rPr>
              <w:t>Financial effects of</w:t>
            </w:r>
          </w:p>
        </w:tc>
        <w:tc>
          <w:tcPr>
            <w:tcW w:w="0" w:type="dxa"/>
            <w:vAlign w:val="bottom"/>
          </w:tcPr>
          <w:p>
            <w:pPr>
              <w:spacing w:after="0"/>
              <w:rPr>
                <w:sz w:val="1"/>
                <w:szCs w:val="1"/>
                <w:color w:val="auto"/>
              </w:rPr>
            </w:pPr>
          </w:p>
        </w:tc>
      </w:tr>
      <w:tr>
        <w:trPr>
          <w:trHeight w:val="159"/>
        </w:trPr>
        <w:tc>
          <w:tcPr>
            <w:tcW w:w="18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3"/>
                <w:szCs w:val="13"/>
                <w:color w:val="auto"/>
              </w:rPr>
            </w:pPr>
          </w:p>
        </w:tc>
        <w:tc>
          <w:tcPr>
            <w:tcW w:w="1660" w:type="dxa"/>
            <w:vAlign w:val="bottom"/>
            <w:gridSpan w:val="6"/>
          </w:tcPr>
          <w:p>
            <w:pPr>
              <w:jc w:val="right"/>
              <w:ind w:right="54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18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220"/>
              <w:spacing w:after="0" w:line="131" w:lineRule="exact"/>
              <w:rPr>
                <w:sz w:val="20"/>
                <w:szCs w:val="20"/>
                <w:color w:val="auto"/>
              </w:rPr>
            </w:pPr>
            <w:r>
              <w:rPr>
                <w:rFonts w:ascii="Arial" w:cs="Arial" w:eastAsia="Arial" w:hAnsi="Arial"/>
                <w:sz w:val="14"/>
                <w:szCs w:val="14"/>
                <w:color w:val="auto"/>
                <w:w w:val="85"/>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gridSpan w:val="2"/>
            <w:vMerge w:val="restart"/>
          </w:tcPr>
          <w:p>
            <w:pPr>
              <w:spacing w:after="0"/>
              <w:rPr>
                <w:sz w:val="20"/>
                <w:szCs w:val="20"/>
                <w:color w:val="auto"/>
              </w:rPr>
            </w:pPr>
            <w:r>
              <w:rPr>
                <w:rFonts w:ascii="Arial" w:cs="Arial" w:eastAsia="Arial" w:hAnsi="Arial"/>
                <w:sz w:val="14"/>
                <w:szCs w:val="14"/>
                <w:color w:val="auto"/>
              </w:rPr>
              <w:t>Six months ended June 30, 2012</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Post-</w:t>
            </w:r>
          </w:p>
        </w:tc>
        <w:tc>
          <w:tcPr>
            <w:tcW w:w="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6700" w:type="dxa"/>
            <w:vAlign w:val="bottom"/>
            <w:gridSpan w:val="2"/>
            <w:vMerge w:val="continue"/>
          </w:tcPr>
          <w:p>
            <w:pPr>
              <w:spacing w:after="0"/>
              <w:rPr>
                <w:sz w:val="13"/>
                <w:szCs w:val="13"/>
                <w:color w:val="auto"/>
              </w:rPr>
            </w:pPr>
          </w:p>
        </w:tc>
        <w:tc>
          <w:tcPr>
            <w:tcW w:w="840" w:type="dxa"/>
            <w:vAlign w:val="bottom"/>
            <w:gridSpan w:val="2"/>
          </w:tcPr>
          <w:p>
            <w:pPr>
              <w:spacing w:after="0" w:line="146"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420" w:type="dxa"/>
            <w:vAlign w:val="bottom"/>
          </w:tcPr>
          <w:p>
            <w:pPr>
              <w:spacing w:after="0"/>
              <w:rPr>
                <w:sz w:val="13"/>
                <w:szCs w:val="13"/>
                <w:color w:val="auto"/>
              </w:rPr>
            </w:pPr>
          </w:p>
        </w:tc>
        <w:tc>
          <w:tcPr>
            <w:tcW w:w="102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3"/>
                <w:szCs w:val="13"/>
                <w:color w:val="auto"/>
              </w:rPr>
            </w:pPr>
          </w:p>
        </w:tc>
        <w:tc>
          <w:tcPr>
            <w:tcW w:w="82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18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left="19"/>
              <w:spacing w:after="0" w:line="149" w:lineRule="exact"/>
              <w:rPr>
                <w:sz w:val="20"/>
                <w:szCs w:val="20"/>
                <w:color w:val="auto"/>
              </w:rPr>
            </w:pPr>
            <w:r>
              <w:rPr>
                <w:rFonts w:ascii="Arial" w:cs="Arial" w:eastAsia="Arial" w:hAnsi="Arial"/>
                <w:sz w:val="14"/>
                <w:szCs w:val="14"/>
                <w:color w:val="auto"/>
                <w:w w:val="88"/>
              </w:rPr>
              <w:t>(dollars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13,204</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12,015</w:t>
            </w:r>
          </w:p>
        </w:tc>
        <w:tc>
          <w:tcPr>
            <w:tcW w:w="3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(1,189)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Commercial</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2,726</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60,888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60,898</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2,675</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Residential Alt-A</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2,937</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Home equity lines and loans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700" w:type="dxa"/>
            <w:vAlign w:val="bottom"/>
            <w:gridSpan w:val="2"/>
          </w:tcPr>
          <w:p>
            <w:pPr>
              <w:ind w:left="44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Principal deferral</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Interest rate reduction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700" w:type="dxa"/>
            <w:vAlign w:val="bottom"/>
            <w:gridSpan w:val="2"/>
          </w:tcPr>
          <w:p>
            <w:pPr>
              <w:ind w:left="880"/>
              <w:spacing w:after="0"/>
              <w:rPr>
                <w:sz w:val="20"/>
                <w:szCs w:val="20"/>
                <w:color w:val="auto"/>
              </w:rPr>
            </w:pPr>
            <w:r>
              <w:rPr>
                <w:rFonts w:ascii="Arial" w:cs="Arial" w:eastAsia="Arial" w:hAnsi="Arial"/>
                <w:sz w:val="18"/>
                <w:szCs w:val="18"/>
                <w:color w:val="auto"/>
              </w:rPr>
              <w:t>Other</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829</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116,312</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115,155</w:t>
            </w:r>
          </w:p>
        </w:tc>
        <w:tc>
          <w:tcPr>
            <w:tcW w:w="32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 (1,157)</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(1,193)</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6700" w:type="dxa"/>
            <w:vAlign w:val="bottom"/>
            <w:gridSpan w:val="4"/>
          </w:tcPr>
          <w:p>
            <w:pPr>
              <w:spacing w:after="0"/>
              <w:rPr>
                <w:sz w:val="20"/>
                <w:szCs w:val="20"/>
                <w:color w:val="auto"/>
              </w:rPr>
            </w:pPr>
            <w:r>
              <w:rPr>
                <w:rFonts w:ascii="Arial" w:cs="Arial" w:eastAsia="Arial" w:hAnsi="Arial"/>
                <w:sz w:val="18"/>
                <w:szCs w:val="18"/>
                <w:color w:val="auto"/>
              </w:rPr>
              <w:t>NOTES TO FINANCIAL STATEMENTS, CONTINUED</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6300" w:type="dxa"/>
            <w:vAlign w:val="bottom"/>
            <w:gridSpan w:val="2"/>
          </w:tcPr>
          <w:p>
            <w:pPr>
              <w:ind w:left="60"/>
              <w:spacing w:after="0"/>
              <w:rPr>
                <w:sz w:val="20"/>
                <w:szCs w:val="20"/>
                <w:color w:val="auto"/>
              </w:rPr>
            </w:pPr>
            <w:r>
              <w:rPr>
                <w:rFonts w:ascii="Arial" w:cs="Arial" w:eastAsia="Arial" w:hAnsi="Arial"/>
                <w:sz w:val="18"/>
                <w:szCs w:val="18"/>
                <w:b w:val="1"/>
                <w:bCs w:val="1"/>
                <w:color w:val="auto"/>
              </w:rPr>
              <w:t>Loans and leases and the allowance for credit losses, continued</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tcPr>
          <w:p>
            <w:pPr>
              <w:jc w:val="right"/>
              <w:ind w:right="360"/>
              <w:spacing w:after="0"/>
              <w:rPr>
                <w:sz w:val="20"/>
                <w:szCs w:val="20"/>
                <w:color w:val="auto"/>
              </w:rPr>
            </w:pPr>
            <w:r>
              <w:rPr>
                <w:rFonts w:ascii="Arial" w:cs="Arial" w:eastAsia="Arial" w:hAnsi="Arial"/>
                <w:sz w:val="14"/>
                <w:szCs w:val="14"/>
                <w:color w:val="auto"/>
                <w:w w:val="99"/>
              </w:rPr>
              <w:t>Financial effects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5"/>
          </w:tcPr>
          <w:p>
            <w:pPr>
              <w:ind w:left="220"/>
              <w:spacing w:after="0" w:line="159" w:lineRule="exact"/>
              <w:rPr>
                <w:sz w:val="20"/>
                <w:szCs w:val="20"/>
                <w:color w:val="auto"/>
              </w:rPr>
            </w:pPr>
            <w:r>
              <w:rPr>
                <w:rFonts w:ascii="Arial" w:cs="Arial" w:eastAsia="Arial" w:hAnsi="Arial"/>
                <w:sz w:val="14"/>
                <w:szCs w:val="14"/>
                <w:color w:val="auto"/>
              </w:rPr>
              <w:t>Recorded investment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tcPr>
          <w:p>
            <w:pPr>
              <w:jc w:val="right"/>
              <w:ind w:right="540"/>
              <w:spacing w:after="0" w:line="159" w:lineRule="exact"/>
              <w:rPr>
                <w:sz w:val="20"/>
                <w:szCs w:val="20"/>
                <w:color w:val="auto"/>
              </w:rPr>
            </w:pPr>
            <w:r>
              <w:rPr>
                <w:rFonts w:ascii="Arial" w:cs="Arial" w:eastAsia="Arial" w:hAnsi="Arial"/>
                <w:sz w:val="14"/>
                <w:szCs w:val="14"/>
                <w:color w:val="auto"/>
              </w:rPr>
              <w:t>modification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tcBorders>
            <w:gridSpan w:val="3"/>
          </w:tcPr>
          <w:p>
            <w:pPr>
              <w:jc w:val="right"/>
              <w:ind w:right="260"/>
              <w:spacing w:after="0" w:line="131" w:lineRule="exact"/>
              <w:rPr>
                <w:sz w:val="20"/>
                <w:szCs w:val="20"/>
                <w:color w:val="auto"/>
              </w:rPr>
            </w:pPr>
            <w:r>
              <w:rPr>
                <w:rFonts w:ascii="Arial" w:cs="Arial" w:eastAsia="Arial" w:hAnsi="Arial"/>
                <w:sz w:val="14"/>
                <w:szCs w:val="14"/>
                <w:color w:val="auto"/>
                <w:w w:val="88"/>
              </w:rPr>
              <w:t>Recorded</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00" w:type="dxa"/>
            <w:vAlign w:val="bottom"/>
            <w:gridSpan w:val="4"/>
            <w:vMerge w:val="restart"/>
          </w:tcPr>
          <w:p>
            <w:pPr>
              <w:spacing w:after="0"/>
              <w:rPr>
                <w:sz w:val="20"/>
                <w:szCs w:val="20"/>
                <w:color w:val="auto"/>
              </w:rPr>
            </w:pPr>
            <w:r>
              <w:rPr>
                <w:rFonts w:ascii="Arial" w:cs="Arial" w:eastAsia="Arial" w:hAnsi="Arial"/>
                <w:sz w:val="14"/>
                <w:szCs w:val="14"/>
                <w:color w:val="auto"/>
              </w:rPr>
              <w:t>Six months ended June 30, 2011</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Pre-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Post-</w:t>
            </w:r>
          </w:p>
        </w:tc>
        <w:tc>
          <w:tcPr>
            <w:tcW w:w="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investment</w:t>
            </w:r>
          </w:p>
        </w:tc>
        <w:tc>
          <w:tcPr>
            <w:tcW w:w="18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8"/>
              </w:rPr>
              <w:t>Interest</w:t>
            </w:r>
          </w:p>
        </w:tc>
        <w:tc>
          <w:tcPr>
            <w:tcW w:w="0" w:type="dxa"/>
            <w:vAlign w:val="bottom"/>
          </w:tcPr>
          <w:p>
            <w:pPr>
              <w:spacing w:after="0"/>
              <w:rPr>
                <w:sz w:val="1"/>
                <w:szCs w:val="1"/>
                <w:color w:val="auto"/>
              </w:rPr>
            </w:pPr>
          </w:p>
        </w:tc>
      </w:tr>
      <w:tr>
        <w:trPr>
          <w:trHeight w:val="153"/>
        </w:trPr>
        <w:tc>
          <w:tcPr>
            <w:tcW w:w="6700" w:type="dxa"/>
            <w:vAlign w:val="bottom"/>
            <w:gridSpan w:val="4"/>
            <w:vMerge w:val="continue"/>
          </w:tcPr>
          <w:p>
            <w:pPr>
              <w:spacing w:after="0"/>
              <w:rPr>
                <w:sz w:val="13"/>
                <w:szCs w:val="13"/>
                <w:color w:val="auto"/>
              </w:rPr>
            </w:pPr>
          </w:p>
        </w:tc>
        <w:tc>
          <w:tcPr>
            <w:tcW w:w="840" w:type="dxa"/>
            <w:vAlign w:val="bottom"/>
            <w:gridSpan w:val="2"/>
          </w:tcPr>
          <w:p>
            <w:pPr>
              <w:spacing w:after="0" w:line="146" w:lineRule="exact"/>
              <w:rPr>
                <w:sz w:val="20"/>
                <w:szCs w:val="20"/>
                <w:color w:val="auto"/>
              </w:rPr>
            </w:pPr>
            <w:r>
              <w:rPr>
                <w:rFonts w:ascii="Arial" w:cs="Arial" w:eastAsia="Arial" w:hAnsi="Arial"/>
                <w:sz w:val="14"/>
                <w:szCs w:val="14"/>
                <w:color w:val="auto"/>
              </w:rPr>
              <w:t>Number</w:t>
            </w:r>
          </w:p>
        </w:tc>
        <w:tc>
          <w:tcPr>
            <w:tcW w:w="700" w:type="dxa"/>
            <w:vAlign w:val="bottom"/>
            <w:gridSpan w:val="2"/>
          </w:tcPr>
          <w:p>
            <w:pPr>
              <w:ind w:left="20"/>
              <w:spacing w:after="0" w:line="146" w:lineRule="exact"/>
              <w:rPr>
                <w:sz w:val="20"/>
                <w:szCs w:val="20"/>
                <w:color w:val="auto"/>
              </w:rPr>
            </w:pPr>
            <w:r>
              <w:rPr>
                <w:rFonts w:ascii="Arial" w:cs="Arial" w:eastAsia="Arial" w:hAnsi="Arial"/>
                <w:sz w:val="14"/>
                <w:szCs w:val="14"/>
                <w:color w:val="auto"/>
                <w:w w:val="88"/>
              </w:rPr>
              <w:t>modification</w:t>
            </w:r>
          </w:p>
        </w:tc>
        <w:tc>
          <w:tcPr>
            <w:tcW w:w="420" w:type="dxa"/>
            <w:vAlign w:val="bottom"/>
          </w:tcPr>
          <w:p>
            <w:pPr>
              <w:spacing w:after="0"/>
              <w:rPr>
                <w:sz w:val="13"/>
                <w:szCs w:val="13"/>
                <w:color w:val="auto"/>
              </w:rPr>
            </w:pPr>
          </w:p>
        </w:tc>
        <w:tc>
          <w:tcPr>
            <w:tcW w:w="1020" w:type="dxa"/>
            <w:vAlign w:val="bottom"/>
            <w:gridSpan w:val="3"/>
          </w:tcPr>
          <w:p>
            <w:pPr>
              <w:spacing w:after="0" w:line="146" w:lineRule="exact"/>
              <w:rPr>
                <w:sz w:val="20"/>
                <w:szCs w:val="20"/>
                <w:color w:val="auto"/>
              </w:rPr>
            </w:pPr>
            <w:r>
              <w:rPr>
                <w:rFonts w:ascii="Arial" w:cs="Arial" w:eastAsia="Arial" w:hAnsi="Arial"/>
                <w:sz w:val="14"/>
                <w:szCs w:val="14"/>
                <w:color w:val="auto"/>
              </w:rPr>
              <w:t>modification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440"/>
              <w:spacing w:after="0" w:line="146" w:lineRule="exact"/>
              <w:rPr>
                <w:sz w:val="20"/>
                <w:szCs w:val="20"/>
                <w:color w:val="auto"/>
              </w:rPr>
            </w:pPr>
            <w:r>
              <w:rPr>
                <w:rFonts w:ascii="Arial" w:cs="Arial" w:eastAsia="Arial" w:hAnsi="Arial"/>
                <w:sz w:val="14"/>
                <w:szCs w:val="14"/>
                <w:color w:val="auto"/>
              </w:rPr>
              <w:t>(a)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ind w:left="19"/>
              <w:spacing w:after="0" w:line="149" w:lineRule="exact"/>
              <w:rPr>
                <w:sz w:val="20"/>
                <w:szCs w:val="20"/>
                <w:color w:val="auto"/>
              </w:rPr>
            </w:pPr>
            <w:r>
              <w:rPr>
                <w:rFonts w:ascii="Arial" w:cs="Arial" w:eastAsia="Arial" w:hAnsi="Arial"/>
                <w:sz w:val="14"/>
                <w:szCs w:val="14"/>
                <w:color w:val="auto"/>
                <w:w w:val="88"/>
              </w:rPr>
              <w:t>(dollars in thousands)</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financial, leasing, etc.</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7,281</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7,281</w:t>
            </w:r>
          </w:p>
        </w:tc>
        <w:tc>
          <w:tcPr>
            <w:tcW w:w="3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11,851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builder and developer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18,586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17,661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116,414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108,806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(7,608)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commercial construction</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Interest rate reduction</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13,341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Alt-A</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Home equity lines and loans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0"/>
              <w:spacing w:after="0"/>
              <w:rPr>
                <w:sz w:val="20"/>
                <w:szCs w:val="20"/>
                <w:color w:val="auto"/>
              </w:rPr>
            </w:pPr>
            <w:r>
              <w:rPr>
                <w:rFonts w:ascii="Arial" w:cs="Arial" w:eastAsia="Arial" w:hAnsi="Arial"/>
                <w:sz w:val="18"/>
                <w:szCs w:val="18"/>
                <w:color w:val="auto"/>
              </w:rPr>
              <w:t>Automobile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Interest rate reduction</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Combination of concession types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Principal deferral</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3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300" w:type="dxa"/>
            <w:vAlign w:val="bottom"/>
            <w:gridSpan w:val="2"/>
          </w:tcPr>
          <w:p>
            <w:pPr>
              <w:ind w:left="480"/>
              <w:spacing w:after="0"/>
              <w:rPr>
                <w:sz w:val="20"/>
                <w:szCs w:val="20"/>
                <w:color w:val="auto"/>
              </w:rPr>
            </w:pPr>
            <w:r>
              <w:rPr>
                <w:rFonts w:ascii="Arial" w:cs="Arial" w:eastAsia="Arial" w:hAnsi="Arial"/>
                <w:sz w:val="18"/>
                <w:szCs w:val="18"/>
                <w:color w:val="auto"/>
              </w:rPr>
              <w:t>Combination of concession types</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w:t>
            </w:r>
          </w:p>
        </w:tc>
        <w:tc>
          <w:tcPr>
            <w:tcW w:w="146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189,602</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181,279</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(8,323)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Financial effects impacting the recorded investment included principal payments or advances, charge-offs and capitalized escrow arrearages.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the present value of interest rate concessions discounted at the effective rate of the original loan.</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Loans that were modified as troubled debt restructurings during the twelve months ended June 30, 2012 and 2011 and for which there was a subsequent payment default during the three-month and six-month periods ended June 30, 2012 and 2011, respectively, were not material.</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M&amp;T had $1.2 billion of fixed and floating rate junior subordinated deferrable interest debentures (“Junior Subordinated Debentures”) outstanding at June 30, 2012 which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the Federal Reserve Board’s current risk-based capital guidelines, the Capital Securities are includable in M&amp;T’s Tier 1 capital. However, the Dodd-Frank Wall Street Reform and Consumer Protection Act of 2010 that was signed into law on July 21, 2010 provides for a three-year phase-in related to the exclusion of trust preferred capital securities from Tier 1 capital for large financial institutions, including M&amp;T. That phase-in period begins on January 1, 2013.</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the event of an extended interest period exceeding twenty quarterly periods for $350 million of Junior Subordinated Debentures due January 31, 2068, M&amp;T must fund the payment of accrued and unpaid interest through an alternative payment mechanism, which requires M&amp;T to issue common stock, non-cumulative perpetual preferred stock or warrants to purchase common stock until M&amp;T has raised an amount of eligible proceeds at least equal to the aggregate amount of accrued and unpaid deferred interest on the Junior Subordinated Debentures due January 31, 2068.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2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2068)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 In connection with the issuance of 8.50% Enhanced Trust Preferred Securities associated with $350 million of Junior Subordinated Debentures maturing in 2068, M&amp;T entered into a replacement capital covenant that provides that neither M&amp;T nor any of its subsidiaries will repay, redeem or purchase any of the Junior Subordinated Debentures due January 31, 2068 or the 8.50% Enhanced Trust Preferred Securities prior to January 31, 2048, with certain limited exceptions, except to the extent that, during the 180 days prior to the date of that repayment, redemption or purchase, M&amp;T and its subsidiaries have received proceeds from the sale of qualifying securities that (i) have equity-like characteristics that are the same as, or more equity-like than, the applicable characteristics of the 8.50% Enhanced Trust Preferred Securities or the Junior Subordinated Debentures due January 31, 2068, as applicable, at the time of repayment, redemption or purchase, and (ii) M&amp;T has obtained the prior approval of the Federal Reserve Board, if required.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 continued</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Including the unamortized portions of purchase accounting adjustments to reflect estimated fair value at the acquisition dates of the Common Securities of various trusts, the Junior Subordinated Debentures associated with Capital Securities had financial statement carrying values of $1.2 billion at each of June 30, 2012 and December 31, 2011.</w:t>
      </w:r>
    </w:p>
    <w:p>
      <w:pPr>
        <w:spacing w:after="0" w:line="25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Issued and outstanding preferred stock of M&amp;T is presented below:</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w w:val="90"/>
              </w:rPr>
              <w:t>Carrying</w:t>
            </w:r>
          </w:p>
        </w:tc>
      </w:tr>
      <w:tr>
        <w:trPr>
          <w:trHeight w:val="149"/>
        </w:trPr>
        <w:tc>
          <w:tcPr>
            <w:tcW w:w="6060" w:type="dxa"/>
            <w:vAlign w:val="bottom"/>
          </w:tcPr>
          <w:p>
            <w:pPr>
              <w:spacing w:after="0"/>
              <w:rPr>
                <w:sz w:val="12"/>
                <w:szCs w:val="12"/>
                <w:color w:val="auto"/>
              </w:rPr>
            </w:pPr>
          </w:p>
        </w:tc>
        <w:tc>
          <w:tcPr>
            <w:tcW w:w="88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81"/>
              </w:rPr>
              <w:t>Shares</w:t>
            </w:r>
          </w:p>
        </w:tc>
        <w:tc>
          <w:tcPr>
            <w:tcW w:w="1580" w:type="dxa"/>
            <w:vAlign w:val="bottom"/>
          </w:tcPr>
          <w:p>
            <w:pPr>
              <w:jc w:val="center"/>
              <w:spacing w:after="0" w:line="149" w:lineRule="exact"/>
              <w:rPr>
                <w:sz w:val="20"/>
                <w:szCs w:val="20"/>
                <w:color w:val="auto"/>
              </w:rPr>
            </w:pPr>
            <w:r>
              <w:rPr>
                <w:rFonts w:ascii="Arial" w:cs="Arial" w:eastAsia="Arial" w:hAnsi="Arial"/>
                <w:sz w:val="14"/>
                <w:szCs w:val="14"/>
                <w:color w:val="auto"/>
                <w:w w:val="90"/>
              </w:rPr>
              <w:t>Carrying</w:t>
            </w:r>
          </w:p>
        </w:tc>
        <w:tc>
          <w:tcPr>
            <w:tcW w:w="1060" w:type="dxa"/>
            <w:vAlign w:val="bottom"/>
            <w:gridSpan w:val="2"/>
          </w:tcPr>
          <w:p>
            <w:pPr>
              <w:jc w:val="center"/>
              <w:ind w:left="4"/>
              <w:spacing w:after="0" w:line="149" w:lineRule="exact"/>
              <w:rPr>
                <w:sz w:val="20"/>
                <w:szCs w:val="20"/>
                <w:color w:val="auto"/>
              </w:rPr>
            </w:pPr>
            <w:r>
              <w:rPr>
                <w:rFonts w:ascii="Arial" w:cs="Arial" w:eastAsia="Arial" w:hAnsi="Arial"/>
                <w:sz w:val="14"/>
                <w:szCs w:val="14"/>
                <w:color w:val="auto"/>
                <w:w w:val="89"/>
              </w:rPr>
              <w:t>value</w:t>
            </w:r>
          </w:p>
        </w:tc>
      </w:tr>
      <w:tr>
        <w:trPr>
          <w:trHeight w:val="149"/>
        </w:trPr>
        <w:tc>
          <w:tcPr>
            <w:tcW w:w="6060" w:type="dxa"/>
            <w:vAlign w:val="bottom"/>
          </w:tcPr>
          <w:p>
            <w:pPr>
              <w:spacing w:after="0"/>
              <w:rPr>
                <w:sz w:val="12"/>
                <w:szCs w:val="12"/>
                <w:color w:val="auto"/>
              </w:rPr>
            </w:pPr>
          </w:p>
        </w:tc>
        <w:tc>
          <w:tcPr>
            <w:tcW w:w="880" w:type="dxa"/>
            <w:vAlign w:val="bottom"/>
          </w:tcPr>
          <w:p>
            <w:pPr>
              <w:jc w:val="center"/>
              <w:ind w:right="162"/>
              <w:spacing w:after="0" w:line="149" w:lineRule="exact"/>
              <w:rPr>
                <w:sz w:val="20"/>
                <w:szCs w:val="20"/>
                <w:color w:val="auto"/>
              </w:rPr>
            </w:pPr>
            <w:r>
              <w:rPr>
                <w:rFonts w:ascii="Arial" w:cs="Arial" w:eastAsia="Arial" w:hAnsi="Arial"/>
                <w:sz w:val="14"/>
                <w:szCs w:val="14"/>
                <w:color w:val="auto"/>
                <w:w w:val="82"/>
              </w:rPr>
              <w:t>issued and</w:t>
            </w:r>
          </w:p>
        </w:tc>
        <w:tc>
          <w:tcPr>
            <w:tcW w:w="1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9"/>
              </w:rPr>
              <w:t>value</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December 31,</w:t>
            </w:r>
          </w:p>
        </w:tc>
      </w:tr>
      <w:tr>
        <w:trPr>
          <w:trHeight w:val="159"/>
        </w:trPr>
        <w:tc>
          <w:tcPr>
            <w:tcW w:w="6060" w:type="dxa"/>
            <w:vAlign w:val="bottom"/>
          </w:tcPr>
          <w:p>
            <w:pPr>
              <w:spacing w:after="0"/>
              <w:rPr>
                <w:sz w:val="13"/>
                <w:szCs w:val="13"/>
                <w:color w:val="auto"/>
              </w:rPr>
            </w:pPr>
          </w:p>
        </w:tc>
        <w:tc>
          <w:tcPr>
            <w:tcW w:w="880" w:type="dxa"/>
            <w:vAlign w:val="bottom"/>
            <w:tcBorders>
              <w:bottom w:val="single" w:sz="8" w:color="auto"/>
            </w:tcBorders>
          </w:tcPr>
          <w:p>
            <w:pPr>
              <w:jc w:val="center"/>
              <w:ind w:right="182"/>
              <w:spacing w:after="0" w:line="159" w:lineRule="exact"/>
              <w:rPr>
                <w:sz w:val="20"/>
                <w:szCs w:val="20"/>
                <w:color w:val="auto"/>
              </w:rPr>
            </w:pPr>
            <w:r>
              <w:rPr>
                <w:rFonts w:ascii="Arial" w:cs="Arial" w:eastAsia="Arial" w:hAnsi="Arial"/>
                <w:sz w:val="14"/>
                <w:szCs w:val="14"/>
                <w:color w:val="auto"/>
                <w:w w:val="85"/>
              </w:rPr>
              <w:t>outstanding</w:t>
            </w:r>
          </w:p>
        </w:tc>
        <w:tc>
          <w:tcPr>
            <w:tcW w:w="1580" w:type="dxa"/>
            <w:vAlign w:val="bottom"/>
            <w:tcBorders>
              <w:bottom w:val="single" w:sz="8" w:color="auto"/>
            </w:tcBorders>
          </w:tcPr>
          <w:p>
            <w:pPr>
              <w:jc w:val="center"/>
              <w:ind w:right="4"/>
              <w:spacing w:after="0" w:line="159" w:lineRule="exact"/>
              <w:rPr>
                <w:sz w:val="20"/>
                <w:szCs w:val="20"/>
                <w:color w:val="auto"/>
              </w:rPr>
            </w:pPr>
            <w:r>
              <w:rPr>
                <w:rFonts w:ascii="Arial" w:cs="Arial" w:eastAsia="Arial" w:hAnsi="Arial"/>
                <w:sz w:val="14"/>
                <w:szCs w:val="14"/>
                <w:color w:val="auto"/>
                <w:w w:val="83"/>
              </w:rPr>
              <w:t>June 30, 2012</w:t>
            </w:r>
          </w:p>
        </w:tc>
        <w:tc>
          <w:tcPr>
            <w:tcW w:w="960" w:type="dxa"/>
            <w:vAlign w:val="bottom"/>
            <w:tcBorders>
              <w:bottom w:val="single" w:sz="8" w:color="auto"/>
            </w:tcBorders>
          </w:tcPr>
          <w:p>
            <w:pPr>
              <w:jc w:val="center"/>
              <w:ind w:left="104"/>
              <w:spacing w:after="0" w:line="15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r>
      <w:tr>
        <w:trPr>
          <w:trHeight w:val="142"/>
        </w:trPr>
        <w:tc>
          <w:tcPr>
            <w:tcW w:w="6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80" w:type="dxa"/>
            <w:vAlign w:val="bottom"/>
          </w:tcPr>
          <w:p>
            <w:pPr>
              <w:jc w:val="right"/>
              <w:ind w:right="84"/>
              <w:spacing w:after="0" w:line="142" w:lineRule="exact"/>
              <w:rPr>
                <w:sz w:val="20"/>
                <w:szCs w:val="20"/>
                <w:color w:val="auto"/>
              </w:rPr>
            </w:pPr>
            <w:r>
              <w:rPr>
                <w:rFonts w:ascii="Arial" w:cs="Arial" w:eastAsia="Arial" w:hAnsi="Arial"/>
                <w:sz w:val="14"/>
                <w:szCs w:val="14"/>
                <w:color w:val="auto"/>
              </w:rPr>
              <w:t>(dollars in thousands)</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A (a)(b)</w:t>
            </w: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06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A, $1,000</w:t>
            </w: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880" w:type="dxa"/>
            <w:vAlign w:val="bottom"/>
          </w:tcPr>
          <w:p>
            <w:pPr>
              <w:jc w:val="right"/>
              <w:ind w:right="162"/>
              <w:spacing w:after="0"/>
              <w:rPr>
                <w:sz w:val="20"/>
                <w:szCs w:val="20"/>
                <w:color w:val="auto"/>
              </w:rPr>
            </w:pPr>
            <w:r>
              <w:rPr>
                <w:rFonts w:ascii="Arial" w:cs="Arial" w:eastAsia="Arial" w:hAnsi="Arial"/>
                <w:sz w:val="18"/>
                <w:szCs w:val="18"/>
                <w:color w:val="auto"/>
                <w:w w:val="95"/>
              </w:rPr>
              <w:t>230,000</w:t>
            </w:r>
          </w:p>
        </w:tc>
        <w:tc>
          <w:tcPr>
            <w:tcW w:w="1580" w:type="dxa"/>
            <w:vAlign w:val="bottom"/>
          </w:tcPr>
          <w:p>
            <w:pPr>
              <w:jc w:val="right"/>
              <w:ind w:right="384"/>
              <w:spacing w:after="0"/>
              <w:rPr>
                <w:sz w:val="20"/>
                <w:szCs w:val="20"/>
                <w:color w:val="auto"/>
              </w:rPr>
            </w:pPr>
            <w:r>
              <w:rPr>
                <w:rFonts w:ascii="Arial" w:cs="Arial" w:eastAsia="Arial" w:hAnsi="Arial"/>
                <w:sz w:val="18"/>
                <w:szCs w:val="18"/>
                <w:color w:val="auto"/>
              </w:rPr>
              <w:t>$ 225,570</w:t>
            </w:r>
          </w:p>
        </w:tc>
        <w:tc>
          <w:tcPr>
            <w:tcW w:w="960" w:type="dxa"/>
            <w:vAlign w:val="bottom"/>
          </w:tcPr>
          <w:p>
            <w:pPr>
              <w:jc w:val="right"/>
              <w:spacing w:after="0"/>
              <w:rPr>
                <w:sz w:val="20"/>
                <w:szCs w:val="20"/>
                <w:color w:val="auto"/>
              </w:rPr>
            </w:pPr>
            <w:r>
              <w:rPr>
                <w:rFonts w:ascii="Arial" w:cs="Arial" w:eastAsia="Arial" w:hAnsi="Arial"/>
                <w:sz w:val="18"/>
                <w:szCs w:val="18"/>
                <w:color w:val="auto"/>
              </w:rPr>
              <w:t>$  224,277</w:t>
            </w:r>
          </w:p>
        </w:tc>
        <w:tc>
          <w:tcPr>
            <w:tcW w:w="100" w:type="dxa"/>
            <w:vAlign w:val="bottom"/>
          </w:tcPr>
          <w:p>
            <w:pPr>
              <w:spacing w:after="0"/>
              <w:rPr>
                <w:sz w:val="19"/>
                <w:szCs w:val="19"/>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C (a)(c)</w:t>
            </w: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060" w:type="dxa"/>
            <w:vAlign w:val="bottom"/>
          </w:tcPr>
          <w:p>
            <w:pPr>
              <w:spacing w:after="0"/>
              <w:rPr>
                <w:sz w:val="20"/>
                <w:szCs w:val="20"/>
                <w:color w:val="auto"/>
              </w:rPr>
            </w:pPr>
            <w:r>
              <w:rPr>
                <w:rFonts w:ascii="Arial" w:cs="Arial" w:eastAsia="Arial" w:hAnsi="Arial"/>
                <w:sz w:val="18"/>
                <w:szCs w:val="18"/>
                <w:color w:val="auto"/>
              </w:rPr>
              <w:t>Fixed Rate Cumulative Perpetual Preferred Stock, Series C, $1,000</w:t>
            </w: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606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880" w:type="dxa"/>
            <w:vAlign w:val="bottom"/>
          </w:tcPr>
          <w:p>
            <w:pPr>
              <w:jc w:val="right"/>
              <w:ind w:right="162"/>
              <w:spacing w:after="0"/>
              <w:rPr>
                <w:sz w:val="20"/>
                <w:szCs w:val="20"/>
                <w:color w:val="auto"/>
              </w:rPr>
            </w:pPr>
            <w:r>
              <w:rPr>
                <w:rFonts w:ascii="Arial" w:cs="Arial" w:eastAsia="Arial" w:hAnsi="Arial"/>
                <w:sz w:val="18"/>
                <w:szCs w:val="18"/>
                <w:color w:val="auto"/>
                <w:w w:val="95"/>
              </w:rPr>
              <w:t>151,500</w:t>
            </w:r>
          </w:p>
        </w:tc>
        <w:tc>
          <w:tcPr>
            <w:tcW w:w="1580" w:type="dxa"/>
            <w:vAlign w:val="bottom"/>
          </w:tcPr>
          <w:p>
            <w:pPr>
              <w:jc w:val="right"/>
              <w:ind w:right="384"/>
              <w:spacing w:after="0"/>
              <w:rPr>
                <w:sz w:val="20"/>
                <w:szCs w:val="20"/>
                <w:color w:val="auto"/>
              </w:rPr>
            </w:pPr>
            <w:r>
              <w:rPr>
                <w:rFonts w:ascii="Arial" w:cs="Arial" w:eastAsia="Arial" w:hAnsi="Arial"/>
                <w:sz w:val="18"/>
                <w:szCs w:val="18"/>
                <w:color w:val="auto"/>
              </w:rPr>
              <w:t>142,863</w:t>
            </w:r>
          </w:p>
        </w:tc>
        <w:tc>
          <w:tcPr>
            <w:tcW w:w="960" w:type="dxa"/>
            <w:vAlign w:val="bottom"/>
          </w:tcPr>
          <w:p>
            <w:pPr>
              <w:jc w:val="right"/>
              <w:spacing w:after="0"/>
              <w:rPr>
                <w:sz w:val="20"/>
                <w:szCs w:val="20"/>
                <w:color w:val="auto"/>
              </w:rPr>
            </w:pPr>
            <w:r>
              <w:rPr>
                <w:rFonts w:ascii="Arial" w:cs="Arial" w:eastAsia="Arial" w:hAnsi="Arial"/>
                <w:sz w:val="18"/>
                <w:szCs w:val="18"/>
                <w:color w:val="auto"/>
              </w:rPr>
              <w:t>140,308</w:t>
            </w:r>
          </w:p>
        </w:tc>
        <w:tc>
          <w:tcPr>
            <w:tcW w:w="100" w:type="dxa"/>
            <w:vAlign w:val="bottom"/>
          </w:tcPr>
          <w:p>
            <w:pPr>
              <w:spacing w:after="0"/>
              <w:rPr>
                <w:sz w:val="19"/>
                <w:szCs w:val="19"/>
                <w:color w:val="auto"/>
              </w:rPr>
            </w:pPr>
          </w:p>
        </w:tc>
      </w:tr>
      <w:tr>
        <w:trPr>
          <w:trHeight w:val="21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Series D (d)</w:t>
            </w:r>
          </w:p>
        </w:tc>
        <w:tc>
          <w:tcPr>
            <w:tcW w:w="8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6060" w:type="dxa"/>
            <w:vAlign w:val="bottom"/>
          </w:tcPr>
          <w:p>
            <w:pPr>
              <w:spacing w:after="0"/>
              <w:rPr>
                <w:sz w:val="20"/>
                <w:szCs w:val="20"/>
                <w:color w:val="auto"/>
              </w:rPr>
            </w:pPr>
            <w:r>
              <w:rPr>
                <w:rFonts w:ascii="Arial" w:cs="Arial" w:eastAsia="Arial" w:hAnsi="Arial"/>
                <w:sz w:val="18"/>
                <w:szCs w:val="18"/>
                <w:color w:val="auto"/>
              </w:rPr>
              <w:t>Fixed Rate Non-Cumulative Perpetual Preferred Stock, Series D, $10,000</w:t>
            </w:r>
          </w:p>
        </w:tc>
        <w:tc>
          <w:tcPr>
            <w:tcW w:w="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060" w:type="dxa"/>
            <w:vAlign w:val="bottom"/>
          </w:tcPr>
          <w:p>
            <w:pPr>
              <w:ind w:left="220"/>
              <w:spacing w:after="0"/>
              <w:rPr>
                <w:sz w:val="20"/>
                <w:szCs w:val="20"/>
                <w:color w:val="auto"/>
              </w:rPr>
            </w:pPr>
            <w:r>
              <w:rPr>
                <w:rFonts w:ascii="Arial" w:cs="Arial" w:eastAsia="Arial" w:hAnsi="Arial"/>
                <w:sz w:val="18"/>
                <w:szCs w:val="18"/>
                <w:color w:val="auto"/>
              </w:rPr>
              <w:t>liquidation preference per share</w:t>
            </w:r>
          </w:p>
        </w:tc>
        <w:tc>
          <w:tcPr>
            <w:tcW w:w="880" w:type="dxa"/>
            <w:vAlign w:val="bottom"/>
          </w:tcPr>
          <w:p>
            <w:pPr>
              <w:jc w:val="right"/>
              <w:ind w:right="162"/>
              <w:spacing w:after="0"/>
              <w:rPr>
                <w:sz w:val="20"/>
                <w:szCs w:val="20"/>
                <w:color w:val="auto"/>
              </w:rPr>
            </w:pPr>
            <w:r>
              <w:rPr>
                <w:rFonts w:ascii="Arial" w:cs="Arial" w:eastAsia="Arial" w:hAnsi="Arial"/>
                <w:sz w:val="18"/>
                <w:szCs w:val="18"/>
                <w:color w:val="auto"/>
              </w:rPr>
              <w:t>50,000</w:t>
            </w:r>
          </w:p>
        </w:tc>
        <w:tc>
          <w:tcPr>
            <w:tcW w:w="1580" w:type="dxa"/>
            <w:vAlign w:val="bottom"/>
          </w:tcPr>
          <w:p>
            <w:pPr>
              <w:jc w:val="right"/>
              <w:ind w:right="384"/>
              <w:spacing w:after="0"/>
              <w:rPr>
                <w:sz w:val="20"/>
                <w:szCs w:val="20"/>
                <w:color w:val="auto"/>
              </w:rPr>
            </w:pPr>
            <w:r>
              <w:rPr>
                <w:rFonts w:ascii="Arial" w:cs="Arial" w:eastAsia="Arial" w:hAnsi="Arial"/>
                <w:sz w:val="18"/>
                <w:szCs w:val="18"/>
                <w:color w:val="auto"/>
              </w:rPr>
              <w:t>500,000</w:t>
            </w:r>
          </w:p>
        </w:tc>
        <w:tc>
          <w:tcPr>
            <w:tcW w:w="96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ind w:left="460" w:right="40" w:hanging="452"/>
        <w:spacing w:after="0" w:line="251"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as part of the Troubled Asset Relief Program – Capital Purchase Program of the U.S. Department of Treasury (“U.S. Treasury”). Cash proceeds were allocated between the preferred stock and a ten-year warrant to purchase M&amp;T common stock (Series A – 1,218,522 common shares at $73.86 per share, Series C – 407,542 common shares at $55.76 per share). Dividends, if declared, will accrue and be paid quarterly at a rate of 5% per year for the first five years following the original 2008 issuance dates and thereafter at a rate of 9% per year. The agreement with the U.S. Treasury contains limitations on certain actions of M&amp;T, including the payment of quarterly cash dividends on M&amp;T’s common stock in excess of $.70 per share, the repurchase of its common stock during the first three years of the agreement, and the amount and nature of compensation arrangements for certain of the Company’s officers.</w:t>
      </w:r>
    </w:p>
    <w:p>
      <w:pPr>
        <w:spacing w:after="0" w:line="3" w:lineRule="exact"/>
        <w:rPr>
          <w:rFonts w:ascii="Arial" w:cs="Arial" w:eastAsia="Arial" w:hAnsi="Arial"/>
          <w:sz w:val="18"/>
          <w:szCs w:val="18"/>
          <w:i w:val="1"/>
          <w:iCs w:val="1"/>
          <w:color w:val="auto"/>
        </w:rPr>
      </w:pPr>
    </w:p>
    <w:p>
      <w:pPr>
        <w:ind w:left="460" w:right="100" w:hanging="452"/>
        <w:spacing w:after="0" w:line="250"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On May 18, 2011, M&amp;T redeemed and retired 370,000 shares of Series A Preferred Stock. Accelerated amortization of preferred stock discount associated with the redemption was $11.2 million.</w:t>
      </w:r>
    </w:p>
    <w:p>
      <w:pPr>
        <w:ind w:left="460" w:hanging="452"/>
        <w:spacing w:after="0"/>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assumed in an acquisition and a new Series C Preferred Stock was designated.</w:t>
      </w:r>
    </w:p>
    <w:p>
      <w:pPr>
        <w:spacing w:after="0" w:line="9" w:lineRule="exact"/>
        <w:rPr>
          <w:rFonts w:ascii="Arial" w:cs="Arial" w:eastAsia="Arial" w:hAnsi="Arial"/>
          <w:sz w:val="18"/>
          <w:szCs w:val="18"/>
          <w:i w:val="1"/>
          <w:iCs w:val="1"/>
          <w:color w:val="auto"/>
        </w:rPr>
      </w:pPr>
    </w:p>
    <w:p>
      <w:pPr>
        <w:ind w:left="460" w:hanging="452"/>
        <w:spacing w:after="0" w:line="255" w:lineRule="auto"/>
        <w:tabs>
          <w:tab w:leader="none" w:pos="4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Shares were issued on May 31, 2011. Dividends, if declared, will be paid semi-annually at a rate of 6.875% per year. The shares are redeemable in whole or in part on or after June 15, 2016. Notwithstanding M&amp;T’s option to redeem the shares, if an event occurs such that the shares no longer qualify as Tier 1 capital, M&amp;T may redeem all of the shares within 90 days following that occurrence.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to the Series A and Series C warrants mentioned in (a) above, a ten-year warrant to purchase 95,383 shares of M&amp;T common stock at $518.96 per share was outstanding at June 30, 2012 and December 31, 2011. This warrant was issued by Wilmington Trust in December 2008 as part of the Troubled Asset Relief Program – Capital Purchase Program of the U.S. Treasury along with $330 million of fixed rate cumulative perpetual preferred stock, which was redeemed by M&amp;T immediately prior to the May 16, 2011 acquisition of Wilmington Trust.</w:t>
      </w:r>
    </w:p>
    <w:p>
      <w:pPr>
        <w:spacing w:after="0" w:line="228"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 and other postretirement benefits</w:t>
      </w:r>
    </w:p>
    <w:p>
      <w:pPr>
        <w:spacing w:after="0" w:line="9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Other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7"/>
              </w:rPr>
              <w:t>postretirement</w:t>
            </w:r>
          </w:p>
        </w:tc>
      </w:tr>
      <w:tr>
        <w:trPr>
          <w:trHeight w:val="159"/>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benefits</w:t>
            </w:r>
          </w:p>
        </w:tc>
        <w:tc>
          <w:tcPr>
            <w:tcW w:w="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left="299"/>
              <w:spacing w:after="0" w:line="159" w:lineRule="exact"/>
              <w:rPr>
                <w:sz w:val="20"/>
                <w:szCs w:val="20"/>
                <w:color w:val="auto"/>
              </w:rPr>
            </w:pPr>
            <w:r>
              <w:rPr>
                <w:rFonts w:ascii="Arial" w:cs="Arial" w:eastAsia="Arial" w:hAnsi="Arial"/>
                <w:sz w:val="14"/>
                <w:szCs w:val="14"/>
                <w:color w:val="auto"/>
                <w:w w:val="85"/>
              </w:rPr>
              <w:t>benefits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300" w:type="dxa"/>
            <w:vAlign w:val="bottom"/>
            <w:gridSpan w:val="7"/>
          </w:tcPr>
          <w:p>
            <w:pPr>
              <w:jc w:val="center"/>
              <w:ind w:right="220"/>
              <w:spacing w:after="0" w:line="131" w:lineRule="exact"/>
              <w:rPr>
                <w:sz w:val="20"/>
                <w:szCs w:val="20"/>
                <w:color w:val="auto"/>
              </w:rPr>
            </w:pPr>
            <w:r>
              <w:rPr>
                <w:rFonts w:ascii="Arial" w:cs="Arial" w:eastAsia="Arial" w:hAnsi="Arial"/>
                <w:sz w:val="14"/>
                <w:szCs w:val="14"/>
                <w:color w:val="auto"/>
                <w:w w:val="85"/>
              </w:rPr>
              <w:t>Three months ended 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9"/>
              <w:spacing w:after="0" w:line="159" w:lineRule="exact"/>
              <w:rPr>
                <w:sz w:val="20"/>
                <w:szCs w:val="20"/>
                <w:color w:val="auto"/>
              </w:rPr>
            </w:pPr>
            <w:r>
              <w:rPr>
                <w:rFonts w:ascii="Arial" w:cs="Arial" w:eastAsia="Arial" w:hAnsi="Arial"/>
                <w:sz w:val="14"/>
                <w:szCs w:val="14"/>
                <w:color w:val="auto"/>
                <w:w w:val="96"/>
              </w:rPr>
              <w:t>2012</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left="137"/>
              <w:spacing w:after="0" w:line="142" w:lineRule="exact"/>
              <w:rPr>
                <w:sz w:val="20"/>
                <w:szCs w:val="20"/>
                <w:color w:val="auto"/>
              </w:rPr>
            </w:pPr>
            <w:r>
              <w:rPr>
                <w:rFonts w:ascii="Arial" w:cs="Arial" w:eastAsia="Arial" w:hAnsi="Arial"/>
                <w:sz w:val="14"/>
                <w:szCs w:val="14"/>
                <w:color w:val="auto"/>
                <w:w w:val="85"/>
              </w:rPr>
              <w:t>(in thousands)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15,418</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14,086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(17,581)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(14,563)</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(1,629)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(1,629)</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12,266</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1,253</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1,071</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5"/>
        </w:trPr>
        <w:tc>
          <w:tcPr>
            <w:tcW w:w="7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Other</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Pension</w:t>
            </w: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5"/>
          </w:tcPr>
          <w:p>
            <w:pPr>
              <w:jc w:val="center"/>
              <w:ind w:right="140"/>
              <w:spacing w:after="0" w:line="149" w:lineRule="exact"/>
              <w:rPr>
                <w:sz w:val="20"/>
                <w:szCs w:val="20"/>
                <w:color w:val="auto"/>
              </w:rPr>
            </w:pPr>
            <w:r>
              <w:rPr>
                <w:rFonts w:ascii="Arial" w:cs="Arial" w:eastAsia="Arial" w:hAnsi="Arial"/>
                <w:sz w:val="14"/>
                <w:szCs w:val="14"/>
                <w:color w:val="auto"/>
                <w:w w:val="87"/>
              </w:rPr>
              <w:t>postretirement</w:t>
            </w:r>
          </w:p>
        </w:tc>
      </w:tr>
      <w:tr>
        <w:trPr>
          <w:trHeight w:val="159"/>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benefits</w:t>
            </w:r>
          </w:p>
        </w:tc>
        <w:tc>
          <w:tcPr>
            <w:tcW w:w="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left="299"/>
              <w:spacing w:after="0" w:line="159" w:lineRule="exact"/>
              <w:rPr>
                <w:sz w:val="20"/>
                <w:szCs w:val="20"/>
                <w:color w:val="auto"/>
              </w:rPr>
            </w:pPr>
            <w:r>
              <w:rPr>
                <w:rFonts w:ascii="Arial" w:cs="Arial" w:eastAsia="Arial" w:hAnsi="Arial"/>
                <w:sz w:val="14"/>
                <w:szCs w:val="14"/>
                <w:color w:val="auto"/>
                <w:w w:val="85"/>
              </w:rPr>
              <w:t>benefits</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300" w:type="dxa"/>
            <w:vAlign w:val="bottom"/>
            <w:gridSpan w:val="7"/>
          </w:tcPr>
          <w:p>
            <w:pPr>
              <w:jc w:val="center"/>
              <w:ind w:right="240"/>
              <w:spacing w:after="0" w:line="131" w:lineRule="exact"/>
              <w:rPr>
                <w:sz w:val="20"/>
                <w:szCs w:val="20"/>
                <w:color w:val="auto"/>
              </w:rPr>
            </w:pPr>
            <w:r>
              <w:rPr>
                <w:rFonts w:ascii="Arial" w:cs="Arial" w:eastAsia="Arial" w:hAnsi="Arial"/>
                <w:sz w:val="14"/>
                <w:szCs w:val="14"/>
                <w:color w:val="auto"/>
                <w:w w:val="85"/>
              </w:rPr>
              <w:t>Six months ended 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7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line="159" w:lineRule="exact"/>
              <w:rPr>
                <w:sz w:val="20"/>
                <w:szCs w:val="20"/>
                <w:color w:val="auto"/>
              </w:rPr>
            </w:pPr>
            <w:r>
              <w:rPr>
                <w:rFonts w:ascii="Arial" w:cs="Arial" w:eastAsia="Arial" w:hAnsi="Arial"/>
                <w:sz w:val="14"/>
                <w:szCs w:val="14"/>
                <w:color w:val="auto"/>
              </w:rPr>
              <w:t>2012</w:t>
            </w: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9"/>
              <w:spacing w:after="0" w:line="159" w:lineRule="exact"/>
              <w:rPr>
                <w:sz w:val="20"/>
                <w:szCs w:val="20"/>
                <w:color w:val="auto"/>
              </w:rPr>
            </w:pPr>
            <w:r>
              <w:rPr>
                <w:rFonts w:ascii="Arial" w:cs="Arial" w:eastAsia="Arial" w:hAnsi="Arial"/>
                <w:sz w:val="14"/>
                <w:szCs w:val="14"/>
                <w:color w:val="auto"/>
                <w:w w:val="96"/>
              </w:rPr>
              <w:t>2012</w:t>
            </w: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3"/>
          </w:tcPr>
          <w:p>
            <w:pPr>
              <w:jc w:val="center"/>
              <w:ind w:left="137"/>
              <w:spacing w:after="0" w:line="142" w:lineRule="exact"/>
              <w:rPr>
                <w:sz w:val="20"/>
                <w:szCs w:val="20"/>
                <w:color w:val="auto"/>
              </w:rPr>
            </w:pPr>
            <w:r>
              <w:rPr>
                <w:rFonts w:ascii="Arial" w:cs="Arial" w:eastAsia="Arial" w:hAnsi="Arial"/>
                <w:sz w:val="14"/>
                <w:szCs w:val="14"/>
                <w:color w:val="auto"/>
                <w:w w:val="85"/>
              </w:rPr>
              <w:t>(in thousands)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14 ,775</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11,713</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31,018</w:t>
            </w:r>
          </w:p>
        </w:tc>
        <w:tc>
          <w:tcPr>
            <w:tcW w:w="4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26,236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1,869</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1,684</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9"/>
              </w:rPr>
              <w:t>(35,256)</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(27,263)</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(3,279)</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(3,279)</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18,583</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4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22"/>
        </w:trPr>
        <w:tc>
          <w:tcPr>
            <w:tcW w:w="70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25,841</w:t>
            </w: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17,672</w:t>
            </w: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2,478</w:t>
            </w:r>
          </w:p>
        </w:tc>
        <w:tc>
          <w:tcPr>
            <w:tcW w:w="3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1,996</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Expense incurred in connection with the Company’s defined contribution pension and retirement savings plans totaled $11,390,000 and $9,890,000 for the three months ended June 30, 2012 and 2011, respectively, and $26,015,000 and $20,066,000 for the six months ended June 30, 2012 and 2011, respectively.</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28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earnings per common share follow: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580"/>
              <w:spacing w:after="0"/>
              <w:rPr>
                <w:sz w:val="20"/>
                <w:szCs w:val="20"/>
                <w:color w:val="auto"/>
              </w:rPr>
            </w:pPr>
            <w:r>
              <w:rPr>
                <w:rFonts w:ascii="Arial" w:cs="Arial" w:eastAsia="Arial" w:hAnsi="Arial"/>
                <w:sz w:val="14"/>
                <w:szCs w:val="14"/>
                <w:color w:val="auto"/>
                <w:w w:val="94"/>
              </w:rPr>
              <w:t>Three months ended</w:t>
            </w:r>
          </w:p>
        </w:tc>
        <w:tc>
          <w:tcPr>
            <w:tcW w:w="1680" w:type="dxa"/>
            <w:vAlign w:val="bottom"/>
            <w:gridSpan w:val="4"/>
          </w:tcPr>
          <w:p>
            <w:pPr>
              <w:jc w:val="right"/>
              <w:ind w:righ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920"/>
              <w:spacing w:after="0"/>
              <w:rPr>
                <w:sz w:val="20"/>
                <w:szCs w:val="20"/>
                <w:color w:val="auto"/>
              </w:rPr>
            </w:pPr>
            <w:r>
              <w:rPr>
                <w:rFonts w:ascii="Arial" w:cs="Arial" w:eastAsia="Arial" w:hAnsi="Arial"/>
                <w:sz w:val="14"/>
                <w:szCs w:val="14"/>
                <w:color w:val="auto"/>
              </w:rPr>
              <w:t>June 30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2"/>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5"/>
          </w:tcPr>
          <w:p>
            <w:pPr>
              <w:jc w:val="right"/>
              <w:ind w:right="320"/>
              <w:spacing w:after="0" w:line="142" w:lineRule="exact"/>
              <w:rPr>
                <w:sz w:val="20"/>
                <w:szCs w:val="20"/>
                <w:color w:val="auto"/>
              </w:rPr>
            </w:pPr>
            <w:r>
              <w:rPr>
                <w:rFonts w:ascii="Arial" w:cs="Arial" w:eastAsia="Arial" w:hAnsi="Arial"/>
                <w:sz w:val="14"/>
                <w:szCs w:val="14"/>
                <w:color w:val="auto"/>
                <w:w w:val="88"/>
              </w:rPr>
              <w:t>(in thousands, except per 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available to common shareholders: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233,380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322,358</w:t>
            </w:r>
          </w:p>
        </w:tc>
        <w:tc>
          <w:tcPr>
            <w:tcW w:w="3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439,843</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528,631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Preferred stock dividends (a)</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(13,362)</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(7,184)</w:t>
            </w:r>
          </w:p>
        </w:tc>
        <w:tc>
          <w:tcPr>
            <w:tcW w:w="10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(26,725)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860"/>
              <w:spacing w:after="0"/>
              <w:rPr>
                <w:sz w:val="20"/>
                <w:szCs w:val="20"/>
                <w:color w:val="auto"/>
              </w:rPr>
            </w:pPr>
            <w:r>
              <w:rPr>
                <w:rFonts w:ascii="Arial" w:cs="Arial" w:eastAsia="Arial" w:hAnsi="Arial"/>
                <w:sz w:val="18"/>
                <w:szCs w:val="18"/>
                <w:color w:val="auto"/>
              </w:rPr>
              <w:t>Amortization of preferred stock discount (a)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(1,964)</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(13,531)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(3,888)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to common equity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218,054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301,643</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409,230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494,665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(3,345)</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(4,479)</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(6,283)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214,709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297,164</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402,947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487,283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shares outstanding (including common stock issuable) and unvested stock-</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based compensation awards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127,445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124,035</w:t>
            </w: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127,301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Less: Unvested stock-based compensation awards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(1,957)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(1,854)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(1,947)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125,488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122,181</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125,354</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120,699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240" w:top="280" w:right="69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7340" w:type="dxa"/>
            <w:vAlign w:val="bottom"/>
            <w:gridSpan w:val="3"/>
          </w:tcPr>
          <w:p>
            <w:pPr>
              <w:spacing w:after="0"/>
              <w:rPr>
                <w:sz w:val="20"/>
                <w:szCs w:val="20"/>
                <w:color w:val="auto"/>
              </w:rPr>
            </w:pPr>
            <w:r>
              <w:rPr>
                <w:rFonts w:ascii="Arial" w:cs="Arial" w:eastAsia="Arial" w:hAnsi="Arial"/>
                <w:sz w:val="18"/>
                <w:szCs w:val="18"/>
                <w:color w:val="auto"/>
              </w:rPr>
              <w:t>NOTES TO FINANCIAL STATEMENTS, CONTINUED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7040" w:type="dxa"/>
            <w:vAlign w:val="bottom"/>
            <w:gridSpan w:val="2"/>
          </w:tcPr>
          <w:p>
            <w:pPr>
              <w:ind w:left="160"/>
              <w:spacing w:after="0"/>
              <w:rPr>
                <w:sz w:val="20"/>
                <w:szCs w:val="20"/>
                <w:color w:val="auto"/>
              </w:rPr>
            </w:pPr>
            <w:r>
              <w:rPr>
                <w:rFonts w:ascii="Arial" w:cs="Arial" w:eastAsia="Arial" w:hAnsi="Arial"/>
                <w:sz w:val="18"/>
                <w:szCs w:val="18"/>
                <w:b w:val="1"/>
                <w:bCs w:val="1"/>
                <w:color w:val="auto"/>
              </w:rPr>
              <w:t>Earnings per common share, continued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40" w:type="dxa"/>
            <w:vAlign w:val="bottom"/>
            <w:gridSpan w:val="3"/>
          </w:tcPr>
          <w:p>
            <w:pPr>
              <w:spacing w:after="0"/>
              <w:rPr>
                <w:sz w:val="20"/>
                <w:szCs w:val="20"/>
                <w:color w:val="auto"/>
              </w:rPr>
            </w:pPr>
            <w:r>
              <w:rPr>
                <w:rFonts w:ascii="Arial" w:cs="Arial" w:eastAsia="Arial" w:hAnsi="Arial"/>
                <w:sz w:val="18"/>
                <w:szCs w:val="18"/>
                <w:color w:val="auto"/>
              </w:rPr>
              <w:t>The computations of diluted earnings per common share follow:</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4"/>
                <w:szCs w:val="14"/>
                <w:color w:val="auto"/>
                <w:w w:val="95"/>
              </w:rPr>
              <w:t>Three months ended</w:t>
            </w:r>
          </w:p>
        </w:tc>
        <w:tc>
          <w:tcPr>
            <w:tcW w:w="1680" w:type="dxa"/>
            <w:vAlign w:val="bottom"/>
            <w:gridSpan w:val="4"/>
          </w:tcPr>
          <w:p>
            <w:pPr>
              <w:jc w:val="right"/>
              <w:ind w:righ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920"/>
              <w:spacing w:after="0"/>
              <w:rPr>
                <w:sz w:val="20"/>
                <w:szCs w:val="20"/>
                <w:color w:val="auto"/>
              </w:rPr>
            </w:pPr>
            <w:r>
              <w:rPr>
                <w:rFonts w:ascii="Arial" w:cs="Arial" w:eastAsia="Arial" w:hAnsi="Arial"/>
                <w:sz w:val="14"/>
                <w:szCs w:val="14"/>
                <w:color w:val="auto"/>
              </w:rPr>
              <w:t>June 30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line="159"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92"/>
              <w:spacing w:after="0" w:line="159" w:lineRule="exact"/>
              <w:rPr>
                <w:sz w:val="20"/>
                <w:szCs w:val="20"/>
                <w:color w:val="auto"/>
              </w:rPr>
            </w:pPr>
            <w:r>
              <w:rPr>
                <w:rFonts w:ascii="Arial" w:cs="Arial" w:eastAsia="Arial" w:hAnsi="Arial"/>
                <w:sz w:val="14"/>
                <w:szCs w:val="14"/>
                <w:color w:val="auto"/>
              </w:rPr>
              <w:t>2011</w:t>
            </w: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8"/>
              <w:spacing w:after="0" w:line="159"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20" w:type="dxa"/>
            <w:vAlign w:val="bottom"/>
            <w:gridSpan w:val="5"/>
          </w:tcPr>
          <w:p>
            <w:pPr>
              <w:jc w:val="right"/>
              <w:ind w:right="320"/>
              <w:spacing w:after="0" w:line="142" w:lineRule="exact"/>
              <w:rPr>
                <w:sz w:val="20"/>
                <w:szCs w:val="20"/>
                <w:color w:val="auto"/>
              </w:rPr>
            </w:pPr>
            <w:r>
              <w:rPr>
                <w:rFonts w:ascii="Arial" w:cs="Arial" w:eastAsia="Arial" w:hAnsi="Arial"/>
                <w:sz w:val="14"/>
                <w:szCs w:val="14"/>
                <w:color w:val="auto"/>
                <w:w w:val="88"/>
              </w:rPr>
              <w:t>(in thousands, except per share)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218,054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301,643</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409,230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494,665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tcPr>
          <w:p>
            <w:pPr>
              <w:ind w:left="440"/>
              <w:spacing w:after="0"/>
              <w:rPr>
                <w:sz w:val="20"/>
                <w:szCs w:val="20"/>
                <w:color w:val="auto"/>
              </w:rPr>
            </w:pPr>
            <w:r>
              <w:rPr>
                <w:rFonts w:ascii="Arial" w:cs="Arial" w:eastAsia="Arial" w:hAnsi="Arial"/>
                <w:sz w:val="18"/>
                <w:szCs w:val="18"/>
                <w:color w:val="auto"/>
              </w:rPr>
              <w:t>Less: Income attributable to unvested stock-based compensation awards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(3,338)</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(4,464)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(6,272)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214,716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297,179</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402,958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487,308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and unvested stock-based compensation awards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127,445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124,035</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127,301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122,522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tcPr>
          <w:p>
            <w:pPr>
              <w:ind w:left="440"/>
              <w:spacing w:after="0"/>
              <w:rPr>
                <w:sz w:val="20"/>
                <w:szCs w:val="20"/>
                <w:color w:val="auto"/>
              </w:rPr>
            </w:pPr>
            <w:r>
              <w:rPr>
                <w:rFonts w:ascii="Arial" w:cs="Arial" w:eastAsia="Arial" w:hAnsi="Arial"/>
                <w:sz w:val="18"/>
                <w:szCs w:val="18"/>
                <w:color w:val="auto"/>
              </w:rPr>
              <w:t>Less: Unvested stock-based compensation awards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(1,957)</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(1,854)</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(1,947)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08"/>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Plus: Incremental shares from assumed conversion of stock-based compensation awards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and convertible preferred stock</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20" w:type="dxa"/>
            <w:vAlign w:val="bottom"/>
            <w:shd w:val="clear" w:color="auto" w:fill="CCEEFF"/>
          </w:tcPr>
          <w:p>
            <w:pPr>
              <w:spacing w:after="0"/>
              <w:rPr>
                <w:sz w:val="19"/>
                <w:szCs w:val="19"/>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80" w:type="dxa"/>
            <w:vAlign w:val="bottom"/>
            <w:vMerge w:val="restart"/>
          </w:tcPr>
          <w:p>
            <w:pPr>
              <w:ind w:left="440"/>
              <w:spacing w:after="0"/>
              <w:rPr>
                <w:sz w:val="20"/>
                <w:szCs w:val="20"/>
                <w:color w:val="auto"/>
              </w:rPr>
            </w:pPr>
            <w:r>
              <w:rPr>
                <w:rFonts w:ascii="Arial" w:cs="Arial" w:eastAsia="Arial" w:hAnsi="Arial"/>
                <w:sz w:val="18"/>
                <w:szCs w:val="18"/>
                <w:color w:val="auto"/>
              </w:rPr>
              <w:t>Adjusted weighted-average shares outstanding</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125,897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122,796</w:t>
            </w:r>
          </w:p>
        </w:tc>
        <w:tc>
          <w:tcPr>
            <w:tcW w:w="3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125,756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121,332</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20" w:firstLine="456"/>
        <w:spacing w:after="0" w:line="256" w:lineRule="auto"/>
        <w:rPr>
          <w:sz w:val="20"/>
          <w:szCs w:val="20"/>
          <w:color w:val="auto"/>
        </w:rPr>
      </w:pPr>
      <w:r>
        <w:rPr>
          <w:rFonts w:ascii="Arial" w:cs="Arial" w:eastAsia="Arial" w:hAnsi="Arial"/>
          <w:sz w:val="18"/>
          <w:szCs w:val="18"/>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During the six-month periods ended June 30, 2012 and 2011, the Company issued stock-based compensation awards in the form of restricted stock and restricted stock units, which, in accordance with GAAP, are considered participating securities.</w:t>
      </w:r>
    </w:p>
    <w:p>
      <w:pPr>
        <w:spacing w:after="0" w:line="143" w:lineRule="exact"/>
        <w:rPr>
          <w:sz w:val="20"/>
          <w:szCs w:val="20"/>
          <w:color w:val="auto"/>
        </w:rPr>
      </w:pPr>
    </w:p>
    <w:p>
      <w:pPr>
        <w:ind w:right="200" w:firstLine="456"/>
        <w:spacing w:after="0" w:line="305" w:lineRule="auto"/>
        <w:rPr>
          <w:sz w:val="20"/>
          <w:szCs w:val="20"/>
          <w:color w:val="auto"/>
        </w:rPr>
      </w:pPr>
      <w:r>
        <w:rPr>
          <w:rFonts w:ascii="Arial" w:cs="Arial" w:eastAsia="Arial" w:hAnsi="Arial"/>
          <w:sz w:val="15"/>
          <w:szCs w:val="15"/>
          <w:color w:val="auto"/>
        </w:rPr>
        <w:t>Stock-based compensation awards, warrants to purchase common stock of M&amp;T and preferred stock convertible into shares of M&amp;T stock representing approximately 9.9 million and 10.1 million common shares during the three-month periods ended June 30, 2012 and 2011, respectively, and 10.0 million and</w:t>
      </w:r>
    </w:p>
    <w:p>
      <w:pPr>
        <w:spacing w:after="0" w:line="261" w:lineRule="auto"/>
        <w:rPr>
          <w:sz w:val="20"/>
          <w:szCs w:val="20"/>
          <w:color w:val="auto"/>
        </w:rPr>
      </w:pPr>
      <w:r>
        <w:rPr>
          <w:rFonts w:ascii="Arial" w:cs="Arial" w:eastAsia="Arial" w:hAnsi="Arial"/>
          <w:sz w:val="18"/>
          <w:szCs w:val="18"/>
          <w:color w:val="auto"/>
        </w:rPr>
        <w:t>10.3 million common shares during the six-month periods ended June 30, 2012 and 2011, respectively, were not included in the computations of diluted earnings per common share because the effect on those periods would have been antidilutive.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8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other comprehensive income (loss):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color w:val="auto"/>
                <w:w w:val="92"/>
              </w:rPr>
              <w:t>Before-tax</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color w:val="auto"/>
                <w:w w:val="87"/>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4"/>
              </w:rPr>
              <w:t>amount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center"/>
              <w:ind w:right="280"/>
              <w:spacing w:after="0" w:line="159" w:lineRule="exact"/>
              <w:rPr>
                <w:sz w:val="20"/>
                <w:szCs w:val="20"/>
                <w:color w:val="auto"/>
              </w:rPr>
            </w:pPr>
            <w:r>
              <w:rPr>
                <w:rFonts w:ascii="Arial" w:cs="Arial" w:eastAsia="Arial" w:hAnsi="Arial"/>
                <w:sz w:val="14"/>
                <w:szCs w:val="14"/>
                <w:color w:val="auto"/>
                <w:w w:val="83"/>
              </w:rPr>
              <w:t>taxes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color w:val="auto"/>
                <w:w w:val="85"/>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June 30, 2012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Unrealized gains (losses) on investment securities: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(“AFS”) investment securities with other-than-temporary impairment (“OTTI”):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Unrealized holding losses,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(8,024)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3,149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(22,304)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1280"/>
              <w:spacing w:after="0"/>
              <w:rPr>
                <w:sz w:val="20"/>
                <w:szCs w:val="20"/>
                <w:color w:val="auto"/>
              </w:rPr>
            </w:pPr>
            <w:r>
              <w:rPr>
                <w:rFonts w:ascii="Arial" w:cs="Arial" w:eastAsia="Arial" w:hAnsi="Arial"/>
                <w:sz w:val="18"/>
                <w:szCs w:val="18"/>
                <w:color w:val="auto"/>
              </w:rPr>
              <w:t>Net change for AFS investment securities with OTTI</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14,280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Unrealized holding gains, net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93,177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losses realized in net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1280"/>
              <w:spacing w:after="0"/>
              <w:rPr>
                <w:sz w:val="20"/>
                <w:szCs w:val="20"/>
                <w:color w:val="auto"/>
              </w:rPr>
            </w:pPr>
            <w:r>
              <w:rPr>
                <w:rFonts w:ascii="Arial" w:cs="Arial" w:eastAsia="Arial" w:hAnsi="Arial"/>
                <w:sz w:val="18"/>
                <w:szCs w:val="18"/>
                <w:color w:val="auto"/>
              </w:rPr>
              <w:t>Net change for AFS investment securities – all other</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93,540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(36,680)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56,860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Held-to-maturity (“HTM”) investment securities with OTTI: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Unrealized holding losses, net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to income of unrealized holding losses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(5,355)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change for HTM investment securities with OTTI</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5"/>
        </w:trPr>
        <w:tc>
          <w:tcPr>
            <w:tcW w:w="8700" w:type="dxa"/>
            <w:vAlign w:val="bottom"/>
            <w:gridSpan w:val="2"/>
          </w:tcPr>
          <w:p>
            <w:pPr>
              <w:spacing w:after="0"/>
              <w:rPr>
                <w:sz w:val="20"/>
                <w:szCs w:val="20"/>
                <w:color w:val="auto"/>
              </w:rPr>
            </w:pPr>
            <w:r>
              <w:rPr>
                <w:rFonts w:ascii="Arial" w:cs="Arial" w:eastAsia="Arial" w:hAnsi="Arial"/>
                <w:sz w:val="18"/>
                <w:szCs w:val="18"/>
                <w:color w:val="auto"/>
                <w:w w:val="95"/>
              </w:rPr>
              <w:t>Reclassification to income of unrealized holding losses on investment securities previously transferred from AFS to</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HTM</w:t>
            </w: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2,310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unrealized gains on investment securities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114,134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(44,763)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15,579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129,327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(50,735)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78,592</w:t>
            </w:r>
          </w:p>
        </w:tc>
        <w:tc>
          <w:tcPr>
            <w:tcW w:w="0" w:type="dxa"/>
            <w:vAlign w:val="bottom"/>
          </w:tcPr>
          <w:p>
            <w:pPr>
              <w:spacing w:after="0"/>
              <w:rPr>
                <w:sz w:val="1"/>
                <w:szCs w:val="1"/>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For the six months ended June 30, 2011</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AFS investment securities with OTTI:</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holding losses,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(11,227)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3,814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(32,071)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12,587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1280"/>
              <w:spacing w:after="0"/>
              <w:rPr>
                <w:sz w:val="20"/>
                <w:szCs w:val="20"/>
                <w:color w:val="auto"/>
              </w:rPr>
            </w:pPr>
            <w:r>
              <w:rPr>
                <w:rFonts w:ascii="Arial" w:cs="Arial" w:eastAsia="Arial" w:hAnsi="Arial"/>
                <w:sz w:val="18"/>
                <w:szCs w:val="18"/>
                <w:color w:val="auto"/>
              </w:rPr>
              <w:t>Net change for AFS investment securities with OTTI</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17,030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(6,589)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AFS investment securities – all other: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Unrealized holding gains, net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77,869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(30,368)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adjustment for gains realized in net income</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146,115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(57,257)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860"/>
              <w:spacing w:after="0"/>
              <w:rPr>
                <w:sz w:val="20"/>
                <w:szCs w:val="20"/>
                <w:color w:val="auto"/>
              </w:rPr>
            </w:pPr>
            <w:r>
              <w:rPr>
                <w:rFonts w:ascii="Arial" w:cs="Arial" w:eastAsia="Arial" w:hAnsi="Arial"/>
                <w:sz w:val="18"/>
                <w:szCs w:val="18"/>
                <w:color w:val="auto"/>
              </w:rPr>
              <w:t>Net change for AFS investment securities – all other</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(68,246)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26,889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(41,357)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HTM investment securities with OTTI: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Unrealized holding losses, net</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reclassification to income of unrealized holding losses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Less: OTTI charges recognized in net income</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change for HTM investment securities with OTTI</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5"/>
        </w:trPr>
        <w:tc>
          <w:tcPr>
            <w:tcW w:w="8700" w:type="dxa"/>
            <w:vAlign w:val="bottom"/>
            <w:gridSpan w:val="2"/>
          </w:tcPr>
          <w:p>
            <w:pPr>
              <w:spacing w:after="0"/>
              <w:rPr>
                <w:sz w:val="20"/>
                <w:szCs w:val="20"/>
                <w:color w:val="auto"/>
              </w:rPr>
            </w:pPr>
            <w:r>
              <w:rPr>
                <w:rFonts w:ascii="Arial" w:cs="Arial" w:eastAsia="Arial" w:hAnsi="Arial"/>
                <w:sz w:val="18"/>
                <w:szCs w:val="18"/>
                <w:color w:val="auto"/>
                <w:w w:val="95"/>
              </w:rPr>
              <w:t>Reclassification to income of unrealized holding losses on investment securities previously transferred from AFS to</w:t>
            </w: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HTM</w:t>
            </w:r>
          </w:p>
        </w:tc>
        <w:tc>
          <w:tcPr>
            <w:tcW w:w="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2,967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 securities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(46,237)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18,345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Reclassification to income for amortization of gains on terminated cash flow hedges</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Defined benefit plans liability adjustment</w:t>
            </w: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7,058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(39,090)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15,541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(23,549)</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2752"/>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7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color w:val="auto"/>
                <w:w w:val="88"/>
              </w:rPr>
              <w:t>Foreign</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Cash</w:t>
            </w: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currency</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Defined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880" w:type="dxa"/>
            <w:vAlign w:val="bottom"/>
            <w:gridSpan w:val="4"/>
          </w:tcPr>
          <w:p>
            <w:pPr>
              <w:jc w:val="right"/>
              <w:ind w:right="540"/>
              <w:spacing w:after="0"/>
              <w:rPr>
                <w:sz w:val="20"/>
                <w:szCs w:val="20"/>
                <w:color w:val="auto"/>
              </w:rPr>
            </w:pPr>
            <w:r>
              <w:rPr>
                <w:rFonts w:ascii="Arial" w:cs="Arial" w:eastAsia="Arial" w:hAnsi="Arial"/>
                <w:sz w:val="14"/>
                <w:szCs w:val="14"/>
                <w:color w:val="auto"/>
              </w:rPr>
              <w:t>Investment securities</w:t>
            </w: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flow</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color w:val="auto"/>
                <w:w w:val="86"/>
              </w:rPr>
              <w:t>translation</w:t>
            </w: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benefit</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9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color w:val="auto"/>
                <w:w w:val="93"/>
              </w:rPr>
              <w:t>With OTTI</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All other</w:t>
            </w:r>
          </w:p>
        </w:tc>
        <w:tc>
          <w:tcPr>
            <w:tcW w:w="3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color w:val="auto"/>
              </w:rPr>
              <w:t>hedges</w:t>
            </w:r>
          </w:p>
        </w:tc>
        <w:tc>
          <w:tcPr>
            <w:tcW w:w="90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87"/>
              </w:rPr>
              <w:t>adjustment</w:t>
            </w: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color w:val="auto"/>
                <w:w w:val="89"/>
              </w:rPr>
              <w:t>plans</w:t>
            </w: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ind w:left="300"/>
              <w:spacing w:after="0" w:line="142" w:lineRule="exact"/>
              <w:rPr>
                <w:sz w:val="20"/>
                <w:szCs w:val="20"/>
                <w:color w:val="auto"/>
              </w:rPr>
            </w:pPr>
            <w:r>
              <w:rPr>
                <w:rFonts w:ascii="Arial" w:cs="Arial" w:eastAsia="Arial" w:hAnsi="Arial"/>
                <w:sz w:val="14"/>
                <w:szCs w:val="14"/>
                <w:color w:val="auto"/>
              </w:rPr>
              <w:t>(in thousands)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2"/>
              </w:rPr>
              <w:t>$ (84,029)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5,995</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(803)</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(277,716)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(356,441)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Net gain (loss) during period</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11,108</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58,263</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(112)</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9,464</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78,592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(72,921)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64,258</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(268,252)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(277,849)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Balance – January 1, 2011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2"/>
              </w:rPr>
              <w:t>$ (87,053)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2,332</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393</w:t>
            </w:r>
          </w:p>
        </w:tc>
        <w:tc>
          <w:tcPr>
            <w:tcW w:w="3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(120,892)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(205,220)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gain (loss) during period</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11,663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(39,555)</w:t>
            </w: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(141)</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Balance – June 30, 2011</w:t>
            </w: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(75,390)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(37,223)</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252</w:t>
            </w:r>
          </w:p>
        </w:tc>
        <w:tc>
          <w:tcPr>
            <w:tcW w:w="3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(116,604)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(228,769)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and collateral provisions protecting the at-risk party. Based on adherence to the Company’s credit standards and the presence of the netting and collateral provisions, the Company believes that the credit risk inherent in these contracts is not significant as of June 30, 2012.</w:t>
      </w:r>
    </w:p>
    <w:p>
      <w:pPr>
        <w:spacing w:after="0" w:line="100"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The net effect of interest rate swap agreements was to increase net interest income by $9 million for each of the three-month periods ended June 30, 2012 and 2011, and $18 million and $19 million for the six-month periods ended June 30, 2012 and 2011, respectively. Information about interest rate swap agreements entered into for interest rate risk management purposes summarized by type of financial instrument the swap agreements were intended to hedge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59"/>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Notional</w:t>
            </w:r>
          </w:p>
        </w:tc>
        <w:tc>
          <w:tcPr>
            <w:tcW w:w="106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Average</w:t>
            </w:r>
          </w:p>
        </w:tc>
        <w:tc>
          <w:tcPr>
            <w:tcW w:w="360" w:type="dxa"/>
            <w:vAlign w:val="bottom"/>
          </w:tcPr>
          <w:p>
            <w:pPr>
              <w:spacing w:after="0"/>
              <w:rPr>
                <w:sz w:val="13"/>
                <w:szCs w:val="13"/>
                <w:color w:val="auto"/>
              </w:rPr>
            </w:pPr>
          </w:p>
        </w:tc>
        <w:tc>
          <w:tcPr>
            <w:tcW w:w="1300" w:type="dxa"/>
            <w:vAlign w:val="bottom"/>
            <w:gridSpan w:val="3"/>
          </w:tcPr>
          <w:p>
            <w:pPr>
              <w:jc w:val="right"/>
              <w:ind w:right="600"/>
              <w:spacing w:after="0" w:line="159" w:lineRule="exact"/>
              <w:rPr>
                <w:sz w:val="20"/>
                <w:szCs w:val="20"/>
                <w:color w:val="auto"/>
              </w:rPr>
            </w:pPr>
            <w:r>
              <w:rPr>
                <w:rFonts w:ascii="Arial" w:cs="Arial" w:eastAsia="Arial" w:hAnsi="Arial"/>
                <w:sz w:val="14"/>
                <w:szCs w:val="14"/>
                <w:color w:val="auto"/>
                <w:w w:val="86"/>
              </w:rPr>
              <w:t>average rate</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ind w:left="80"/>
              <w:spacing w:after="0" w:line="142" w:lineRule="exact"/>
              <w:rPr>
                <w:sz w:val="20"/>
                <w:szCs w:val="20"/>
                <w:color w:val="auto"/>
              </w:rPr>
            </w:pPr>
            <w:r>
              <w:rPr>
                <w:rFonts w:ascii="Arial" w:cs="Arial" w:eastAsia="Arial" w:hAnsi="Arial"/>
                <w:sz w:val="14"/>
                <w:szCs w:val="14"/>
                <w:color w:val="auto"/>
              </w:rPr>
              <w:t>amount</w:t>
            </w: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maturity</w:t>
            </w:r>
          </w:p>
        </w:tc>
        <w:tc>
          <w:tcPr>
            <w:tcW w:w="100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color w:val="auto"/>
                <w:w w:val="93"/>
              </w:rPr>
              <w:t>Fixed</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Variable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83"/>
              </w:rPr>
              <w:t>(in thousands)</w:t>
            </w:r>
          </w:p>
        </w:tc>
        <w:tc>
          <w:tcPr>
            <w:tcW w:w="520" w:type="dxa"/>
            <w:vAlign w:val="bottom"/>
            <w:gridSpan w:val="2"/>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(in years)</w:t>
            </w:r>
          </w:p>
        </w:tc>
        <w:tc>
          <w:tcPr>
            <w:tcW w:w="5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June 30, 2012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Fair value hedges: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December 31, 2011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w w:val="89"/>
              </w:rPr>
              <w:t>900,000</w:t>
            </w:r>
          </w:p>
        </w:tc>
        <w:tc>
          <w:tcPr>
            <w:tcW w:w="5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5.4</w:t>
            </w:r>
          </w:p>
        </w:tc>
        <w:tc>
          <w:tcPr>
            <w:tcW w:w="1000" w:type="dxa"/>
            <w:vAlign w:val="bottom"/>
            <w:gridSpan w:val="2"/>
          </w:tcPr>
          <w:p>
            <w:pPr>
              <w:jc w:val="right"/>
              <w:ind w:right="412"/>
              <w:spacing w:after="0"/>
              <w:rPr>
                <w:sz w:val="20"/>
                <w:szCs w:val="20"/>
                <w:color w:val="auto"/>
              </w:rPr>
            </w:pPr>
            <w:r>
              <w:rPr>
                <w:rFonts w:ascii="Arial" w:cs="Arial" w:eastAsia="Arial" w:hAnsi="Arial"/>
                <w:sz w:val="18"/>
                <w:szCs w:val="18"/>
                <w:color w:val="auto"/>
                <w:w w:val="97"/>
              </w:rPr>
              <w:t>6.07%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560" w:right="2360" w:hanging="5552"/>
        <w:spacing w:after="0" w:line="440" w:lineRule="auto"/>
        <w:tabs>
          <w:tab w:leader="none" w:pos="44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Under the terms of these agreements, the Company receives settlement amounts at a fixed rate and pays at a variable rate. </w:t>
      </w: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Derivative financial instruments used for trading purposes included interest rate contracts, foreign exchange and other option contracts, foreign exchange forward and spot contracts, and financial futures. Interest rate contracts entered into for trading purposes had notional values of $15.0 billion and $13.9 billion at June 30, 2012 and December 31, 2011, respectively. The notional amounts of foreign currency and other option and futures contracts entered into for trading purposes aggregated $1.4 billion at each of June 30, 2012 and December 31, 2011.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about the fair values of derivative instruments in the Company’s consolidated balance sheet and consolidated statement of income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3"/>
          </w:tcPr>
          <w:p>
            <w:pPr>
              <w:jc w:val="right"/>
              <w:ind w:right="420"/>
              <w:spacing w:after="0"/>
              <w:rPr>
                <w:sz w:val="20"/>
                <w:szCs w:val="20"/>
                <w:color w:val="auto"/>
              </w:rPr>
            </w:pPr>
            <w:r>
              <w:rPr>
                <w:rFonts w:ascii="Arial" w:cs="Arial" w:eastAsia="Arial" w:hAnsi="Arial"/>
                <w:sz w:val="14"/>
                <w:szCs w:val="14"/>
                <w:color w:val="auto"/>
              </w:rPr>
              <w:t>Asset derivatives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Arial" w:cs="Arial" w:eastAsia="Arial" w:hAnsi="Arial"/>
                <w:sz w:val="14"/>
                <w:szCs w:val="14"/>
                <w:color w:val="auto"/>
              </w:rPr>
              <w:t>Liability derivatives</w:t>
            </w: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color w:val="auto"/>
                <w:w w:val="84"/>
              </w:rPr>
              <w:t>Fair value</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right"/>
              <w:ind w:right="596"/>
              <w:spacing w:after="0" w:line="142" w:lineRule="exact"/>
              <w:rPr>
                <w:sz w:val="20"/>
                <w:szCs w:val="20"/>
                <w:color w:val="auto"/>
              </w:rPr>
            </w:pPr>
            <w:r>
              <w:rPr>
                <w:rFonts w:ascii="Arial" w:cs="Arial" w:eastAsia="Arial" w:hAnsi="Arial"/>
                <w:sz w:val="14"/>
                <w:szCs w:val="14"/>
                <w:color w:val="auto"/>
                <w:w w:val="87"/>
              </w:rPr>
              <w:t>Fair value</w:t>
            </w:r>
          </w:p>
        </w:tc>
        <w:tc>
          <w:tcPr>
            <w:tcW w:w="10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jc w:val="right"/>
              <w:ind w:right="40"/>
              <w:spacing w:after="0" w:line="131" w:lineRule="exact"/>
              <w:rPr>
                <w:sz w:val="20"/>
                <w:szCs w:val="20"/>
                <w:color w:val="auto"/>
              </w:rPr>
            </w:pPr>
            <w:r>
              <w:rPr>
                <w:rFonts w:ascii="Arial" w:cs="Arial" w:eastAsia="Arial" w:hAnsi="Arial"/>
                <w:sz w:val="14"/>
                <w:szCs w:val="14"/>
                <w:color w:val="auto"/>
              </w:rPr>
              <w:t>June 30,</w:t>
            </w:r>
          </w:p>
        </w:tc>
        <w:tc>
          <w:tcPr>
            <w:tcW w:w="460" w:type="dxa"/>
            <w:vAlign w:val="bottom"/>
          </w:tcPr>
          <w:p>
            <w:pPr>
              <w:spacing w:after="0"/>
              <w:rPr>
                <w:sz w:val="11"/>
                <w:szCs w:val="11"/>
                <w:color w:val="auto"/>
              </w:rPr>
            </w:pPr>
          </w:p>
        </w:tc>
        <w:tc>
          <w:tcPr>
            <w:tcW w:w="78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7"/>
              <w:spacing w:after="0" w:line="131" w:lineRule="exact"/>
              <w:rPr>
                <w:sz w:val="20"/>
                <w:szCs w:val="20"/>
                <w:color w:val="auto"/>
              </w:rPr>
            </w:pPr>
            <w:r>
              <w:rPr>
                <w:rFonts w:ascii="Arial" w:cs="Arial" w:eastAsia="Arial" w:hAnsi="Arial"/>
                <w:sz w:val="14"/>
                <w:szCs w:val="14"/>
                <w:color w:val="auto"/>
                <w:w w:val="85"/>
              </w:rPr>
              <w:t>June 30,</w:t>
            </w:r>
          </w:p>
        </w:tc>
        <w:tc>
          <w:tcPr>
            <w:tcW w:w="480" w:type="dxa"/>
            <w:vAlign w:val="bottom"/>
          </w:tcPr>
          <w:p>
            <w:pPr>
              <w:spacing w:after="0"/>
              <w:rPr>
                <w:sz w:val="11"/>
                <w:szCs w:val="11"/>
                <w:color w:val="auto"/>
              </w:rPr>
            </w:pPr>
          </w:p>
        </w:tc>
        <w:tc>
          <w:tcPr>
            <w:tcW w:w="760" w:type="dxa"/>
            <w:vAlign w:val="bottom"/>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2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2012</w:t>
            </w:r>
          </w:p>
        </w:tc>
        <w:tc>
          <w:tcPr>
            <w:tcW w:w="12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2011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7"/>
              <w:spacing w:after="0" w:line="159" w:lineRule="exact"/>
              <w:rPr>
                <w:sz w:val="20"/>
                <w:szCs w:val="20"/>
                <w:color w:val="auto"/>
              </w:rPr>
            </w:pPr>
            <w:r>
              <w:rPr>
                <w:rFonts w:ascii="Arial" w:cs="Arial" w:eastAsia="Arial" w:hAnsi="Arial"/>
                <w:sz w:val="14"/>
                <w:szCs w:val="14"/>
                <w:color w:val="auto"/>
              </w:rPr>
              <w:t>2012</w:t>
            </w:r>
          </w:p>
        </w:tc>
        <w:tc>
          <w:tcPr>
            <w:tcW w:w="1240" w:type="dxa"/>
            <w:vAlign w:val="bottom"/>
            <w:gridSpan w:val="2"/>
          </w:tcPr>
          <w:p>
            <w:pPr>
              <w:jc w:val="right"/>
              <w:ind w:right="156"/>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right"/>
              <w:ind w:right="437"/>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and qualifying as hedging instruments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Fair value hedges: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$149,947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4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4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150,393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w w:val="98"/>
              </w:rPr>
              <w:t>Derivatives not designated and qualifying as hedging instruments</w:t>
            </w: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6"/>
              </w:rPr>
              <w:t>Mortgage-related commitments to originate real estate loans for sale (a)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Commitments to sell real estate loans (a)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9,021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2,771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Interest rate contracts (b)</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439,617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443,033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409,653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415,836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and other option and futures contracts (b)</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19,628</w:t>
            </w:r>
          </w:p>
        </w:tc>
        <w:tc>
          <w:tcPr>
            <w:tcW w:w="4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20,448</w:t>
            </w:r>
          </w:p>
        </w:tc>
        <w:tc>
          <w:tcPr>
            <w:tcW w:w="4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494,348</w:t>
            </w:r>
          </w:p>
        </w:tc>
        <w:tc>
          <w:tcPr>
            <w:tcW w:w="4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471,467</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439,182</w:t>
            </w:r>
          </w:p>
        </w:tc>
        <w:tc>
          <w:tcPr>
            <w:tcW w:w="4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438,398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644,741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619,001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444,456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440,685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trading account assets and liability derivatives are reported in other liabilities.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00"/>
          </w:cols>
          <w:pgMar w:left="240" w:top="28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920"/>
        <w:spacing w:after="0"/>
        <w:rPr>
          <w:sz w:val="20"/>
          <w:szCs w:val="20"/>
          <w:color w:val="auto"/>
        </w:rPr>
      </w:pPr>
      <w:r>
        <w:rPr>
          <w:rFonts w:ascii="Arial" w:cs="Arial" w:eastAsia="Arial" w:hAnsi="Arial"/>
          <w:sz w:val="14"/>
          <w:szCs w:val="14"/>
          <w:color w:val="auto"/>
        </w:rPr>
        <w:t>Amount of unrealized gain (loss) recognized</w:t>
      </w:r>
    </w:p>
    <w:p>
      <w:pPr>
        <w:sectPr>
          <w:pgSz w:w="11900" w:h="16838" w:orient="portrait"/>
          <w:cols w:equalWidth="0" w:num="1">
            <w:col w:w="10960"/>
          </w:cols>
          <w:pgMar w:left="240" w:top="280"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Derivatives in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-121920</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swap agreements: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rate long-term borrowings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Derivatives not designated as hedging instruments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Interest rate contracts (b)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Foreign exchange and other option and futures contracts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-107315</wp:posOffset>
            </wp:positionV>
            <wp:extent cx="66636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20" w:type="dxa"/>
            <w:vAlign w:val="bottom"/>
            <w:tcBorders>
              <w:top w:val="single" w:sz="8" w:color="auto"/>
            </w:tcBorders>
          </w:tcPr>
          <w:p>
            <w:pPr>
              <w:spacing w:after="0"/>
              <w:rPr>
                <w:sz w:val="11"/>
                <w:szCs w:val="11"/>
                <w:color w:val="auto"/>
              </w:rPr>
            </w:pPr>
          </w:p>
        </w:tc>
        <w:tc>
          <w:tcPr>
            <w:tcW w:w="2140" w:type="dxa"/>
            <w:vAlign w:val="bottom"/>
            <w:tcBorders>
              <w:top w:val="single" w:sz="8" w:color="auto"/>
            </w:tcBorders>
            <w:gridSpan w:val="5"/>
          </w:tcPr>
          <w:p>
            <w:pPr>
              <w:jc w:val="center"/>
              <w:ind w:right="600"/>
              <w:spacing w:after="0" w:line="131" w:lineRule="exact"/>
              <w:rPr>
                <w:sz w:val="20"/>
                <w:szCs w:val="20"/>
                <w:color w:val="auto"/>
              </w:rPr>
            </w:pPr>
            <w:r>
              <w:rPr>
                <w:rFonts w:ascii="Arial" w:cs="Arial" w:eastAsia="Arial" w:hAnsi="Arial"/>
                <w:sz w:val="14"/>
                <w:szCs w:val="14"/>
                <w:color w:val="auto"/>
                <w:w w:val="85"/>
              </w:rPr>
              <w:t>Three months ended</w:t>
            </w: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3"/>
          </w:tcPr>
          <w:p>
            <w:pPr>
              <w:jc w:val="center"/>
              <w:ind w:right="22"/>
              <w:spacing w:after="0" w:line="131" w:lineRule="exact"/>
              <w:rPr>
                <w:sz w:val="20"/>
                <w:szCs w:val="20"/>
                <w:color w:val="auto"/>
              </w:rPr>
            </w:pPr>
            <w:r>
              <w:rPr>
                <w:rFonts w:ascii="Arial" w:cs="Arial" w:eastAsia="Arial" w:hAnsi="Arial"/>
                <w:sz w:val="14"/>
                <w:szCs w:val="14"/>
                <w:color w:val="auto"/>
                <w:w w:val="85"/>
              </w:rPr>
              <w:t>Three months ended</w:t>
            </w:r>
          </w:p>
        </w:tc>
        <w:tc>
          <w:tcPr>
            <w:tcW w:w="60" w:type="dxa"/>
            <w:vAlign w:val="bottom"/>
          </w:tcPr>
          <w:p>
            <w:pPr>
              <w:spacing w:after="0"/>
              <w:rPr>
                <w:sz w:val="11"/>
                <w:szCs w:val="11"/>
                <w:color w:val="auto"/>
              </w:rPr>
            </w:pPr>
          </w:p>
        </w:tc>
      </w:tr>
      <w:tr>
        <w:trPr>
          <w:trHeight w:val="159"/>
        </w:trPr>
        <w:tc>
          <w:tcPr>
            <w:tcW w:w="120" w:type="dxa"/>
            <w:vAlign w:val="bottom"/>
          </w:tcPr>
          <w:p>
            <w:pPr>
              <w:spacing w:after="0"/>
              <w:rPr>
                <w:sz w:val="13"/>
                <w:szCs w:val="13"/>
                <w:color w:val="auto"/>
              </w:rPr>
            </w:pPr>
          </w:p>
        </w:tc>
        <w:tc>
          <w:tcPr>
            <w:tcW w:w="2140" w:type="dxa"/>
            <w:vAlign w:val="bottom"/>
            <w:gridSpan w:val="5"/>
          </w:tcPr>
          <w:p>
            <w:pPr>
              <w:jc w:val="center"/>
              <w:ind w:right="600"/>
              <w:spacing w:after="0" w:line="159" w:lineRule="exact"/>
              <w:rPr>
                <w:sz w:val="20"/>
                <w:szCs w:val="20"/>
                <w:color w:val="auto"/>
              </w:rPr>
            </w:pPr>
            <w:r>
              <w:rPr>
                <w:rFonts w:ascii="Arial" w:cs="Arial" w:eastAsia="Arial" w:hAnsi="Arial"/>
                <w:sz w:val="14"/>
                <w:szCs w:val="14"/>
                <w:color w:val="auto"/>
                <w:w w:val="83"/>
              </w:rPr>
              <w:t>June 30, 2012</w:t>
            </w:r>
          </w:p>
        </w:tc>
        <w:tc>
          <w:tcPr>
            <w:tcW w:w="100" w:type="dxa"/>
            <w:vAlign w:val="bottom"/>
          </w:tcPr>
          <w:p>
            <w:pPr>
              <w:spacing w:after="0"/>
              <w:rPr>
                <w:sz w:val="13"/>
                <w:szCs w:val="13"/>
                <w:color w:val="auto"/>
              </w:rPr>
            </w:pPr>
          </w:p>
        </w:tc>
        <w:tc>
          <w:tcPr>
            <w:tcW w:w="1740" w:type="dxa"/>
            <w:vAlign w:val="bottom"/>
            <w:gridSpan w:val="4"/>
          </w:tcPr>
          <w:p>
            <w:pPr>
              <w:jc w:val="center"/>
              <w:ind w:right="160"/>
              <w:spacing w:after="0" w:line="159" w:lineRule="exact"/>
              <w:rPr>
                <w:sz w:val="20"/>
                <w:szCs w:val="20"/>
                <w:color w:val="auto"/>
              </w:rPr>
            </w:pPr>
            <w:r>
              <w:rPr>
                <w:rFonts w:ascii="Arial" w:cs="Arial" w:eastAsia="Arial" w:hAnsi="Arial"/>
                <w:sz w:val="14"/>
                <w:szCs w:val="14"/>
                <w:color w:val="auto"/>
                <w:w w:val="83"/>
              </w:rPr>
              <w:t>June 30, 2011</w:t>
            </w:r>
          </w:p>
        </w:tc>
      </w:tr>
      <w:tr>
        <w:trPr>
          <w:trHeight w:val="142"/>
        </w:trPr>
        <w:tc>
          <w:tcPr>
            <w:tcW w:w="1080" w:type="dxa"/>
            <w:vAlign w:val="bottom"/>
            <w:tcBorders>
              <w:top w:val="single" w:sz="8" w:color="auto"/>
              <w:bottom w:val="single" w:sz="8" w:color="auto"/>
            </w:tcBorders>
            <w:gridSpan w:val="4"/>
          </w:tcPr>
          <w:p>
            <w:pPr>
              <w:ind w:left="20"/>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48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60" w:type="dxa"/>
            <w:vAlign w:val="bottom"/>
          </w:tcPr>
          <w:p>
            <w:pPr>
              <w:spacing w:after="0"/>
              <w:rPr>
                <w:sz w:val="12"/>
                <w:szCs w:val="12"/>
                <w:color w:val="auto"/>
              </w:rPr>
            </w:pPr>
          </w:p>
        </w:tc>
      </w:tr>
      <w:tr>
        <w:trPr>
          <w:trHeight w:val="166"/>
        </w:trPr>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5"/>
          </w:tcPr>
          <w:p>
            <w:pPr>
              <w:jc w:val="right"/>
              <w:ind w:right="940"/>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623"/>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9,674</w:t>
            </w:r>
          </w:p>
        </w:tc>
        <w:tc>
          <w:tcPr>
            <w:tcW w:w="4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(9,168)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21,945</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(21,145)</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5"/>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2,080</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1,001</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120" w:type="dxa"/>
            <w:vAlign w:val="bottom"/>
          </w:tcPr>
          <w:p>
            <w:pPr>
              <w:spacing w:after="0"/>
              <w:rPr>
                <w:sz w:val="19"/>
                <w:szCs w:val="19"/>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w w:val="87"/>
              </w:rPr>
              <w:t>(2,435)</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(743)</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440"/>
              <w:spacing w:after="0"/>
              <w:rPr>
                <w:sz w:val="20"/>
                <w:szCs w:val="20"/>
                <w:color w:val="auto"/>
              </w:rPr>
            </w:pPr>
            <w:r>
              <w:rPr>
                <w:rFonts w:ascii="Arial" w:cs="Arial" w:eastAsia="Arial" w:hAnsi="Arial"/>
                <w:sz w:val="18"/>
                <w:szCs w:val="18"/>
                <w:color w:val="auto"/>
              </w:rPr>
              <w:t>(355)</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258</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Amount of unrealized gain (loss) recognized</w:t>
      </w:r>
    </w:p>
    <w:p>
      <w:pPr>
        <w:spacing w:after="0" w:line="1" w:lineRule="exact"/>
        <w:rPr>
          <w:sz w:val="20"/>
          <w:szCs w:val="20"/>
          <w:color w:val="auto"/>
        </w:rPr>
      </w:pPr>
    </w:p>
    <w:p>
      <w:pPr>
        <w:sectPr>
          <w:pgSz w:w="11900" w:h="16838" w:orient="portrait"/>
          <w:cols w:equalWidth="0" w:num="2">
            <w:col w:w="6100" w:space="720"/>
            <w:col w:w="4140"/>
          </w:cols>
          <w:pgMar w:left="240" w:top="280" w:right="699" w:bottom="1440" w:gutter="0" w:footer="0" w:header="0"/>
          <w:type w:val="continuous"/>
        </w:sectPr>
      </w:pPr>
    </w:p>
    <w:tbl>
      <w:tblPr>
        <w:tblLayout w:type="fixed"/>
        <w:tblInd w:w="460" w:type="dxa"/>
        <w:tblCellMar>
          <w:top w:w="0" w:type="dxa"/>
          <w:left w:w="0" w:type="dxa"/>
          <w:bottom w:w="0" w:type="dxa"/>
          <w:right w:w="0" w:type="dxa"/>
        </w:tblCellMar>
      </w:tblPr>
      <w:tr>
        <w:trPr>
          <w:trHeight w:val="131"/>
        </w:trPr>
        <w:tc>
          <w:tcPr>
            <w:tcW w:w="6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4"/>
          </w:tcPr>
          <w:p>
            <w:pPr>
              <w:jc w:val="center"/>
              <w:ind w:right="420"/>
              <w:spacing w:after="0" w:line="131" w:lineRule="exact"/>
              <w:rPr>
                <w:sz w:val="20"/>
                <w:szCs w:val="20"/>
                <w:color w:val="auto"/>
              </w:rPr>
            </w:pPr>
            <w:r>
              <w:rPr>
                <w:rFonts w:ascii="Arial" w:cs="Arial" w:eastAsia="Arial" w:hAnsi="Arial"/>
                <w:sz w:val="14"/>
                <w:szCs w:val="14"/>
                <w:color w:val="auto"/>
                <w:w w:val="85"/>
              </w:rPr>
              <w:t>Six months ended</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3"/>
          </w:tcPr>
          <w:p>
            <w:pPr>
              <w:jc w:val="center"/>
              <w:ind w:right="42"/>
              <w:spacing w:after="0" w:line="131" w:lineRule="exact"/>
              <w:rPr>
                <w:sz w:val="20"/>
                <w:szCs w:val="20"/>
                <w:color w:val="auto"/>
              </w:rPr>
            </w:pPr>
            <w:r>
              <w:rPr>
                <w:rFonts w:ascii="Arial" w:cs="Arial" w:eastAsia="Arial" w:hAnsi="Arial"/>
                <w:sz w:val="14"/>
                <w:szCs w:val="14"/>
                <w:color w:val="auto"/>
                <w:w w:val="85"/>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4"/>
          </w:tcPr>
          <w:p>
            <w:pPr>
              <w:jc w:val="center"/>
              <w:ind w:right="420"/>
              <w:spacing w:after="0" w:line="159" w:lineRule="exact"/>
              <w:rPr>
                <w:sz w:val="20"/>
                <w:szCs w:val="20"/>
                <w:color w:val="auto"/>
              </w:rPr>
            </w:pPr>
            <w:r>
              <w:rPr>
                <w:rFonts w:ascii="Arial" w:cs="Arial" w:eastAsia="Arial" w:hAnsi="Arial"/>
                <w:sz w:val="14"/>
                <w:szCs w:val="14"/>
                <w:color w:val="auto"/>
                <w:w w:val="85"/>
              </w:rPr>
              <w:t>June 30, 2012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center"/>
              <w:ind w:right="240"/>
              <w:spacing w:after="0" w:line="159" w:lineRule="exact"/>
              <w:rPr>
                <w:sz w:val="20"/>
                <w:szCs w:val="20"/>
                <w:color w:val="auto"/>
              </w:rPr>
            </w:pPr>
            <w:r>
              <w:rPr>
                <w:rFonts w:ascii="Arial" w:cs="Arial" w:eastAsia="Arial" w:hAnsi="Arial"/>
                <w:sz w:val="14"/>
                <w:szCs w:val="14"/>
                <w:color w:val="auto"/>
                <w:w w:val="83"/>
              </w:rPr>
              <w:t>June 30, 2011</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Derivative</w:t>
            </w: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85"/>
              </w:rPr>
              <w:t>Hedged item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gridSpan w:val="4"/>
          </w:tcPr>
          <w:p>
            <w:pPr>
              <w:ind w:left="600"/>
              <w:spacing w:after="0" w:line="142" w:lineRule="exact"/>
              <w:rPr>
                <w:sz w:val="20"/>
                <w:szCs w:val="20"/>
                <w:color w:val="auto"/>
              </w:rPr>
            </w:pPr>
            <w:r>
              <w:rPr>
                <w:rFonts w:ascii="Arial" w:cs="Arial" w:eastAsia="Arial" w:hAnsi="Arial"/>
                <w:sz w:val="14"/>
                <w:szCs w:val="14"/>
                <w:color w:val="auto"/>
                <w:w w:val="85"/>
              </w:rPr>
              <w:t>(in thousands)</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Fixed rate long-term borrowings (a)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2,645</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(2,624)</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9,540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Trading:</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rate contracts (b)</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3,219</w:t>
            </w: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1,476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and other option and futures contracts (b)</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(3,145)</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(1,291)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185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(a)</w:t>
        <w:tab/>
        <w:t>Reported as other revenues from operations.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(b)</w:t>
        <w:tab/>
        <w:t>Reported as trading account and foreign exchange gains.</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240" w:top="280" w:right="69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continued</w:t>
      </w:r>
    </w:p>
    <w:p>
      <w:pPr>
        <w:spacing w:after="0" w:line="16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$43 million and $12 million at June 30, 2012 and December 31, 2011, respectively. Changes in unrealized gains and losses are included in mortgage banking revenues and, in general, are realized in subsequent periods as the related loans are sold and commitments satisfied.</w:t>
      </w:r>
    </w:p>
    <w:p>
      <w:pPr>
        <w:spacing w:after="0" w:line="12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aggregate fair value of derivative financial instruments in a net liability position at June 30, 2012 for which the Company was required to post collateral was $329 million. The fair value of collateral posted for such instruments was $303 million.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to the derivative financial instruments could demand immediate incremental collateralization on those instruments in a net liability position. The aggregate fair value of all derivative financial instruments with such credit-risk-related contingent features in a net liability position on June 30, 2012 was $98 million, for which the Company had posted collateral of $69 million in the normal course of business. If the credit-risk-related contingent features had been triggered on June 30, 2012, the maximum amount of additional collateral the Company would have been required to post to counterparties was $29 million.</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credit exposure with respect to the estimated fair value as of June 30, 2012 of interest rate swap agreements used for managing interest rate risk has been substantially mitigated through master netting agreements with trading account interest rate contracts with the same counterparties as well as counterparty postings of $69 million of collateral with the Company. Trading account interest rate swap agreements entered into with customers are subject to the Company’s credit standards and often contain collateral provisions.</w:t>
      </w:r>
    </w:p>
    <w:p>
      <w:pPr>
        <w:spacing w:after="0" w:line="259"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w:t>
      </w:r>
    </w:p>
    <w:p>
      <w:pPr>
        <w:spacing w:after="0" w:line="9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In accordance with GAAP, the Company determined that it was the primary beneficiary of a residential mortgage loan securitization trust considering its role as servicer and its retained subordinated interests in the trust. As a result, the Company has included the one-to-four family residential mortgage loans that were included in the trust in its consolidated financial statements. At June 30, 2012 and December 31, 2011, the carrying values of the loans in the securitization trust were $174 million and $196 million, respectively. The outstanding principal amount of mortgage-backed securities issued by the qualified special purpose trust that was held by parties unrelated to M&amp;T at June 30, 2012 and December 31, 2011 was $26 million and $30 million, respectively. Because the transaction was non-recourse, the Company’s maximum exposure to loss as a result of its association with the trust at June 30, 2012 is limited to realizing the carrying value of the loans less the amount of the mortgage-backed securities held by third parties.</w:t>
      </w:r>
    </w:p>
    <w:p>
      <w:pPr>
        <w:spacing w:after="0" w:line="118"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As described in note 5,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June 30, 2012</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 and asset securitizations, continued</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and December 31, 2011, the Company included the junior subordinated debentures as “long-term borrowings” in its consolidated balance sheet. The Company has recognized $34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5.</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has invested as a limited partner in various real estate partnerships that collectively had total assets of approximately $1.4 billion at each of June 30, 2012 and December 31, 2011.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$266 million, including $73 million of unfunded commitments, at June 30, 2012 and $271 million, including $75 million of unfunded commitments, at December 31, 2011. The Company has not provided financial or other support to the partnerships that was not contractually required. Management currently estimates that no material losses are probable as a result of the Company’s involvement with such entities. In accordance with the accounting provisions for variable interest entities, the Company, in its position as limited partner, does not direct the activities that most significantly impact the economic performance of the partnerships and, therefore, the partnership entities are not included in the Company’s consolidated financial statements.</w:t>
      </w:r>
    </w:p>
    <w:p>
      <w:pPr>
        <w:spacing w:after="0" w:line="24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GAAP permits an entity to choose to measure eligible financial instruments and other items at fair value. The Company has not made any fair value elections at June 30, 2012.</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59"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 – Valuation is based on quoted prices in active markets for identical assets and liabilities.</w:t>
      </w:r>
    </w:p>
    <w:p>
      <w:pPr>
        <w:spacing w:after="0" w:line="90" w:lineRule="exact"/>
        <w:rPr>
          <w:rFonts w:ascii="Arial" w:cs="Arial" w:eastAsia="Arial" w:hAnsi="Arial"/>
          <w:sz w:val="18"/>
          <w:szCs w:val="18"/>
          <w:color w:val="auto"/>
        </w:rPr>
      </w:pPr>
    </w:p>
    <w:p>
      <w:pPr>
        <w:ind w:left="900" w:right="74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4" w:lineRule="exact"/>
        <w:rPr>
          <w:rFonts w:ascii="Arial" w:cs="Arial" w:eastAsia="Arial" w:hAnsi="Arial"/>
          <w:sz w:val="16"/>
          <w:szCs w:val="16"/>
          <w:color w:val="auto"/>
        </w:rPr>
      </w:pPr>
    </w:p>
    <w:p>
      <w:pPr>
        <w:ind w:left="900" w:right="42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 available, the Company attempts to use quoted market prices in active markets to determine fair value and classifies such items as Level 1 or Level</w:t>
      </w:r>
    </w:p>
    <w:p>
      <w:pPr>
        <w:spacing w:after="0" w:line="38" w:lineRule="exact"/>
        <w:rPr>
          <w:sz w:val="20"/>
          <w:szCs w:val="20"/>
          <w:color w:val="auto"/>
        </w:rPr>
      </w:pPr>
    </w:p>
    <w:p>
      <w:pPr>
        <w:ind w:right="360" w:firstLine="8"/>
        <w:spacing w:after="0" w:line="261" w:lineRule="auto"/>
        <w:tabs>
          <w:tab w:leader="none" w:pos="1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quoted market prices in active markets are not available, fair value is often determined using model-based techniques incorporating various assumptions including interest rates, prepayment speeds and credit losses. Assets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account assets and liabilities</w:t>
      </w:r>
    </w:p>
    <w:p>
      <w:pPr>
        <w:spacing w:after="0" w:line="9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Trading account assets and liabilities consist primarily of interest rate swap agreements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available for sale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4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markets for privately issued mortgage-backed securities have experienced a sharp reduction of non-agency mortgage-backed securities issuances, a significant reduction in trading volumes and wide bid-ask spreads. Although estimated prices were generally obtained for such securities, the Company was significantly restricted in the level of market observable assumptions used in the valuation of its privately issued mortgage-backed securities portfolio. Specifically, market assumptions regarding credit adjusted cash flows and liquidity influences on discount rates were difficult to observe at the individual bond level. Because of the inactivity in the markets and the lack of observable valuation inputs, the Company has classified the valuation of privately issued mortgage-backed securities as Level 3.</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supplemented its determination of fair value for many of its privately issued mortgage-backed securities by obtaining pricing indications from two independent sources at June 30, 2012 and December 31, 2011. However, the Company could not readily ascertain that the basis of such valuations could be ascribed to orderly and observable trades in the market for privately issued residential mortgage-backed securities. As a result, the Company also performed internal modeling to estimate the cash flows and fair value of privately issued residential mortgage-backed securities with an amortized cost basis of $1.2 billion at June 30, 2012 and $1.3 billion at December 31, 2011. The Company’s internal modeling techniques included discounting estimated bond-specific cash flows using assumptions about cash flows associated with loans underlying each of the bonds, including estimates about the timing and amount of credit losses and prepayments. In estimating those cash flows, the Company used assumptions as to future delinquency, defaults, collateral valuation and loss rates. Differences between internal model valuations and external pricing indications were generally considered to be reflective of the lack of liquidity in the market for privately issued mortgage-backed securities given the nature of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cash flow modeling performed in the Company’s assessment of value. To determine the point within the range of potential values that was most representative of fair value under current market conditions for each of the bonds, the Company averaged the internal model valuations and the indications obtained from the two independent pricing sources, such that at June 30, 2012, the weighted-average reliance on internal model pricing for the bonds modeled was 33% with a 67% average weighting placed on the values provided by the independent sources. Significant unobservable inputs used in the Company’s modeling of fair value for residential mortgage-backed securities are included in the accompanying table of significant unobservable inputs to Level 3 measurements. The Company concluded its estimate of fair value for the $1.2 billion of privately issued residential mortgage-backed securities to approximate $1.1 billion, which reflects a market yield based on reasonably likely cash flows of 7.3%. The Company determined the fair value of its privately issued commercial mortgage-backed securities held in its available-for-sale portfolio using quoted market prices obtained from third party pricing services without adjustment. Similar to privately-issued residential mortgage-backed securities, the market for commercial mortgage-backed securities has experienced significant declines in the level of market activity, resulting in the classification of such bonds as Level 3.</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Included in collateralized debt obligations are securities backed by trust preferred securities issued by financial institutions and other entities. Given the severe disruption in the credit markets and the wide disparity in observable trade information, the Company could not obtain pricing indications for many of these securities from its two primary independent pricing sources. The Company, therefore, performed internal modeling to estimate the cash flows and fair value of its portfolio of securities backed by trust preferred securities at June 30, 2012 and December 31, 2011. The modeling techniques included estimating cash flows using bond-specific assumptions about future collateral defaults and related loss severities. The resulting cash flows were then discounted by reference to market yields observed in the single-name trust preferred securities market. In determining a market yield applicable to the estimated cash flows, a margin over LIBOR, ranging from 5% to 10% with a weighted-average of 8% was used. Significant unobservable inputs used in the determination of estimated fair value of collateralized debt obligations are included in the accompanying table of significant unobservable inputs to Level 3 measurements. At June 30, 2012, the total amortized cost and fair value of securities backed by trust preferred securities issued by financial institutions and other entities were $44 million and $55 million, respectively, and at December 31, 2011 were $44 million and $53 million, respectively. Privately issued mortgage-backed securities and securities backed by trust preferred securities issued by financial institutions and other entities constituted all of the available-for-sale investment securities classified as Level 3 valuations as of June 30, 2012 and December 31, 2011.</w:t>
      </w:r>
    </w:p>
    <w:p>
      <w:pPr>
        <w:spacing w:after="0" w:line="12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ensures an appropriate control framework is in place over the valuation processes and techniques used for Level 3 fair value measurements. Specifically, the Company attempts to obtain the market observable inputs used by third party pricing sources on a sample of bonds each quarter. Analytical procedures are performed to understand changes in fair value from period to period. Internal pricing models are subject to validation procedures including testing of mathematical constructs, review of valuation methodology and significant assumptions used.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loans held for sale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to originate real estate loans for sale and commitments to sell real estate loans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 used for interest rate risk management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assets and liabilities at June 30, 2012 and December 31, 2011 measured at estimated fair value on a recurring basis: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color w:val="auto"/>
                <w:w w:val="87"/>
              </w:rPr>
              <w:t>Fair value</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color w:val="auto"/>
                <w:w w:val="85"/>
              </w:rPr>
              <w:t>June 30,</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5"/>
              <w:spacing w:after="0" w:line="159" w:lineRule="exact"/>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3"/>
                <w:szCs w:val="13"/>
                <w:color w:val="auto"/>
              </w:rPr>
            </w:pPr>
          </w:p>
        </w:tc>
        <w:tc>
          <w:tcPr>
            <w:tcW w:w="9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Level 1 (a)</w:t>
            </w:r>
          </w:p>
        </w:tc>
        <w:tc>
          <w:tcPr>
            <w:tcW w:w="10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284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544,938</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53,472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491,466</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56,599</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34,568</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34,568</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Mortgage-backed securities: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Government issued or guaranteed</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4,058,500</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4,058,500</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Privately issued residential</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1,068,392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1,068,392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860"/>
              <w:spacing w:after="0"/>
              <w:rPr>
                <w:sz w:val="20"/>
                <w:szCs w:val="20"/>
                <w:color w:val="auto"/>
              </w:rPr>
            </w:pPr>
            <w:r>
              <w:rPr>
                <w:rFonts w:ascii="Arial" w:cs="Arial" w:eastAsia="Arial" w:hAnsi="Arial"/>
                <w:sz w:val="18"/>
                <w:szCs w:val="18"/>
                <w:color w:val="auto"/>
              </w:rPr>
              <w:t>Privately issued commercial</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12,127</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Collateralized debt obligations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Other debt securities</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128,929</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128,929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119,841</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108,172</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5,534,054</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108,172</w:t>
            </w:r>
          </w:p>
        </w:tc>
        <w:tc>
          <w:tcPr>
            <w:tcW w:w="3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4,290,265</w:t>
            </w:r>
          </w:p>
        </w:tc>
        <w:tc>
          <w:tcPr>
            <w:tcW w:w="3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1,135,617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442,664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442,664</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assets (b)</w:t>
            </w:r>
          </w:p>
        </w:tc>
        <w:tc>
          <w:tcPr>
            <w:tcW w:w="2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185,496</w:t>
            </w:r>
          </w:p>
        </w:tc>
        <w:tc>
          <w:tcPr>
            <w:tcW w:w="32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151,385</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6,707,152</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161,644</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5,375,780</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1,169,728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2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40" w:type="dxa"/>
            <w:vAlign w:val="bottom"/>
            <w:gridSpan w:val="2"/>
            <w:vMerge w:val="continue"/>
          </w:tcPr>
          <w:p>
            <w:pPr>
              <w:spacing w:after="0"/>
              <w:rPr>
                <w:sz w:val="18"/>
                <w:szCs w:val="18"/>
                <w:color w:val="auto"/>
              </w:rPr>
            </w:pPr>
          </w:p>
        </w:tc>
        <w:tc>
          <w:tcPr>
            <w:tcW w:w="28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430,101</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430,101</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2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28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444,456</w:t>
            </w:r>
          </w:p>
        </w:tc>
        <w:tc>
          <w:tcPr>
            <w:tcW w:w="320" w:type="dxa"/>
            <w:vAlign w:val="bottom"/>
          </w:tcPr>
          <w:p>
            <w:pPr>
              <w:spacing w:after="0"/>
              <w:rPr>
                <w:sz w:val="19"/>
                <w:szCs w:val="19"/>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444,396</w:t>
            </w: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00" w:type="dxa"/>
            <w:vAlign w:val="bottom"/>
            <w:vMerge w:val="restart"/>
          </w:tcPr>
          <w:p>
            <w:pPr>
              <w:jc w:val="right"/>
              <w:ind w:right="1392"/>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color w:val="auto"/>
                <w:w w:val="87"/>
              </w:rPr>
              <w:t>Fair value</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w w:val="81"/>
              </w:rPr>
              <w:t>measurements at</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December 31,</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4"/>
              <w:spacing w:after="0" w:line="159" w:lineRule="exact"/>
              <w:rPr>
                <w:sz w:val="20"/>
                <w:szCs w:val="20"/>
                <w:color w:val="auto"/>
              </w:rPr>
            </w:pPr>
            <w:r>
              <w:rPr>
                <w:rFonts w:ascii="Arial" w:cs="Arial" w:eastAsia="Arial" w:hAnsi="Arial"/>
                <w:sz w:val="14"/>
                <w:szCs w:val="14"/>
                <w:color w:val="auto"/>
                <w:w w:val="83"/>
              </w:rPr>
              <w:t>2011</w:t>
            </w:r>
          </w:p>
        </w:tc>
        <w:tc>
          <w:tcPr>
            <w:tcW w:w="320" w:type="dxa"/>
            <w:vAlign w:val="bottom"/>
          </w:tcPr>
          <w:p>
            <w:pPr>
              <w:spacing w:after="0"/>
              <w:rPr>
                <w:sz w:val="13"/>
                <w:szCs w:val="13"/>
                <w:color w:val="auto"/>
              </w:rPr>
            </w:pPr>
          </w:p>
        </w:tc>
        <w:tc>
          <w:tcPr>
            <w:tcW w:w="9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Level 1 (a)</w:t>
            </w:r>
          </w:p>
        </w:tc>
        <w:tc>
          <w:tcPr>
            <w:tcW w:w="10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9"/>
              </w:rPr>
              <w:t>Level 2 (a)</w:t>
            </w:r>
          </w:p>
        </w:tc>
        <w:tc>
          <w:tcPr>
            <w:tcW w:w="8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ind w:left="380"/>
              <w:spacing w:after="0" w:line="142"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Trading account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561,834</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53,165</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508,669</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70,723</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40,269</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40,269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4,521,233</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4,521,233</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Privately issued residential</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1,136,256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860"/>
              <w:spacing w:after="0"/>
              <w:rPr>
                <w:sz w:val="20"/>
                <w:szCs w:val="20"/>
                <w:color w:val="auto"/>
              </w:rPr>
            </w:pPr>
            <w:r>
              <w:rPr>
                <w:rFonts w:ascii="Arial" w:cs="Arial" w:eastAsia="Arial" w:hAnsi="Arial"/>
                <w:sz w:val="18"/>
                <w:szCs w:val="18"/>
                <w:color w:val="auto"/>
              </w:rPr>
              <w:t>Privately issued commercial</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15,029</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Collateralized debt obligations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176,845</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176,845</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215,705</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205,587</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6,228,560</w:t>
            </w:r>
          </w:p>
        </w:tc>
        <w:tc>
          <w:tcPr>
            <w:tcW w:w="32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205,587</w:t>
            </w:r>
          </w:p>
        </w:tc>
        <w:tc>
          <w:tcPr>
            <w:tcW w:w="3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4,819,188</w:t>
            </w:r>
          </w:p>
        </w:tc>
        <w:tc>
          <w:tcPr>
            <w:tcW w:w="3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1,203,785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Real estate loans held for sale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371,437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371,437</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assets (b)</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156,853</w:t>
            </w:r>
          </w:p>
        </w:tc>
        <w:tc>
          <w:tcPr>
            <w:tcW w:w="32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148,862</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7,318,684</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258,752</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5,848,156</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1,211,776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gridSpan w:val="2"/>
            <w:vMerge w:val="restart"/>
          </w:tcPr>
          <w:p>
            <w:pPr>
              <w:spacing w:after="0"/>
              <w:rPr>
                <w:sz w:val="20"/>
                <w:szCs w:val="20"/>
                <w:color w:val="auto"/>
              </w:rPr>
            </w:pPr>
            <w:r>
              <w:rPr>
                <w:rFonts w:ascii="Arial" w:cs="Arial" w:eastAsia="Arial" w:hAnsi="Arial"/>
                <w:sz w:val="18"/>
                <w:szCs w:val="18"/>
                <w:color w:val="auto"/>
              </w:rPr>
              <w:t>Trading account liabilities</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2"/>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434,559</w:t>
            </w:r>
          </w:p>
        </w:tc>
        <w:tc>
          <w:tcPr>
            <w:tcW w:w="320" w:type="dxa"/>
            <w:vAlign w:val="bottom"/>
          </w:tcPr>
          <w:p>
            <w:pPr>
              <w:spacing w:after="0"/>
              <w:rPr>
                <w:sz w:val="18"/>
                <w:szCs w:val="18"/>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434,559</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(b)</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5,058</w:t>
            </w: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440,685</w:t>
            </w:r>
          </w:p>
        </w:tc>
        <w:tc>
          <w:tcPr>
            <w:tcW w:w="320" w:type="dxa"/>
            <w:vAlign w:val="bottom"/>
          </w:tcPr>
          <w:p>
            <w:pPr>
              <w:spacing w:after="0"/>
              <w:rPr>
                <w:sz w:val="19"/>
                <w:szCs w:val="19"/>
                <w:color w:val="auto"/>
              </w:rPr>
            </w:pP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439,617</w:t>
            </w:r>
          </w:p>
        </w:tc>
        <w:tc>
          <w:tcPr>
            <w:tcW w:w="76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80" w:hanging="452"/>
        <w:spacing w:after="0" w:line="254"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three months and six months ended June 30, 2012 and 2011.</w:t>
      </w:r>
    </w:p>
    <w:p>
      <w:pPr>
        <w:ind w:left="460" w:right="40" w:hanging="452"/>
        <w:spacing w:after="0" w:line="261" w:lineRule="auto"/>
        <w:tabs>
          <w:tab w:leader="none" w:pos="4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2012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88"/>
              </w:rPr>
              <w:t>Investment securities available for sale</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700" w:type="dxa"/>
            <w:vAlign w:val="bottom"/>
            <w:gridSpan w:val="3"/>
          </w:tcPr>
          <w:p>
            <w:pPr>
              <w:jc w:val="center"/>
              <w:ind w:right="692"/>
              <w:spacing w:after="0" w:line="131" w:lineRule="exact"/>
              <w:rPr>
                <w:sz w:val="20"/>
                <w:szCs w:val="20"/>
                <w:color w:val="auto"/>
              </w:rPr>
            </w:pPr>
            <w:r>
              <w:rPr>
                <w:rFonts w:ascii="Arial" w:cs="Arial" w:eastAsia="Arial" w:hAnsi="Arial"/>
                <w:sz w:val="14"/>
                <w:szCs w:val="14"/>
                <w:color w:val="auto"/>
                <w:w w:val="87"/>
              </w:rPr>
              <w:t>Privately issued</w:t>
            </w:r>
          </w:p>
        </w:tc>
        <w:tc>
          <w:tcPr>
            <w:tcW w:w="1540" w:type="dxa"/>
            <w:vAlign w:val="bottom"/>
            <w:gridSpan w:val="3"/>
          </w:tcPr>
          <w:p>
            <w:pPr>
              <w:jc w:val="center"/>
              <w:ind w:right="580"/>
              <w:spacing w:after="0" w:line="131" w:lineRule="exact"/>
              <w:rPr>
                <w:sz w:val="20"/>
                <w:szCs w:val="20"/>
                <w:color w:val="auto"/>
              </w:rPr>
            </w:pPr>
            <w:r>
              <w:rPr>
                <w:rFonts w:ascii="Arial" w:cs="Arial" w:eastAsia="Arial" w:hAnsi="Arial"/>
                <w:sz w:val="14"/>
                <w:szCs w:val="14"/>
                <w:color w:val="auto"/>
                <w:w w:val="85"/>
              </w:rPr>
              <w:t>Privately issued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12"/>
              <w:spacing w:after="0" w:line="149" w:lineRule="exact"/>
              <w:rPr>
                <w:sz w:val="20"/>
                <w:szCs w:val="20"/>
                <w:color w:val="auto"/>
              </w:rPr>
            </w:pPr>
            <w:r>
              <w:rPr>
                <w:rFonts w:ascii="Arial" w:cs="Arial" w:eastAsia="Arial" w:hAnsi="Arial"/>
                <w:sz w:val="14"/>
                <w:szCs w:val="14"/>
                <w:color w:val="auto"/>
                <w:w w:val="87"/>
              </w:rPr>
              <w:t>residential</w:t>
            </w:r>
          </w:p>
        </w:tc>
        <w:tc>
          <w:tcPr>
            <w:tcW w:w="120" w:type="dxa"/>
            <w:vAlign w:val="bottom"/>
          </w:tcPr>
          <w:p>
            <w:pPr>
              <w:spacing w:after="0"/>
              <w:rPr>
                <w:sz w:val="12"/>
                <w:szCs w:val="12"/>
                <w:color w:val="auto"/>
              </w:rPr>
            </w:pPr>
          </w:p>
        </w:tc>
        <w:tc>
          <w:tcPr>
            <w:tcW w:w="14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commercial</w:t>
            </w:r>
          </w:p>
        </w:tc>
        <w:tc>
          <w:tcPr>
            <w:tcW w:w="10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color w:val="auto"/>
              </w:rPr>
              <w:t>Collateralized</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tcPr>
          <w:p>
            <w:pPr>
              <w:jc w:val="right"/>
              <w:ind w:right="1020"/>
              <w:spacing w:after="0" w:line="149" w:lineRule="exact"/>
              <w:rPr>
                <w:sz w:val="20"/>
                <w:szCs w:val="20"/>
                <w:color w:val="auto"/>
              </w:rPr>
            </w:pPr>
            <w:r>
              <w:rPr>
                <w:rFonts w:ascii="Arial" w:cs="Arial" w:eastAsia="Arial" w:hAnsi="Arial"/>
                <w:sz w:val="14"/>
                <w:szCs w:val="14"/>
                <w:color w:val="auto"/>
              </w:rPr>
              <w:t>debt</w:t>
            </w: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812"/>
              <w:spacing w:after="0" w:line="159" w:lineRule="exact"/>
              <w:rPr>
                <w:sz w:val="20"/>
                <w:szCs w:val="20"/>
                <w:color w:val="auto"/>
              </w:rPr>
            </w:pPr>
            <w:r>
              <w:rPr>
                <w:rFonts w:ascii="Arial" w:cs="Arial" w:eastAsia="Arial" w:hAnsi="Arial"/>
                <w:sz w:val="14"/>
                <w:szCs w:val="14"/>
                <w:color w:val="auto"/>
                <w:w w:val="87"/>
              </w:rPr>
              <w:t>securities</w:t>
            </w:r>
          </w:p>
        </w:tc>
        <w:tc>
          <w:tcPr>
            <w:tcW w:w="120" w:type="dxa"/>
            <w:vAlign w:val="bottom"/>
          </w:tcPr>
          <w:p>
            <w:pPr>
              <w:spacing w:after="0"/>
              <w:rPr>
                <w:sz w:val="13"/>
                <w:szCs w:val="13"/>
                <w:color w:val="auto"/>
              </w:rPr>
            </w:pPr>
          </w:p>
        </w:tc>
        <w:tc>
          <w:tcPr>
            <w:tcW w:w="1420" w:type="dxa"/>
            <w:vAlign w:val="bottom"/>
            <w:gridSpan w:val="2"/>
          </w:tcPr>
          <w:p>
            <w:pPr>
              <w:jc w:val="center"/>
              <w:ind w:right="700"/>
              <w:spacing w:after="0" w:line="159" w:lineRule="exact"/>
              <w:rPr>
                <w:sz w:val="20"/>
                <w:szCs w:val="20"/>
                <w:color w:val="auto"/>
              </w:rPr>
            </w:pPr>
            <w:r>
              <w:rPr>
                <w:rFonts w:ascii="Arial" w:cs="Arial" w:eastAsia="Arial" w:hAnsi="Arial"/>
                <w:sz w:val="14"/>
                <w:szCs w:val="14"/>
                <w:color w:val="auto"/>
                <w:w w:val="87"/>
              </w:rPr>
              <w:t>securities</w:t>
            </w:r>
          </w:p>
        </w:tc>
        <w:tc>
          <w:tcPr>
            <w:tcW w:w="100" w:type="dxa"/>
            <w:vAlign w:val="bottom"/>
          </w:tcPr>
          <w:p>
            <w:pPr>
              <w:spacing w:after="0"/>
              <w:rPr>
                <w:sz w:val="13"/>
                <w:szCs w:val="13"/>
                <w:color w:val="auto"/>
              </w:rPr>
            </w:pPr>
          </w:p>
        </w:tc>
        <w:tc>
          <w:tcPr>
            <w:tcW w:w="1520" w:type="dxa"/>
            <w:vAlign w:val="bottom"/>
            <w:gridSpan w:val="3"/>
          </w:tcPr>
          <w:p>
            <w:pPr>
              <w:jc w:val="right"/>
              <w:ind w:right="840"/>
              <w:spacing w:after="0" w:line="159" w:lineRule="exact"/>
              <w:rPr>
                <w:sz w:val="20"/>
                <w:szCs w:val="20"/>
                <w:color w:val="auto"/>
              </w:rPr>
            </w:pPr>
            <w:r>
              <w:rPr>
                <w:rFonts w:ascii="Arial" w:cs="Arial" w:eastAsia="Arial" w:hAnsi="Arial"/>
                <w:sz w:val="14"/>
                <w:szCs w:val="14"/>
                <w:color w:val="auto"/>
                <w:w w:val="98"/>
              </w:rPr>
              <w:t>obligations</w:t>
            </w: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w w:val="94"/>
              </w:rPr>
              <w:t>(in thousands)</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1,110,695</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13,435</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(14,627)(a)</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45,486(b)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560" w:type="dxa"/>
            <w:vAlign w:val="bottom"/>
            <w:gridSpan w:val="2"/>
          </w:tcPr>
          <w:p>
            <w:pPr>
              <w:jc w:val="right"/>
              <w:ind w:right="492"/>
              <w:spacing w:after="0"/>
              <w:rPr>
                <w:sz w:val="20"/>
                <w:szCs w:val="20"/>
                <w:color w:val="auto"/>
              </w:rPr>
            </w:pPr>
            <w:r>
              <w:rPr>
                <w:rFonts w:ascii="Arial" w:cs="Arial" w:eastAsia="Arial" w:hAnsi="Arial"/>
                <w:sz w:val="18"/>
                <w:szCs w:val="18"/>
                <w:color w:val="auto"/>
              </w:rPr>
              <w:t>22,613(e)</w:t>
            </w: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763(e)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(2,712)(e)</w:t>
            </w:r>
          </w:p>
        </w:tc>
        <w:tc>
          <w:tcPr>
            <w:tcW w:w="12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(50,289)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94"/>
              </w:rPr>
              <w:t>(31,870)(d)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1,068,392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34,051</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Changes in unrealized gains (losses) included in earnings related to</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assets still held at June 30, 2012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(14,627)(a)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28,904(b)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three months ended June 30,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color w:val="auto"/>
                <w:w w:val="89"/>
              </w:rPr>
              <w:t>Investment securities available for sale</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80" w:type="dxa"/>
            <w:vAlign w:val="bottom"/>
            <w:gridSpan w:val="3"/>
          </w:tcPr>
          <w:p>
            <w:pPr>
              <w:jc w:val="center"/>
              <w:ind w:right="712"/>
              <w:spacing w:after="0" w:line="131" w:lineRule="exact"/>
              <w:rPr>
                <w:sz w:val="20"/>
                <w:szCs w:val="20"/>
                <w:color w:val="auto"/>
              </w:rPr>
            </w:pPr>
            <w:r>
              <w:rPr>
                <w:rFonts w:ascii="Arial" w:cs="Arial" w:eastAsia="Arial" w:hAnsi="Arial"/>
                <w:sz w:val="14"/>
                <w:szCs w:val="14"/>
                <w:color w:val="auto"/>
                <w:w w:val="87"/>
              </w:rPr>
              <w:t>Privately issued</w:t>
            </w:r>
          </w:p>
        </w:tc>
        <w:tc>
          <w:tcPr>
            <w:tcW w:w="1580" w:type="dxa"/>
            <w:vAlign w:val="bottom"/>
            <w:gridSpan w:val="3"/>
          </w:tcPr>
          <w:p>
            <w:pPr>
              <w:jc w:val="center"/>
              <w:ind w:right="620"/>
              <w:spacing w:after="0" w:line="131" w:lineRule="exact"/>
              <w:rPr>
                <w:sz w:val="20"/>
                <w:szCs w:val="20"/>
                <w:color w:val="auto"/>
              </w:rPr>
            </w:pPr>
            <w:r>
              <w:rPr>
                <w:rFonts w:ascii="Arial" w:cs="Arial" w:eastAsia="Arial" w:hAnsi="Arial"/>
                <w:sz w:val="14"/>
                <w:szCs w:val="14"/>
                <w:color w:val="auto"/>
                <w:w w:val="85"/>
              </w:rPr>
              <w:t>Privately issued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812"/>
              <w:spacing w:after="0" w:line="149" w:lineRule="exact"/>
              <w:rPr>
                <w:sz w:val="20"/>
                <w:szCs w:val="20"/>
                <w:color w:val="auto"/>
              </w:rPr>
            </w:pPr>
            <w:r>
              <w:rPr>
                <w:rFonts w:ascii="Arial" w:cs="Arial" w:eastAsia="Arial" w:hAnsi="Arial"/>
                <w:sz w:val="14"/>
                <w:szCs w:val="14"/>
                <w:color w:val="auto"/>
                <w:w w:val="87"/>
              </w:rPr>
              <w:t>residential</w:t>
            </w:r>
          </w:p>
        </w:tc>
        <w:tc>
          <w:tcPr>
            <w:tcW w:w="12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9"/>
              </w:rPr>
              <w:t>commercial</w:t>
            </w:r>
          </w:p>
        </w:tc>
        <w:tc>
          <w:tcPr>
            <w:tcW w:w="120" w:type="dxa"/>
            <w:vAlign w:val="bottom"/>
          </w:tcPr>
          <w:p>
            <w:pPr>
              <w:spacing w:after="0"/>
              <w:rPr>
                <w:sz w:val="12"/>
                <w:szCs w:val="12"/>
                <w:color w:val="auto"/>
              </w:rPr>
            </w:pP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Collateralized</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debt</w:t>
            </w:r>
          </w:p>
        </w:tc>
        <w:tc>
          <w:tcPr>
            <w:tcW w:w="9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and 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center"/>
              <w:ind w:right="812"/>
              <w:spacing w:after="0" w:line="159" w:lineRule="exact"/>
              <w:rPr>
                <w:sz w:val="20"/>
                <w:szCs w:val="20"/>
                <w:color w:val="auto"/>
              </w:rPr>
            </w:pPr>
            <w:r>
              <w:rPr>
                <w:rFonts w:ascii="Arial" w:cs="Arial" w:eastAsia="Arial" w:hAnsi="Arial"/>
                <w:sz w:val="14"/>
                <w:szCs w:val="14"/>
                <w:color w:val="auto"/>
                <w:w w:val="87"/>
              </w:rPr>
              <w:t>securities</w:t>
            </w:r>
          </w:p>
        </w:tc>
        <w:tc>
          <w:tcPr>
            <w:tcW w:w="120" w:type="dxa"/>
            <w:vAlign w:val="bottom"/>
          </w:tcPr>
          <w:p>
            <w:pPr>
              <w:spacing w:after="0"/>
              <w:rPr>
                <w:sz w:val="13"/>
                <w:szCs w:val="13"/>
                <w:color w:val="auto"/>
              </w:rPr>
            </w:pPr>
          </w:p>
        </w:tc>
        <w:tc>
          <w:tcPr>
            <w:tcW w:w="146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7"/>
              </w:rPr>
              <w:t>securities</w:t>
            </w:r>
          </w:p>
        </w:tc>
        <w:tc>
          <w:tcPr>
            <w:tcW w:w="120" w:type="dxa"/>
            <w:vAlign w:val="bottom"/>
          </w:tcPr>
          <w:p>
            <w:pPr>
              <w:spacing w:after="0"/>
              <w:rPr>
                <w:sz w:val="13"/>
                <w:szCs w:val="13"/>
                <w:color w:val="auto"/>
              </w:rPr>
            </w:pPr>
          </w:p>
        </w:tc>
        <w:tc>
          <w:tcPr>
            <w:tcW w:w="1460" w:type="dxa"/>
            <w:vAlign w:val="bottom"/>
            <w:gridSpan w:val="3"/>
          </w:tcPr>
          <w:p>
            <w:pPr>
              <w:jc w:val="right"/>
              <w:ind w:right="760"/>
              <w:spacing w:after="0" w:line="159" w:lineRule="exact"/>
              <w:rPr>
                <w:sz w:val="20"/>
                <w:szCs w:val="20"/>
                <w:color w:val="auto"/>
              </w:rPr>
            </w:pPr>
            <w:r>
              <w:rPr>
                <w:rFonts w:ascii="Arial" w:cs="Arial" w:eastAsia="Arial" w:hAnsi="Arial"/>
                <w:sz w:val="14"/>
                <w:szCs w:val="14"/>
                <w:color w:val="auto"/>
              </w:rPr>
              <w:t>obligations</w:t>
            </w:r>
          </w:p>
        </w:tc>
        <w:tc>
          <w:tcPr>
            <w:tcW w:w="980" w:type="dxa"/>
            <w:vAlign w:val="bottom"/>
            <w:gridSpan w:val="3"/>
          </w:tcPr>
          <w:p>
            <w:pPr>
              <w:ind w:left="8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560"/>
              <w:spacing w:after="0" w:line="142" w:lineRule="exact"/>
              <w:rPr>
                <w:sz w:val="20"/>
                <w:szCs w:val="20"/>
                <w:color w:val="auto"/>
              </w:rPr>
            </w:pPr>
            <w:r>
              <w:rPr>
                <w:rFonts w:ascii="Arial" w:cs="Arial" w:eastAsia="Arial" w:hAnsi="Arial"/>
                <w:sz w:val="14"/>
                <w:szCs w:val="14"/>
                <w:color w:val="auto"/>
                <w:w w:val="99"/>
              </w:rPr>
              <w:t>(in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2011</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1,391,878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20,467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114,265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(24,530)(a)</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22,800(b)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92"/>
              <w:spacing w:after="0"/>
              <w:rPr>
                <w:sz w:val="20"/>
                <w:szCs w:val="20"/>
                <w:color w:val="auto"/>
              </w:rPr>
            </w:pPr>
            <w:r>
              <w:rPr>
                <w:rFonts w:ascii="Arial" w:cs="Arial" w:eastAsia="Arial" w:hAnsi="Arial"/>
                <w:sz w:val="18"/>
                <w:szCs w:val="18"/>
                <w:color w:val="auto"/>
              </w:rPr>
              <w:t>38,471(e)</w:t>
            </w:r>
          </w:p>
        </w:tc>
        <w:tc>
          <w:tcPr>
            <w:tcW w:w="120" w:type="dxa"/>
            <w:vAlign w:val="bottom"/>
          </w:tcPr>
          <w:p>
            <w:pPr>
              <w:spacing w:after="0"/>
              <w:rPr>
                <w:sz w:val="18"/>
                <w:szCs w:val="18"/>
                <w:color w:val="auto"/>
              </w:rPr>
            </w:pPr>
          </w:p>
        </w:tc>
        <w:tc>
          <w:tcPr>
            <w:tcW w:w="1460" w:type="dxa"/>
            <w:vAlign w:val="bottom"/>
            <w:gridSpan w:val="2"/>
          </w:tcPr>
          <w:p>
            <w:pPr>
              <w:ind w:left="380"/>
              <w:spacing w:after="0"/>
              <w:rPr>
                <w:sz w:val="20"/>
                <w:szCs w:val="20"/>
                <w:color w:val="auto"/>
              </w:rPr>
            </w:pPr>
            <w:r>
              <w:rPr>
                <w:rFonts w:ascii="Arial" w:cs="Arial" w:eastAsia="Arial" w:hAnsi="Arial"/>
                <w:sz w:val="18"/>
                <w:szCs w:val="18"/>
                <w:color w:val="auto"/>
              </w:rPr>
              <w:t>(1,400)(e)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3,372(e)</w:t>
            </w:r>
          </w:p>
        </w:tc>
        <w:tc>
          <w:tcPr>
            <w:tcW w:w="12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7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(105,643)</w:t>
            </w:r>
          </w:p>
        </w:tc>
        <w:tc>
          <w:tcPr>
            <w:tcW w:w="12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(99,617)</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94"/>
              </w:rPr>
              <w:t>(25,776)(d)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5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1,306,202</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17,233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5"/>
              </w:rPr>
              <w:t>Changes in unrealized gains (losses) included in earnings related to</w:t>
            </w: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assets still held at June 30, 2011</w:t>
            </w:r>
          </w:p>
        </w:tc>
        <w:tc>
          <w:tcPr>
            <w:tcW w:w="42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32"/>
              <w:spacing w:after="0"/>
              <w:rPr>
                <w:sz w:val="20"/>
                <w:szCs w:val="20"/>
                <w:color w:val="auto"/>
              </w:rPr>
            </w:pPr>
            <w:r>
              <w:rPr>
                <w:rFonts w:ascii="Arial" w:cs="Arial" w:eastAsia="Arial" w:hAnsi="Arial"/>
                <w:sz w:val="18"/>
                <w:szCs w:val="18"/>
                <w:color w:val="auto"/>
              </w:rPr>
              <w:t>(24,530)(a)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10,252(b)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380" w:type="dxa"/>
            <w:vAlign w:val="bottom"/>
            <w:gridSpan w:val="4"/>
          </w:tcPr>
          <w:p>
            <w:pPr>
              <w:jc w:val="right"/>
              <w:ind w:right="596"/>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2012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color w:val="auto"/>
                <w:w w:val="91"/>
              </w:rPr>
              <w:t>Investment securities available for sale</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60" w:type="dxa"/>
            <w:vAlign w:val="bottom"/>
            <w:gridSpan w:val="3"/>
          </w:tcPr>
          <w:p>
            <w:pPr>
              <w:jc w:val="center"/>
              <w:ind w:right="752"/>
              <w:spacing w:after="0" w:line="131" w:lineRule="exact"/>
              <w:rPr>
                <w:sz w:val="20"/>
                <w:szCs w:val="20"/>
                <w:color w:val="auto"/>
              </w:rPr>
            </w:pPr>
            <w:r>
              <w:rPr>
                <w:rFonts w:ascii="Arial" w:cs="Arial" w:eastAsia="Arial" w:hAnsi="Arial"/>
                <w:sz w:val="14"/>
                <w:szCs w:val="14"/>
                <w:color w:val="auto"/>
                <w:w w:val="87"/>
              </w:rPr>
              <w:t>Privately issued</w:t>
            </w:r>
          </w:p>
        </w:tc>
        <w:tc>
          <w:tcPr>
            <w:tcW w:w="1620" w:type="dxa"/>
            <w:vAlign w:val="bottom"/>
            <w:gridSpan w:val="3"/>
          </w:tcPr>
          <w:p>
            <w:pPr>
              <w:jc w:val="center"/>
              <w:ind w:right="680"/>
              <w:spacing w:after="0" w:line="131" w:lineRule="exact"/>
              <w:rPr>
                <w:sz w:val="20"/>
                <w:szCs w:val="20"/>
                <w:color w:val="auto"/>
              </w:rPr>
            </w:pPr>
            <w:r>
              <w:rPr>
                <w:rFonts w:ascii="Arial" w:cs="Arial" w:eastAsia="Arial" w:hAnsi="Arial"/>
                <w:sz w:val="14"/>
                <w:szCs w:val="14"/>
                <w:color w:val="auto"/>
                <w:w w:val="87"/>
              </w:rPr>
              <w:t>Privately issued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center"/>
              <w:ind w:right="872"/>
              <w:spacing w:after="0" w:line="149" w:lineRule="exact"/>
              <w:rPr>
                <w:sz w:val="20"/>
                <w:szCs w:val="20"/>
                <w:color w:val="auto"/>
              </w:rPr>
            </w:pPr>
            <w:r>
              <w:rPr>
                <w:rFonts w:ascii="Arial" w:cs="Arial" w:eastAsia="Arial" w:hAnsi="Arial"/>
                <w:sz w:val="14"/>
                <w:szCs w:val="14"/>
                <w:color w:val="auto"/>
                <w:w w:val="87"/>
              </w:rPr>
              <w:t>residential</w:t>
            </w:r>
          </w:p>
        </w:tc>
        <w:tc>
          <w:tcPr>
            <w:tcW w:w="12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6"/>
              </w:rPr>
              <w:t>commercial</w:t>
            </w:r>
          </w:p>
        </w:tc>
        <w:tc>
          <w:tcPr>
            <w:tcW w:w="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Collateralized</w:t>
            </w:r>
          </w:p>
        </w:tc>
        <w:tc>
          <w:tcPr>
            <w:tcW w:w="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Other 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60" w:type="dxa"/>
            <w:vAlign w:val="bottom"/>
            <w:gridSpan w:val="3"/>
          </w:tcPr>
          <w:p>
            <w:pPr>
              <w:jc w:val="center"/>
              <w:ind w:right="752"/>
              <w:spacing w:after="0" w:line="149" w:lineRule="exact"/>
              <w:rPr>
                <w:sz w:val="20"/>
                <w:szCs w:val="20"/>
                <w:color w:val="auto"/>
              </w:rPr>
            </w:pPr>
            <w:r>
              <w:rPr>
                <w:rFonts w:ascii="Arial" w:cs="Arial" w:eastAsia="Arial" w:hAnsi="Arial"/>
                <w:sz w:val="14"/>
                <w:szCs w:val="14"/>
                <w:color w:val="auto"/>
                <w:w w:val="86"/>
              </w:rPr>
              <w:t>mortgage-backed</w:t>
            </w:r>
          </w:p>
        </w:tc>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debt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center"/>
              <w:ind w:right="892"/>
              <w:spacing w:after="0" w:line="159" w:lineRule="exact"/>
              <w:rPr>
                <w:sz w:val="20"/>
                <w:szCs w:val="20"/>
                <w:color w:val="auto"/>
              </w:rPr>
            </w:pPr>
            <w:r>
              <w:rPr>
                <w:rFonts w:ascii="Arial" w:cs="Arial" w:eastAsia="Arial" w:hAnsi="Arial"/>
                <w:sz w:val="14"/>
                <w:szCs w:val="14"/>
                <w:color w:val="auto"/>
                <w:w w:val="84"/>
              </w:rPr>
              <w:t>securities</w:t>
            </w:r>
          </w:p>
        </w:tc>
        <w:tc>
          <w:tcPr>
            <w:tcW w:w="120" w:type="dxa"/>
            <w:vAlign w:val="bottom"/>
          </w:tcPr>
          <w:p>
            <w:pPr>
              <w:spacing w:after="0"/>
              <w:rPr>
                <w:sz w:val="13"/>
                <w:szCs w:val="13"/>
                <w:color w:val="auto"/>
              </w:rPr>
            </w:pPr>
          </w:p>
        </w:tc>
        <w:tc>
          <w:tcPr>
            <w:tcW w:w="1500" w:type="dxa"/>
            <w:vAlign w:val="bottom"/>
            <w:gridSpan w:val="2"/>
          </w:tcPr>
          <w:p>
            <w:pPr>
              <w:jc w:val="center"/>
              <w:ind w:right="800"/>
              <w:spacing w:after="0" w:line="159" w:lineRule="exact"/>
              <w:rPr>
                <w:sz w:val="20"/>
                <w:szCs w:val="20"/>
                <w:color w:val="auto"/>
              </w:rPr>
            </w:pPr>
            <w:r>
              <w:rPr>
                <w:rFonts w:ascii="Arial" w:cs="Arial" w:eastAsia="Arial" w:hAnsi="Arial"/>
                <w:sz w:val="14"/>
                <w:szCs w:val="14"/>
                <w:color w:val="auto"/>
                <w:w w:val="84"/>
              </w:rPr>
              <w:t>securities</w:t>
            </w:r>
          </w:p>
        </w:tc>
        <w:tc>
          <w:tcPr>
            <w:tcW w:w="60" w:type="dxa"/>
            <w:vAlign w:val="bottom"/>
          </w:tcPr>
          <w:p>
            <w:pPr>
              <w:spacing w:after="0"/>
              <w:rPr>
                <w:sz w:val="13"/>
                <w:szCs w:val="13"/>
                <w:color w:val="auto"/>
              </w:rPr>
            </w:pPr>
          </w:p>
        </w:tc>
        <w:tc>
          <w:tcPr>
            <w:tcW w:w="124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obligations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1,136,256</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15,029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(22,304)(a)</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72,517(b)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552"/>
              <w:spacing w:after="0"/>
              <w:rPr>
                <w:sz w:val="20"/>
                <w:szCs w:val="20"/>
                <w:color w:val="auto"/>
              </w:rPr>
            </w:pPr>
            <w:r>
              <w:rPr>
                <w:rFonts w:ascii="Arial" w:cs="Arial" w:eastAsia="Arial" w:hAnsi="Arial"/>
                <w:sz w:val="18"/>
                <w:szCs w:val="18"/>
                <w:color w:val="auto"/>
              </w:rPr>
              <w:t>47,683(e)</w:t>
            </w:r>
          </w:p>
        </w:tc>
        <w:tc>
          <w:tcPr>
            <w:tcW w:w="120" w:type="dxa"/>
            <w:vAlign w:val="bottom"/>
          </w:tcPr>
          <w:p>
            <w:pPr>
              <w:spacing w:after="0"/>
              <w:rPr>
                <w:sz w:val="18"/>
                <w:szCs w:val="18"/>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1,111(e)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3,711(e)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(93,243)</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(45,389)(d)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1,068,392</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12,127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55,098</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34,051</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w w:val="93"/>
              </w:rPr>
              <w:t>Changes in unrealized gains (losses) included in earnings related</w:t>
            </w: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8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to assets still held at June 30, 2012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492"/>
              <w:spacing w:after="0"/>
              <w:rPr>
                <w:sz w:val="20"/>
                <w:szCs w:val="20"/>
                <w:color w:val="auto"/>
              </w:rPr>
            </w:pPr>
            <w:r>
              <w:rPr>
                <w:rFonts w:ascii="Arial" w:cs="Arial" w:eastAsia="Arial" w:hAnsi="Arial"/>
                <w:sz w:val="18"/>
                <w:szCs w:val="18"/>
                <w:color w:val="auto"/>
              </w:rPr>
              <w:t>(22,304)(a)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33,647(b)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6"/>
              <w:spacing w:after="0"/>
              <w:rPr>
                <w:sz w:val="20"/>
                <w:szCs w:val="20"/>
                <w:color w:val="auto"/>
              </w:rPr>
            </w:pPr>
            <w:r>
              <w:rPr>
                <w:rFonts w:ascii="Arial" w:cs="Arial" w:eastAsia="Arial" w:hAnsi="Arial"/>
                <w:sz w:val="18"/>
                <w:szCs w:val="18"/>
                <w:color w:val="auto"/>
                <w:w w:val="93"/>
              </w:rPr>
              <w:t>-45-</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changes in Level 3 assets and liabilities measured at estimated fair value on a recurring basis during the six months ended June 30, 2011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color w:val="auto"/>
                <w:w w:val="92"/>
              </w:rPr>
              <w:t>Investment securities available for sale</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480" w:type="dxa"/>
            <w:vAlign w:val="bottom"/>
            <w:gridSpan w:val="3"/>
          </w:tcPr>
          <w:p>
            <w:pPr>
              <w:jc w:val="center"/>
              <w:ind w:right="472"/>
              <w:spacing w:after="0" w:line="131" w:lineRule="exact"/>
              <w:rPr>
                <w:sz w:val="20"/>
                <w:szCs w:val="20"/>
                <w:color w:val="auto"/>
              </w:rPr>
            </w:pPr>
            <w:r>
              <w:rPr>
                <w:rFonts w:ascii="Arial" w:cs="Arial" w:eastAsia="Arial" w:hAnsi="Arial"/>
                <w:sz w:val="14"/>
                <w:szCs w:val="14"/>
                <w:color w:val="auto"/>
                <w:w w:val="87"/>
              </w:rPr>
              <w:t>Privately issued</w:t>
            </w:r>
          </w:p>
        </w:tc>
        <w:tc>
          <w:tcPr>
            <w:tcW w:w="260" w:type="dxa"/>
            <w:vAlign w:val="bottom"/>
          </w:tcPr>
          <w:p>
            <w:pPr>
              <w:spacing w:after="0"/>
              <w:rPr>
                <w:sz w:val="11"/>
                <w:szCs w:val="11"/>
                <w:color w:val="auto"/>
              </w:rPr>
            </w:pPr>
          </w:p>
        </w:tc>
        <w:tc>
          <w:tcPr>
            <w:tcW w:w="1700" w:type="dxa"/>
            <w:vAlign w:val="bottom"/>
            <w:gridSpan w:val="3"/>
          </w:tcPr>
          <w:p>
            <w:pPr>
              <w:jc w:val="center"/>
              <w:ind w:right="720"/>
              <w:spacing w:after="0" w:line="131" w:lineRule="exact"/>
              <w:rPr>
                <w:sz w:val="20"/>
                <w:szCs w:val="20"/>
                <w:color w:val="auto"/>
              </w:rPr>
            </w:pPr>
            <w:r>
              <w:rPr>
                <w:rFonts w:ascii="Arial" w:cs="Arial" w:eastAsia="Arial" w:hAnsi="Arial"/>
                <w:sz w:val="14"/>
                <w:szCs w:val="14"/>
                <w:color w:val="auto"/>
                <w:w w:val="87"/>
              </w:rPr>
              <w:t>Privately issued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632"/>
              <w:spacing w:after="0" w:line="149" w:lineRule="exact"/>
              <w:rPr>
                <w:sz w:val="20"/>
                <w:szCs w:val="20"/>
                <w:color w:val="auto"/>
              </w:rPr>
            </w:pPr>
            <w:r>
              <w:rPr>
                <w:rFonts w:ascii="Arial" w:cs="Arial" w:eastAsia="Arial" w:hAnsi="Arial"/>
                <w:sz w:val="14"/>
                <w:szCs w:val="14"/>
                <w:color w:val="auto"/>
                <w:w w:val="87"/>
              </w:rPr>
              <w:t>residential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9"/>
              </w:rPr>
              <w:t>commercial</w:t>
            </w:r>
          </w:p>
        </w:tc>
        <w:tc>
          <w:tcPr>
            <w:tcW w:w="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Collateralized</w:t>
            </w:r>
          </w:p>
        </w:tc>
        <w:tc>
          <w:tcPr>
            <w:tcW w:w="28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color w:val="auto"/>
              </w:rPr>
              <w:t>Other assets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mortgage-backed</w:t>
            </w:r>
          </w:p>
        </w:tc>
        <w:tc>
          <w:tcPr>
            <w:tcW w:w="260" w:type="dxa"/>
            <w:vAlign w:val="bottom"/>
          </w:tcPr>
          <w:p>
            <w:pPr>
              <w:spacing w:after="0"/>
              <w:rPr>
                <w:sz w:val="12"/>
                <w:szCs w:val="12"/>
                <w:color w:val="auto"/>
              </w:rPr>
            </w:pPr>
          </w:p>
        </w:tc>
        <w:tc>
          <w:tcPr>
            <w:tcW w:w="1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mortgage-backed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rPr>
              <w:t>debt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612"/>
              <w:spacing w:after="0" w:line="159" w:lineRule="exact"/>
              <w:rPr>
                <w:sz w:val="20"/>
                <w:szCs w:val="20"/>
                <w:color w:val="auto"/>
              </w:rPr>
            </w:pPr>
            <w:r>
              <w:rPr>
                <w:rFonts w:ascii="Arial" w:cs="Arial" w:eastAsia="Arial" w:hAnsi="Arial"/>
                <w:sz w:val="14"/>
                <w:szCs w:val="14"/>
                <w:color w:val="auto"/>
                <w:w w:val="84"/>
              </w:rPr>
              <w:t>securities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880"/>
              <w:spacing w:after="0" w:line="159" w:lineRule="exact"/>
              <w:rPr>
                <w:sz w:val="20"/>
                <w:szCs w:val="20"/>
                <w:color w:val="auto"/>
              </w:rPr>
            </w:pPr>
            <w:r>
              <w:rPr>
                <w:rFonts w:ascii="Arial" w:cs="Arial" w:eastAsia="Arial" w:hAnsi="Arial"/>
                <w:sz w:val="14"/>
                <w:szCs w:val="14"/>
                <w:color w:val="auto"/>
                <w:w w:val="87"/>
              </w:rPr>
              <w:t>securities</w:t>
            </w:r>
          </w:p>
        </w:tc>
        <w:tc>
          <w:tcPr>
            <w:tcW w:w="60" w:type="dxa"/>
            <w:vAlign w:val="bottom"/>
          </w:tcPr>
          <w:p>
            <w:pPr>
              <w:spacing w:after="0"/>
              <w:rPr>
                <w:sz w:val="13"/>
                <w:szCs w:val="13"/>
                <w:color w:val="auto"/>
              </w:rPr>
            </w:pPr>
          </w:p>
        </w:tc>
        <w:tc>
          <w:tcPr>
            <w:tcW w:w="1240" w:type="dxa"/>
            <w:vAlign w:val="bottom"/>
            <w:gridSpan w:val="3"/>
          </w:tcPr>
          <w:p>
            <w:pPr>
              <w:jc w:val="right"/>
              <w:ind w:right="540"/>
              <w:spacing w:after="0" w:line="159" w:lineRule="exact"/>
              <w:rPr>
                <w:sz w:val="20"/>
                <w:szCs w:val="20"/>
                <w:color w:val="auto"/>
              </w:rPr>
            </w:pPr>
            <w:r>
              <w:rPr>
                <w:rFonts w:ascii="Arial" w:cs="Arial" w:eastAsia="Arial" w:hAnsi="Arial"/>
                <w:sz w:val="14"/>
                <w:szCs w:val="14"/>
                <w:color w:val="auto"/>
              </w:rPr>
              <w:t>obligations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liabilities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(in thousands)</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1,435,561</w:t>
            </w: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22,407</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110,756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gains (losses) realized/unrealized: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(32,071)(a)</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43,244(b)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tcPr>
          <w:p>
            <w:pPr>
              <w:spacing w:after="0"/>
              <w:rPr>
                <w:sz w:val="18"/>
                <w:szCs w:val="18"/>
                <w:color w:val="auto"/>
              </w:rPr>
            </w:pPr>
          </w:p>
        </w:tc>
        <w:tc>
          <w:tcPr>
            <w:tcW w:w="1340" w:type="dxa"/>
            <w:vAlign w:val="bottom"/>
            <w:gridSpan w:val="2"/>
          </w:tcPr>
          <w:p>
            <w:pPr>
              <w:jc w:val="right"/>
              <w:ind w:right="272"/>
              <w:spacing w:after="0"/>
              <w:rPr>
                <w:sz w:val="20"/>
                <w:szCs w:val="20"/>
                <w:color w:val="auto"/>
              </w:rPr>
            </w:pPr>
            <w:r>
              <w:rPr>
                <w:rFonts w:ascii="Arial" w:cs="Arial" w:eastAsia="Arial" w:hAnsi="Arial"/>
                <w:sz w:val="18"/>
                <w:szCs w:val="18"/>
                <w:color w:val="auto"/>
              </w:rPr>
              <w:t>99,556(e)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8"/>
                <w:szCs w:val="18"/>
                <w:color w:val="auto"/>
              </w:rPr>
              <w:t>(1,482)(e)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7,206(e)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Sales</w:t>
            </w:r>
          </w:p>
        </w:tc>
        <w:tc>
          <w:tcPr>
            <w:tcW w:w="140" w:type="dxa"/>
            <w:vAlign w:val="bottom"/>
          </w:tcPr>
          <w:p>
            <w:pPr>
              <w:spacing w:after="0"/>
              <w:rPr>
                <w:sz w:val="18"/>
                <w:szCs w:val="18"/>
                <w:color w:val="auto"/>
              </w:rPr>
            </w:pPr>
          </w:p>
        </w:tc>
        <w:tc>
          <w:tcPr>
            <w:tcW w:w="1340" w:type="dxa"/>
            <w:vAlign w:val="bottom"/>
            <w:gridSpan w:val="2"/>
          </w:tcPr>
          <w:p>
            <w:pPr>
              <w:jc w:val="right"/>
              <w:ind w:right="5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90"/>
              </w:rPr>
              <w:t>(105,643)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(196,844)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Transfers in and/or out of Level 3 (c)</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(32,317)(d)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1,306,202</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17,233</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61,601</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w w:val="98"/>
              </w:rPr>
              <w:t>Changes in unrealized gains (losses) included in earnings related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to assets still held at June 30,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12"/>
              <w:spacing w:after="0"/>
              <w:rPr>
                <w:sz w:val="20"/>
                <w:szCs w:val="20"/>
                <w:color w:val="auto"/>
              </w:rPr>
            </w:pPr>
            <w:r>
              <w:rPr>
                <w:rFonts w:ascii="Arial" w:cs="Arial" w:eastAsia="Arial" w:hAnsi="Arial"/>
                <w:sz w:val="18"/>
                <w:szCs w:val="18"/>
                <w:color w:val="auto"/>
              </w:rPr>
              <w:t>(32,071)(a)</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13,139(b)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an other-than-temporary impairment loss in the consolidated statement of income or as gain (loss) on bank investment securities.</w:t>
      </w:r>
    </w:p>
    <w:p>
      <w:pPr>
        <w:spacing w:after="0" w:line="38" w:lineRule="exact"/>
        <w:rPr>
          <w:rFonts w:ascii="Arial" w:cs="Arial" w:eastAsia="Arial" w:hAnsi="Arial"/>
          <w:sz w:val="16"/>
          <w:szCs w:val="16"/>
          <w:i w:val="1"/>
          <w:iCs w:val="1"/>
          <w:color w:val="auto"/>
        </w:rPr>
      </w:pPr>
    </w:p>
    <w:p>
      <w:pPr>
        <w:ind w:left="460" w:hanging="452"/>
        <w:spacing w:after="0"/>
        <w:tabs>
          <w:tab w:leader="none" w:pos="46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460" w:right="180" w:hanging="452"/>
        <w:spacing w:after="0" w:line="250" w:lineRule="auto"/>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9" w:lineRule="exact"/>
        <w:rPr>
          <w:rFonts w:ascii="Arial" w:cs="Arial" w:eastAsia="Arial" w:hAnsi="Arial"/>
          <w:sz w:val="18"/>
          <w:szCs w:val="18"/>
          <w:i w:val="1"/>
          <w:iCs w:val="1"/>
          <w:color w:val="auto"/>
        </w:rPr>
      </w:pPr>
    </w:p>
    <w:p>
      <w:pPr>
        <w:ind w:left="460" w:hanging="452"/>
        <w:spacing w:after="0"/>
        <w:tabs>
          <w:tab w:leader="none" w:pos="46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net unrealized gains on investment securities in the consolidated statement of comprehensive income.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 held to maturity</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three-month periods ended June 30, 2012 and 2011, the Company recognized other-than-temporary impairment losses related to certain collateralized mortgage obligations of $1 million and $2 million, respectively, and during the six-month periods ended June 30, 2012 and 2011, similar other-than-temporary losses of $5 million and $11 million, respectively, were recorded. In accordance with GAAP, the carrying value of such securities was reduced to fair value, with estimated credit losses recognized in earnings and any remaining unrealized loss recognized in accumulated other comprehensive income. The determination of fair value includes use of external and internal valuation sources that, as in the case of privately issued residential mortgage-backed securities, are weighted and averaged when estimating fair value. Due to the presence of significant unobservable inputs that valuation is classified as Level 3. The amortized cost, fair value and impact on the Company’s financial statements of the modeling described herein were not material.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Estimates of fair value used for other collateral supporting commercial loans generally are based on assumptions not observable in the marketplace and, therefore, such valuations have been classified as Level 3. Loans subject to nonrecurring fair value measurement were $344 million at June 30, 2012 ($234 million and $110 million of which were classified as Level 2 and Level 3, respectively) and $478 million at June 30, 2011 ($324 million and $154 million of which were classified as Level 2 and Level 3, respectively). Changes in fair value recognized for partial charge-offs of loans and loan impairment reserves on loans held by the Company on June 30, 2012 were decreases of $21 million and $34 million for the three- and six-month periods ended June 30, 2012, respectively. Changes in fair value recognized for partial charge-offs of loans and loan impairment reserves on loans held by the Company on June 30, 2011 were decreases of $61 million and $91 million for the three-and six-month periods ended June 30, 2011,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taken in foreclosure of defaulted loans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not material at June 30, 2012 and 2011.</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to level 3 measurements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in the fair value measurements for Level 3 assets and liabilities at June 30, 2012: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vMerge w:val="restart"/>
          </w:tcPr>
          <w:p>
            <w:pPr>
              <w:ind w:left="560"/>
              <w:spacing w:after="0"/>
              <w:rPr>
                <w:sz w:val="20"/>
                <w:szCs w:val="20"/>
                <w:color w:val="auto"/>
              </w:rPr>
            </w:pPr>
            <w:r>
              <w:rPr>
                <w:rFonts w:ascii="Arial" w:cs="Arial" w:eastAsia="Arial" w:hAnsi="Arial"/>
                <w:sz w:val="14"/>
                <w:szCs w:val="14"/>
                <w:color w:val="auto"/>
              </w:rPr>
              <w:t>Valuation</w:t>
            </w:r>
          </w:p>
        </w:tc>
        <w:tc>
          <w:tcPr>
            <w:tcW w:w="2000" w:type="dxa"/>
            <w:vAlign w:val="bottom"/>
            <w:gridSpan w:val="2"/>
            <w:vMerge w:val="restart"/>
          </w:tcPr>
          <w:p>
            <w:pPr>
              <w:ind w:left="460"/>
              <w:spacing w:after="0"/>
              <w:rPr>
                <w:sz w:val="20"/>
                <w:szCs w:val="20"/>
                <w:color w:val="auto"/>
              </w:rPr>
            </w:pPr>
            <w:r>
              <w:rPr>
                <w:rFonts w:ascii="Arial" w:cs="Arial" w:eastAsia="Arial" w:hAnsi="Arial"/>
                <w:sz w:val="14"/>
                <w:szCs w:val="14"/>
                <w:color w:val="auto"/>
              </w:rPr>
              <w:t>Unobservable</w:t>
            </w:r>
          </w:p>
        </w:tc>
        <w:tc>
          <w:tcPr>
            <w:tcW w:w="1180" w:type="dxa"/>
            <w:vAlign w:val="bottom"/>
          </w:tcPr>
          <w:p>
            <w:pPr>
              <w:jc w:val="center"/>
              <w:spacing w:after="0"/>
              <w:rPr>
                <w:sz w:val="20"/>
                <w:szCs w:val="20"/>
                <w:color w:val="auto"/>
              </w:rPr>
            </w:pPr>
            <w:r>
              <w:rPr>
                <w:rFonts w:ascii="Arial" w:cs="Arial" w:eastAsia="Arial" w:hAnsi="Arial"/>
                <w:sz w:val="14"/>
                <w:szCs w:val="14"/>
                <w:color w:val="auto"/>
                <w:w w:val="82"/>
              </w:rPr>
              <w:t>Range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color w:val="auto"/>
                <w:w w:val="93"/>
              </w:rPr>
              <w:t>Fair value at</w:t>
            </w:r>
          </w:p>
        </w:tc>
        <w:tc>
          <w:tcPr>
            <w:tcW w:w="400" w:type="dxa"/>
            <w:vAlign w:val="bottom"/>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color w:val="auto"/>
                <w:w w:val="88"/>
              </w:rPr>
              <w:t>(weighted-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w w:val="85"/>
              </w:rPr>
              <w:t>June 30, 2012</w:t>
            </w:r>
          </w:p>
        </w:tc>
        <w:tc>
          <w:tcPr>
            <w:tcW w:w="400" w:type="dxa"/>
            <w:vAlign w:val="bottom"/>
          </w:tcPr>
          <w:p>
            <w:pPr>
              <w:spacing w:after="0"/>
              <w:rPr>
                <w:sz w:val="15"/>
                <w:szCs w:val="15"/>
                <w:color w:val="auto"/>
              </w:rPr>
            </w:pPr>
          </w:p>
        </w:tc>
        <w:tc>
          <w:tcPr>
            <w:tcW w:w="1960" w:type="dxa"/>
            <w:vAlign w:val="bottom"/>
            <w:gridSpan w:val="2"/>
          </w:tcPr>
          <w:p>
            <w:pPr>
              <w:ind w:left="560"/>
              <w:spacing w:after="0"/>
              <w:rPr>
                <w:sz w:val="20"/>
                <w:szCs w:val="20"/>
                <w:color w:val="auto"/>
              </w:rPr>
            </w:pPr>
            <w:r>
              <w:rPr>
                <w:rFonts w:ascii="Arial" w:cs="Arial" w:eastAsia="Arial" w:hAnsi="Arial"/>
                <w:sz w:val="14"/>
                <w:szCs w:val="14"/>
                <w:color w:val="auto"/>
              </w:rPr>
              <w:t>technique</w:t>
            </w:r>
          </w:p>
        </w:tc>
        <w:tc>
          <w:tcPr>
            <w:tcW w:w="2000" w:type="dxa"/>
            <w:vAlign w:val="bottom"/>
            <w:gridSpan w:val="2"/>
          </w:tcPr>
          <w:p>
            <w:pPr>
              <w:ind w:left="360"/>
              <w:spacing w:after="0"/>
              <w:rPr>
                <w:sz w:val="20"/>
                <w:szCs w:val="20"/>
                <w:color w:val="auto"/>
              </w:rPr>
            </w:pPr>
            <w:r>
              <w:rPr>
                <w:rFonts w:ascii="Arial" w:cs="Arial" w:eastAsia="Arial" w:hAnsi="Arial"/>
                <w:sz w:val="14"/>
                <w:szCs w:val="14"/>
                <w:color w:val="auto"/>
              </w:rPr>
              <w:t>input/assumptions</w:t>
            </w:r>
          </w:p>
        </w:tc>
        <w:tc>
          <w:tcPr>
            <w:tcW w:w="1180" w:type="dxa"/>
            <w:vAlign w:val="bottom"/>
          </w:tcPr>
          <w:p>
            <w:pPr>
              <w:jc w:val="center"/>
              <w:spacing w:after="0"/>
              <w:rPr>
                <w:sz w:val="20"/>
                <w:szCs w:val="20"/>
                <w:color w:val="auto"/>
              </w:rPr>
            </w:pPr>
            <w:r>
              <w:rPr>
                <w:rFonts w:ascii="Arial" w:cs="Arial" w:eastAsia="Arial" w:hAnsi="Arial"/>
                <w:sz w:val="14"/>
                <w:szCs w:val="14"/>
                <w:color w:val="auto"/>
                <w:w w:val="83"/>
              </w:rPr>
              <w:t>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Recurring fair value measurements</w:t>
            </w:r>
          </w:p>
        </w:tc>
        <w:tc>
          <w:tcPr>
            <w:tcW w:w="9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4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Privately issued mortgage–backed securities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$1,080,519</w:t>
            </w:r>
          </w:p>
        </w:tc>
        <w:tc>
          <w:tcPr>
            <w:tcW w:w="2360" w:type="dxa"/>
            <w:vAlign w:val="bottom"/>
            <w:gridSpan w:val="3"/>
          </w:tcPr>
          <w:p>
            <w:pPr>
              <w:ind w:left="400"/>
              <w:spacing w:after="0"/>
              <w:rPr>
                <w:sz w:val="20"/>
                <w:szCs w:val="20"/>
                <w:color w:val="auto"/>
              </w:rPr>
            </w:pPr>
            <w:r>
              <w:rPr>
                <w:rFonts w:ascii="Arial" w:cs="Arial" w:eastAsia="Arial" w:hAnsi="Arial"/>
                <w:sz w:val="18"/>
                <w:szCs w:val="18"/>
                <w:color w:val="auto"/>
              </w:rPr>
              <w:t>Discounted cash flow</w:t>
            </w:r>
          </w:p>
        </w:tc>
        <w:tc>
          <w:tcPr>
            <w:tcW w:w="2000" w:type="dxa"/>
            <w:vAlign w:val="bottom"/>
            <w:gridSpan w:val="2"/>
          </w:tcPr>
          <w:p>
            <w:pPr>
              <w:spacing w:after="0"/>
              <w:rPr>
                <w:sz w:val="20"/>
                <w:szCs w:val="20"/>
                <w:color w:val="auto"/>
              </w:rPr>
            </w:pPr>
            <w:r>
              <w:rPr>
                <w:rFonts w:ascii="Arial" w:cs="Arial" w:eastAsia="Arial" w:hAnsi="Arial"/>
                <w:sz w:val="18"/>
                <w:szCs w:val="18"/>
                <w:color w:val="auto"/>
              </w:rPr>
              <w:t>Probability of default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1%-49%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severity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32%-75% (49%)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Colateralized debt obligations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55,098</w:t>
            </w:r>
          </w:p>
        </w:tc>
        <w:tc>
          <w:tcPr>
            <w:tcW w:w="2360" w:type="dxa"/>
            <w:vAlign w:val="bottom"/>
            <w:gridSpan w:val="3"/>
          </w:tcPr>
          <w:p>
            <w:pPr>
              <w:ind w:left="400"/>
              <w:spacing w:after="0"/>
              <w:rPr>
                <w:sz w:val="20"/>
                <w:szCs w:val="20"/>
                <w:color w:val="auto"/>
              </w:rPr>
            </w:pPr>
            <w:r>
              <w:rPr>
                <w:rFonts w:ascii="Arial" w:cs="Arial" w:eastAsia="Arial" w:hAnsi="Arial"/>
                <w:sz w:val="18"/>
                <w:szCs w:val="18"/>
                <w:color w:val="auto"/>
              </w:rPr>
              <w:t>Discounted cash flow</w:t>
            </w:r>
          </w:p>
        </w:tc>
        <w:tc>
          <w:tcPr>
            <w:tcW w:w="2000" w:type="dxa"/>
            <w:vAlign w:val="bottom"/>
            <w:gridSpan w:val="2"/>
          </w:tcPr>
          <w:p>
            <w:pPr>
              <w:spacing w:after="0"/>
              <w:rPr>
                <w:sz w:val="20"/>
                <w:szCs w:val="20"/>
                <w:color w:val="auto"/>
              </w:rPr>
            </w:pPr>
            <w:r>
              <w:rPr>
                <w:rFonts w:ascii="Arial" w:cs="Arial" w:eastAsia="Arial" w:hAnsi="Arial"/>
                <w:sz w:val="18"/>
                <w:szCs w:val="18"/>
                <w:color w:val="auto"/>
              </w:rPr>
              <w:t>Probability of default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3%-65%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severity</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other assets (liabilities)(a)</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34,051</w:t>
            </w:r>
          </w:p>
        </w:tc>
        <w:tc>
          <w:tcPr>
            <w:tcW w:w="2360" w:type="dxa"/>
            <w:vAlign w:val="bottom"/>
            <w:gridSpan w:val="3"/>
          </w:tcPr>
          <w:p>
            <w:pPr>
              <w:ind w:left="400"/>
              <w:spacing w:after="0"/>
              <w:rPr>
                <w:sz w:val="20"/>
                <w:szCs w:val="20"/>
                <w:color w:val="auto"/>
              </w:rPr>
            </w:pPr>
            <w:r>
              <w:rPr>
                <w:rFonts w:ascii="Arial" w:cs="Arial" w:eastAsia="Arial" w:hAnsi="Arial"/>
                <w:sz w:val="18"/>
                <w:szCs w:val="18"/>
                <w:color w:val="auto"/>
              </w:rPr>
              <w:t>Discounted cash flow</w:t>
            </w:r>
          </w:p>
        </w:tc>
        <w:tc>
          <w:tcPr>
            <w:tcW w:w="200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0%-69% (18%)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level 3 assets, net of liabilities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1,169,668</w:t>
            </w:r>
          </w:p>
        </w:tc>
        <w:tc>
          <w:tcPr>
            <w:tcW w:w="4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fair value measurements to changes in unobservable inputs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 increase (decrease) in the probability of default and loss severity for mortgage-backed securities and collateralized debt obligations backed by trust preferred securities would generally result in a lower (higher) fair value measurement.</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An increase (decrease) in the estimate of expirations for commitments to originate residential mortgage loans would generally result in a lower (higher) fair value measurement. Estimated commitment expirations are derived considering loan type, changes in interest rates and remaining length of time until closing.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 Additional information about the assumptions and calculations utilized follows.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and estimated fair value for financial instrument assets (liabilities) are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color w:val="auto"/>
              </w:rPr>
              <w:t>June 30, 2012</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320"/>
              <w:spacing w:after="0" w:line="131" w:lineRule="exact"/>
              <w:rPr>
                <w:sz w:val="20"/>
                <w:szCs w:val="20"/>
                <w:color w:val="auto"/>
              </w:rPr>
            </w:pPr>
            <w:r>
              <w:rPr>
                <w:rFonts w:ascii="Arial" w:cs="Arial" w:eastAsia="Arial" w:hAnsi="Arial"/>
                <w:sz w:val="14"/>
                <w:szCs w:val="14"/>
                <w:color w:val="auto"/>
                <w:w w:val="90"/>
              </w:rPr>
              <w:t>Carrying</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420"/>
              <w:spacing w:after="0" w:line="131" w:lineRule="exact"/>
              <w:rPr>
                <w:sz w:val="20"/>
                <w:szCs w:val="20"/>
                <w:color w:val="auto"/>
              </w:rPr>
            </w:pPr>
            <w:r>
              <w:rPr>
                <w:rFonts w:ascii="Arial" w:cs="Arial" w:eastAsia="Arial" w:hAnsi="Arial"/>
                <w:sz w:val="14"/>
                <w:szCs w:val="14"/>
                <w:color w:val="auto"/>
                <w:w w:val="99"/>
              </w:rPr>
              <w:t>Estimated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85"/>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rPr>
              <w:t>fair value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Level 1</w:t>
            </w:r>
          </w:p>
        </w:tc>
        <w:tc>
          <w:tcPr>
            <w:tcW w:w="100" w:type="dxa"/>
            <w:vAlign w:val="bottom"/>
          </w:tcPr>
          <w:p>
            <w:pPr>
              <w:spacing w:after="0"/>
              <w:rPr>
                <w:sz w:val="13"/>
                <w:szCs w:val="13"/>
                <w:color w:val="auto"/>
              </w:rPr>
            </w:pPr>
          </w:p>
        </w:tc>
        <w:tc>
          <w:tcPr>
            <w:tcW w:w="124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3"/>
                <w:szCs w:val="13"/>
                <w:color w:val="auto"/>
              </w:rPr>
            </w:pPr>
          </w:p>
        </w:tc>
        <w:tc>
          <w:tcPr>
            <w:tcW w:w="90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1,422,831</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1,422,831</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1,343,415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79,416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1,069,717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1,069,717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544,938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544,938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53,472</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491,466</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7,057,300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7,000,671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108,172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5,598,494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1,294,005</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16,395,587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16,146,408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16,146,408</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24,898,707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24,687,443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109,645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24,577,798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9,811,525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9,843,421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6,617,925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3,225,496</w:t>
            </w:r>
          </w:p>
        </w:tc>
        <w:tc>
          <w:tcPr>
            <w:tcW w:w="0" w:type="dxa"/>
            <w:vAlign w:val="bottom"/>
          </w:tcPr>
          <w:p>
            <w:pPr>
              <w:spacing w:after="0"/>
              <w:rPr>
                <w:sz w:val="1"/>
                <w:szCs w:val="1"/>
                <w:color w:val="auto"/>
              </w:rPr>
            </w:pPr>
          </w:p>
        </w:tc>
      </w:tr>
      <w:tr>
        <w:trPr>
          <w:trHeight w:val="216"/>
        </w:trPr>
        <w:tc>
          <w:tcPr>
            <w:tcW w:w="476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11,745,453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11,605,448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11,605,448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(917,028)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1300"/>
              <w:spacing w:after="0"/>
              <w:rPr>
                <w:sz w:val="20"/>
                <w:szCs w:val="20"/>
                <w:color w:val="auto"/>
              </w:rPr>
            </w:pPr>
            <w:r>
              <w:rPr>
                <w:rFonts w:ascii="Arial" w:cs="Arial" w:eastAsia="Arial" w:hAnsi="Arial"/>
                <w:sz w:val="18"/>
                <w:szCs w:val="18"/>
                <w:color w:val="auto"/>
              </w:rPr>
              <w:t>Loans and leases, net</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61,934,244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62,282,720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6,727,570</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55,555,150</w:t>
            </w:r>
          </w:p>
        </w:tc>
        <w:tc>
          <w:tcPr>
            <w:tcW w:w="0" w:type="dxa"/>
            <w:vAlign w:val="bottom"/>
          </w:tcPr>
          <w:p>
            <w:pPr>
              <w:spacing w:after="0"/>
              <w:rPr>
                <w:sz w:val="1"/>
                <w:szCs w:val="1"/>
                <w:color w:val="auto"/>
              </w:rPr>
            </w:pPr>
          </w:p>
        </w:tc>
      </w:tr>
      <w:tr>
        <w:trPr>
          <w:trHeight w:val="217"/>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220,510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(22,854,794)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(22,854,794)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(22,854,794)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(33,997,610)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(33,997,610)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(33,997,610)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(5,330,239)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(5,360,561)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(5,360,561)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(366,164)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(366,164)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(366,164)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(975,575)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(975,575)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(975,575)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(5,687,868)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(5,784,700)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(5,784,700)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(67,523)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(430,101)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(430,101)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(430,101)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Commitments to originate real estate loans for sale</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34,051</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34,051</w:t>
            </w:r>
          </w:p>
        </w:tc>
        <w:tc>
          <w:tcPr>
            <w:tcW w:w="220" w:type="dxa"/>
            <w:vAlign w:val="bottom"/>
          </w:tcPr>
          <w:p>
            <w:pPr>
              <w:spacing w:after="0"/>
              <w:rPr>
                <w:sz w:val="18"/>
                <w:szCs w:val="18"/>
                <w:color w:val="auto"/>
              </w:rPr>
            </w:pP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34,051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to sell real estate loans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tcPr>
          <w:p>
            <w:pPr>
              <w:ind w:left="440"/>
              <w:spacing w:after="0"/>
              <w:rPr>
                <w:sz w:val="20"/>
                <w:szCs w:val="20"/>
                <w:color w:val="auto"/>
              </w:rPr>
            </w:pPr>
            <w:r>
              <w:rPr>
                <w:rFonts w:ascii="Arial" w:cs="Arial" w:eastAsia="Arial" w:hAnsi="Arial"/>
                <w:sz w:val="18"/>
                <w:szCs w:val="18"/>
                <w:color w:val="auto"/>
              </w:rPr>
              <w:t>Other credit-related commitments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(127,616)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(127,616)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(127,616)</w:t>
            </w:r>
          </w:p>
        </w:tc>
        <w:tc>
          <w:tcPr>
            <w:tcW w:w="0" w:type="dxa"/>
            <w:vAlign w:val="bottom"/>
          </w:tcPr>
          <w:p>
            <w:pPr>
              <w:spacing w:after="0"/>
              <w:rPr>
                <w:sz w:val="1"/>
                <w:szCs w:val="1"/>
                <w:color w:val="auto"/>
              </w:rPr>
            </w:pPr>
          </w:p>
        </w:tc>
      </w:tr>
      <w:tr>
        <w:trPr>
          <w:trHeight w:val="208"/>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Interest rate swap agreements used for interest rate risk</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management</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149,947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-49-</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tab/>
        <w:t>Fair value measurements,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color w:val="auto"/>
              </w:rPr>
              <w:t>December 31, 2011</w:t>
            </w:r>
          </w:p>
        </w:tc>
      </w:tr>
      <w:tr>
        <w:trPr>
          <w:trHeight w:val="131"/>
        </w:trPr>
        <w:tc>
          <w:tcPr>
            <w:tcW w:w="89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680"/>
              <w:spacing w:after="0" w:line="131" w:lineRule="exact"/>
              <w:rPr>
                <w:sz w:val="20"/>
                <w:szCs w:val="20"/>
                <w:color w:val="auto"/>
              </w:rPr>
            </w:pPr>
            <w:r>
              <w:rPr>
                <w:rFonts w:ascii="Arial" w:cs="Arial" w:eastAsia="Arial" w:hAnsi="Arial"/>
                <w:sz w:val="14"/>
                <w:szCs w:val="14"/>
                <w:color w:val="auto"/>
              </w:rPr>
              <w:t>Carrying</w:t>
            </w: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134"/>
              <w:spacing w:after="0" w:line="131" w:lineRule="exact"/>
              <w:rPr>
                <w:sz w:val="20"/>
                <w:szCs w:val="20"/>
                <w:color w:val="auto"/>
              </w:rPr>
            </w:pPr>
            <w:r>
              <w:rPr>
                <w:rFonts w:ascii="Arial" w:cs="Arial" w:eastAsia="Arial" w:hAnsi="Arial"/>
                <w:sz w:val="14"/>
                <w:szCs w:val="14"/>
                <w:color w:val="auto"/>
                <w:w w:val="99"/>
              </w:rPr>
              <w:t>Estimated</w:t>
            </w:r>
          </w:p>
        </w:tc>
        <w:tc>
          <w:tcPr>
            <w:tcW w:w="100" w:type="dxa"/>
            <w:vAlign w:val="bottom"/>
          </w:tcPr>
          <w:p>
            <w:pPr>
              <w:spacing w:after="0"/>
              <w:rPr>
                <w:sz w:val="11"/>
                <w:szCs w:val="11"/>
                <w:color w:val="auto"/>
              </w:rPr>
            </w:pPr>
          </w:p>
        </w:tc>
      </w:tr>
      <w:tr>
        <w:trPr>
          <w:trHeight w:val="159"/>
        </w:trPr>
        <w:tc>
          <w:tcPr>
            <w:tcW w:w="8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3"/>
                <w:szCs w:val="13"/>
                <w:color w:val="auto"/>
              </w:rPr>
            </w:pPr>
          </w:p>
        </w:tc>
        <w:tc>
          <w:tcPr>
            <w:tcW w:w="9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fair value</w:t>
            </w:r>
          </w:p>
        </w:tc>
      </w:tr>
      <w:tr>
        <w:trPr>
          <w:trHeight w:val="142"/>
        </w:trPr>
        <w:tc>
          <w:tcPr>
            <w:tcW w:w="8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4"/>
          </w:tcPr>
          <w:p>
            <w:pPr>
              <w:jc w:val="right"/>
              <w:ind w:right="714"/>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1,452,397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1,452,397</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154,960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154,960</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Trading account assets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561,834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561,834</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securities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7,673,154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7,608,008</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Loans and leases: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Commercial loans and leases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15,734,436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15,507,342</w:t>
            </w:r>
          </w:p>
        </w:tc>
      </w:tr>
      <w:tr>
        <w:trPr>
          <w:trHeight w:val="216"/>
        </w:trPr>
        <w:tc>
          <w:tcPr>
            <w:tcW w:w="8980" w:type="dxa"/>
            <w:vAlign w:val="bottom"/>
          </w:tcPr>
          <w:p>
            <w:pPr>
              <w:ind w:left="880"/>
              <w:spacing w:after="0"/>
              <w:rPr>
                <w:sz w:val="20"/>
                <w:szCs w:val="20"/>
                <w:color w:val="auto"/>
              </w:rPr>
            </w:pPr>
            <w:r>
              <w:rPr>
                <w:rFonts w:ascii="Arial" w:cs="Arial" w:eastAsia="Arial" w:hAnsi="Arial"/>
                <w:sz w:val="18"/>
                <w:szCs w:val="18"/>
                <w:color w:val="auto"/>
              </w:rPr>
              <w:t>Commercial real estate loans</w:t>
            </w: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24,411,114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24,024,585</w:t>
            </w:r>
          </w:p>
        </w:tc>
      </w:tr>
      <w:tr>
        <w:trPr>
          <w:trHeight w:val="216"/>
        </w:trPr>
        <w:tc>
          <w:tcPr>
            <w:tcW w:w="8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real estate loans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7,923,165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7,782,935</w:t>
            </w:r>
          </w:p>
        </w:tc>
      </w:tr>
      <w:tr>
        <w:trPr>
          <w:trHeight w:val="216"/>
        </w:trPr>
        <w:tc>
          <w:tcPr>
            <w:tcW w:w="8980" w:type="dxa"/>
            <w:vAlign w:val="bottom"/>
          </w:tcPr>
          <w:p>
            <w:pPr>
              <w:ind w:left="880"/>
              <w:spacing w:after="0"/>
              <w:rPr>
                <w:sz w:val="20"/>
                <w:szCs w:val="20"/>
                <w:color w:val="auto"/>
              </w:rPr>
            </w:pPr>
            <w:r>
              <w:rPr>
                <w:rFonts w:ascii="Arial" w:cs="Arial" w:eastAsia="Arial" w:hAnsi="Arial"/>
                <w:sz w:val="18"/>
                <w:szCs w:val="18"/>
                <w:color w:val="auto"/>
              </w:rPr>
              <w:t>Consumer loans</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12,027,290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11,869,813</w:t>
            </w:r>
          </w:p>
        </w:tc>
      </w:tr>
      <w:tr>
        <w:trPr>
          <w:trHeight w:val="216"/>
        </w:trPr>
        <w:tc>
          <w:tcPr>
            <w:tcW w:w="8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Allowance for credit losses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(908,290)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8980" w:type="dxa"/>
            <w:vAlign w:val="bottom"/>
          </w:tcPr>
          <w:p>
            <w:pPr>
              <w:ind w:left="1300"/>
              <w:spacing w:after="0"/>
              <w:rPr>
                <w:sz w:val="20"/>
                <w:szCs w:val="20"/>
                <w:color w:val="auto"/>
              </w:rPr>
            </w:pPr>
            <w:r>
              <w:rPr>
                <w:rFonts w:ascii="Arial" w:cs="Arial" w:eastAsia="Arial" w:hAnsi="Arial"/>
                <w:sz w:val="18"/>
                <w:szCs w:val="18"/>
                <w:color w:val="auto"/>
              </w:rPr>
              <w:t>Loans and leases, net</w:t>
            </w: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59,187,715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59,184,675</w:t>
            </w:r>
          </w:p>
        </w:tc>
        <w:tc>
          <w:tcPr>
            <w:tcW w:w="100" w:type="dxa"/>
            <w:vAlign w:val="bottom"/>
          </w:tcPr>
          <w:p>
            <w:pPr>
              <w:spacing w:after="0"/>
              <w:rPr>
                <w:sz w:val="19"/>
                <w:szCs w:val="19"/>
                <w:color w:val="auto"/>
              </w:rPr>
            </w:pPr>
          </w:p>
        </w:tc>
      </w:tr>
      <w:tr>
        <w:trPr>
          <w:trHeight w:val="217"/>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222,618</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deposits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(20,017,883)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(20,017,883)</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Savings deposits and NOW accounts</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(32,913,309)</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(32,913,309)</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(6,107,530)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(6,133,806)</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(355,927)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(355,927)</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(782,082)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(782,082)</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Long-term borrowings</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(6,686,226)</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(6,720,174)</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(67,900)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(67,900)</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Trading account liabilities</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(434,559)</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(434,559)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instruments:</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Commitments to originate real estate loans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6,923</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6,923</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Commitments to sell real estate loans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(3,498)</w:t>
            </w: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Other credit-related commitments</w:t>
            </w:r>
          </w:p>
        </w:tc>
        <w:tc>
          <w:tcPr>
            <w:tcW w:w="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(109,828)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(109,828)</w:t>
            </w: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 used for interest rate risk management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147,302</w:t>
            </w:r>
          </w:p>
        </w:tc>
      </w:tr>
    </w:tbl>
    <w:p>
      <w:pPr>
        <w:spacing w:after="0" w:line="15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assumptions, methods and calculations were used in determining the estimated fair value of financial instruments not measured at fair value in the consolidated balance sheet.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Cash and cash equivalents, interest-bearing deposits at banks, agreements to resell securities, short-term borrowings, accrued interest receivable and accrued interest payable</w:t>
      </w:r>
    </w:p>
    <w:p>
      <w:pPr>
        <w:spacing w:after="0" w:line="132"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Due to the nature of cash and cash equivalents and the near maturity of interest-bearing deposits at banks, agreements to resell securities, short-term borrowings, accrued interest receivable and accrued interest payable, the Company estimated that the carrying amount of such instruments approximated estimated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Estimated fair values of investments in readily marketable securities were generally based on quoted market prices. Investment securities that were not readily marketable were assigned amounts based on estimates provided by outside parties or modeling techniques that relied upon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leases</w:t>
      </w:r>
    </w:p>
    <w:p>
      <w:pPr>
        <w:spacing w:after="0" w:line="9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In general, discount rates used to calculate values for loan products were based on the Company’s pricing at the respective period end. A higher discount rate was assumed with respect to estimated cash flows associated with nonaccrual loans. Projected loan cash flows were adjusted for estimated credit losses. However, such estimates made by the Company may not be indicative of assumptions and adjustments that a purchaser of the Company’s loans and leases would seek.</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GAAP, the estimated fair value ascribed to noninterest-bearing deposits, savings deposits and NOW accounts must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based on the Company’s pricing at the respective date for deposits with comparable remaining terms to maturity.</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believes that deposit accounts have a value greater than that prescribed by GAAP. The Company feels, however, that the value associated with these deposits is greatly influenced by characteristics of the buyer, such as the ability to reduce the costs of servicing the deposits and deposit attrition which often occurs following an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borrowings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amounts assigned to long-term borrowings were based on quoted market prices, when available, or were based on discounted cash flow calculations using prevailing market interest rates for borrowings of similar terms and credit risk.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credit-related commitments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 13, in the normal course of business, various commitments and contingent liabilities are outstanding, such as loan commitments, credit guarantees and letters of credit. The Company’s pricing of such financial instruments is based largely on credit quality and relationship, probability of 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12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color w:val="auto"/>
              </w:rPr>
              <w:t>June 30,</w:t>
            </w:r>
          </w:p>
        </w:tc>
        <w:tc>
          <w:tcPr>
            <w:tcW w:w="114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59"/>
        </w:trPr>
        <w:tc>
          <w:tcPr>
            <w:tcW w:w="5040" w:type="dxa"/>
            <w:vAlign w:val="bottom"/>
          </w:tcPr>
          <w:p>
            <w:pPr>
              <w:spacing w:after="0"/>
              <w:rPr>
                <w:sz w:val="13"/>
                <w:szCs w:val="13"/>
                <w:color w:val="auto"/>
              </w:rPr>
            </w:pPr>
          </w:p>
        </w:tc>
        <w:tc>
          <w:tcPr>
            <w:tcW w:w="2500" w:type="dxa"/>
            <w:vAlign w:val="bottom"/>
            <w:gridSpan w:val="2"/>
          </w:tcPr>
          <w:p>
            <w:pPr>
              <w:jc w:val="right"/>
              <w:ind w:right="492"/>
              <w:spacing w:after="0" w:line="159" w:lineRule="exact"/>
              <w:rPr>
                <w:sz w:val="20"/>
                <w:szCs w:val="20"/>
                <w:color w:val="auto"/>
              </w:rPr>
            </w:pPr>
            <w:r>
              <w:rPr>
                <w:rFonts w:ascii="Arial" w:cs="Arial" w:eastAsia="Arial" w:hAnsi="Arial"/>
                <w:sz w:val="14"/>
                <w:szCs w:val="14"/>
                <w:color w:val="auto"/>
              </w:rPr>
              <w:t>2012</w:t>
            </w:r>
          </w:p>
        </w:tc>
        <w:tc>
          <w:tcPr>
            <w:tcW w:w="1040" w:type="dxa"/>
            <w:vAlign w:val="bottom"/>
          </w:tcPr>
          <w:p>
            <w:pPr>
              <w:jc w:val="right"/>
              <w:ind w:right="216"/>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5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80" w:type="dxa"/>
            <w:vAlign w:val="bottom"/>
            <w:tcBorders>
              <w:top w:val="single" w:sz="8" w:color="auto"/>
            </w:tcBorders>
            <w:gridSpan w:val="2"/>
          </w:tcPr>
          <w:p>
            <w:pPr>
              <w:jc w:val="right"/>
              <w:ind w:right="616"/>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extend credit</w:t>
            </w:r>
          </w:p>
        </w:tc>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Home equity lines of credit</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$ 6,369,114</w:t>
            </w:r>
          </w:p>
        </w:tc>
        <w:tc>
          <w:tcPr>
            <w:tcW w:w="1040" w:type="dxa"/>
            <w:vAlign w:val="bottom"/>
          </w:tcPr>
          <w:p>
            <w:pPr>
              <w:jc w:val="right"/>
              <w:spacing w:after="0"/>
              <w:rPr>
                <w:sz w:val="20"/>
                <w:szCs w:val="20"/>
                <w:color w:val="auto"/>
              </w:rPr>
            </w:pPr>
            <w:r>
              <w:rPr>
                <w:rFonts w:ascii="Arial" w:cs="Arial" w:eastAsia="Arial" w:hAnsi="Arial"/>
                <w:sz w:val="18"/>
                <w:szCs w:val="18"/>
                <w:color w:val="auto"/>
              </w:rPr>
              <w:t>6,393,332</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real estate loans to be sold</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134,471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177,982</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commercial real estate and construction</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3,138,855</w:t>
            </w:r>
          </w:p>
        </w:tc>
        <w:tc>
          <w:tcPr>
            <w:tcW w:w="1040" w:type="dxa"/>
            <w:vAlign w:val="bottom"/>
          </w:tcPr>
          <w:p>
            <w:pPr>
              <w:jc w:val="right"/>
              <w:spacing w:after="0"/>
              <w:rPr>
                <w:sz w:val="20"/>
                <w:szCs w:val="20"/>
                <w:color w:val="auto"/>
              </w:rPr>
            </w:pPr>
            <w:r>
              <w:rPr>
                <w:rFonts w:ascii="Arial" w:cs="Arial" w:eastAsia="Arial" w:hAnsi="Arial"/>
                <w:sz w:val="18"/>
                <w:szCs w:val="18"/>
                <w:color w:val="auto"/>
              </w:rPr>
              <w:t>2,818,071</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real estate loans to be sold</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771,278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ind w:left="440"/>
              <w:spacing w:after="0"/>
              <w:rPr>
                <w:sz w:val="20"/>
                <w:szCs w:val="20"/>
                <w:color w:val="auto"/>
              </w:rPr>
            </w:pPr>
            <w:r>
              <w:rPr>
                <w:rFonts w:ascii="Arial" w:cs="Arial" w:eastAsia="Arial" w:hAnsi="Arial"/>
                <w:sz w:val="18"/>
                <w:szCs w:val="18"/>
                <w:color w:val="auto"/>
              </w:rPr>
              <w:t>Other residential real estate</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438,197</w:t>
            </w:r>
          </w:p>
        </w:tc>
        <w:tc>
          <w:tcPr>
            <w:tcW w:w="1040" w:type="dxa"/>
            <w:vAlign w:val="bottom"/>
          </w:tcPr>
          <w:p>
            <w:pPr>
              <w:jc w:val="right"/>
              <w:spacing w:after="0"/>
              <w:rPr>
                <w:sz w:val="20"/>
                <w:szCs w:val="20"/>
                <w:color w:val="auto"/>
              </w:rPr>
            </w:pPr>
            <w:r>
              <w:rPr>
                <w:rFonts w:ascii="Arial" w:cs="Arial" w:eastAsia="Arial" w:hAnsi="Arial"/>
                <w:sz w:val="18"/>
                <w:szCs w:val="18"/>
                <w:color w:val="auto"/>
              </w:rPr>
              <w:t>129,466</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and other</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10,004,023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10,442,754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3,811,819</w:t>
            </w:r>
          </w:p>
        </w:tc>
        <w:tc>
          <w:tcPr>
            <w:tcW w:w="1040" w:type="dxa"/>
            <w:vAlign w:val="bottom"/>
          </w:tcPr>
          <w:p>
            <w:pPr>
              <w:jc w:val="right"/>
              <w:spacing w:after="0"/>
              <w:rPr>
                <w:sz w:val="20"/>
                <w:szCs w:val="20"/>
                <w:color w:val="auto"/>
              </w:rPr>
            </w:pPr>
            <w:r>
              <w:rPr>
                <w:rFonts w:ascii="Arial" w:cs="Arial" w:eastAsia="Arial" w:hAnsi="Arial"/>
                <w:sz w:val="18"/>
                <w:szCs w:val="18"/>
                <w:color w:val="auto"/>
              </w:rPr>
              <w:t>3,930,271</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Commercial letters of credit</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56,725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44,981</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500" w:type="dxa"/>
            <w:vAlign w:val="bottom"/>
            <w:gridSpan w:val="2"/>
          </w:tcPr>
          <w:p>
            <w:pPr>
              <w:jc w:val="right"/>
              <w:ind w:right="172"/>
              <w:spacing w:after="0"/>
              <w:rPr>
                <w:sz w:val="20"/>
                <w:szCs w:val="20"/>
                <w:color w:val="auto"/>
              </w:rPr>
            </w:pPr>
            <w:r>
              <w:rPr>
                <w:rFonts w:ascii="Arial" w:cs="Arial" w:eastAsia="Arial" w:hAnsi="Arial"/>
                <w:sz w:val="18"/>
                <w:szCs w:val="18"/>
                <w:color w:val="auto"/>
              </w:rPr>
              <w:t>1,895,755</w:t>
            </w:r>
          </w:p>
        </w:tc>
        <w:tc>
          <w:tcPr>
            <w:tcW w:w="1040" w:type="dxa"/>
            <w:vAlign w:val="bottom"/>
          </w:tcPr>
          <w:p>
            <w:pPr>
              <w:jc w:val="right"/>
              <w:spacing w:after="0"/>
              <w:rPr>
                <w:sz w:val="20"/>
                <w:szCs w:val="20"/>
                <w:color w:val="auto"/>
              </w:rPr>
            </w:pPr>
            <w:r>
              <w:rPr>
                <w:rFonts w:ascii="Arial" w:cs="Arial" w:eastAsia="Arial" w:hAnsi="Arial"/>
                <w:sz w:val="18"/>
                <w:szCs w:val="18"/>
                <w:color w:val="auto"/>
              </w:rPr>
              <w:t>1,903,254</w:t>
            </w: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sell real estate loans</w:t>
            </w:r>
          </w:p>
        </w:tc>
        <w:tc>
          <w:tcPr>
            <w:tcW w:w="2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1,068,940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635,899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$1.8 billion at each of June 30, 2012 and December 31, 2011.</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an agreement with the Baltimore Ravens of the National Football League whereby the Company obtained the naming rights to a football stadium in Baltimore, Maryland. Under the agreement, the Company is obligated to pay $5 million per year through 2013 and $6 million per year from 2014 through 2017.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also has commitments under long-term operating leases.</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Company reinsures credit life and accident and health insurance purchased by consumer loan customers. The Company also enters into reinsurance contracts with third party insurance companies who insure against the risk of a mortgage borrower’s payment default in connection with certain mortgage loans originated by the Company. When providing reinsurance coverage, the Company receives a premium in exchange for accepting a portion of the insurer’s risk of loss. The outstanding loan principal balances reinsured by the Company were approximately $71 million at June 30, 2012. Assets of subsidiaries providing reinsurance that are available to satisfy claims totaled approximately $42 million at June 30, 2012. The amounts noted above are not necessarily indicative of losses which may ultimately be incurred. Such losses are expected to be substantially less because most loans are repaid by borrowers in accordance with the original loan terms. Management believes that any reinsurance losses that may be payable by the Company will not be material to the Company’s consolidated financial position.</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 The amount of those charges is based on the volume of loans sold, the level of reimbursement requests received from loan purchasers and estimates of losses that may be associated with previously sold loans. At June 30, 2012, management believes that any remaining liability arising out of the Company’s obligation to loan purchasers is not material to the Company’s consolidated financial position.</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financial information of the Company’s segments was compiled utilizing the accounting policies described in note 22 to the Company’s consolidated financial statements as of and for the year ended December 31, 2011.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As also described in note 22 to the Company’s 2011 consolidated financial statements, neither goodwill nor core deposit and other intangible assets (and the amortization charges associated with such assets) resulting from acquisitions of financial institutions have been allocated to the Company’s reportable segments, but are included in the “All Other” category. The Company does, however, assign such intangible assets to business units for purposes of testing for impairment.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about the Company’s segments is presented in the following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color w:val="auto"/>
                <w:w w:val="85"/>
              </w:rPr>
              <w:t>Three months ended June 30</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color w:val="auto"/>
              </w:rPr>
              <w:t>2012</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7"/>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8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160"/>
              <w:spacing w:after="0" w:line="131" w:lineRule="exact"/>
              <w:rPr>
                <w:sz w:val="20"/>
                <w:szCs w:val="20"/>
                <w:color w:val="auto"/>
              </w:rPr>
            </w:pPr>
            <w:r>
              <w:rPr>
                <w:rFonts w:ascii="Arial" w:cs="Arial" w:eastAsia="Arial" w:hAnsi="Arial"/>
                <w:sz w:val="14"/>
                <w:szCs w:val="14"/>
                <w:color w:val="auto"/>
              </w:rPr>
              <w:t>Inter-</w:t>
            </w:r>
          </w:p>
        </w:tc>
        <w:tc>
          <w:tcPr>
            <w:tcW w:w="14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2"/>
              </w:rPr>
              <w:t>Net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91"/>
              </w:rPr>
              <w:t>Inter-</w:t>
            </w: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2"/>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Total</w:t>
            </w:r>
          </w:p>
        </w:tc>
        <w:tc>
          <w:tcPr>
            <w:tcW w:w="7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1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4"/>
              </w:rPr>
              <w:t>income</w:t>
            </w:r>
          </w:p>
        </w:tc>
        <w:tc>
          <w:tcPr>
            <w:tcW w:w="76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1"/>
              </w:rPr>
              <w:t>segment</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38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w w:val="89"/>
              </w:rPr>
              <w:t>revenues (a)</w:t>
            </w:r>
          </w:p>
        </w:tc>
        <w:tc>
          <w:tcPr>
            <w:tcW w:w="7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revenues</w:t>
            </w:r>
          </w:p>
        </w:tc>
        <w:tc>
          <w:tcPr>
            <w:tcW w:w="140" w:type="dxa"/>
            <w:vAlign w:val="bottom"/>
          </w:tcPr>
          <w:p>
            <w:pPr>
              <w:spacing w:after="0"/>
              <w:rPr>
                <w:sz w:val="13"/>
                <w:szCs w:val="13"/>
                <w:color w:val="auto"/>
              </w:rPr>
            </w:pPr>
          </w:p>
        </w:tc>
        <w:tc>
          <w:tcPr>
            <w:tcW w:w="8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7"/>
              </w:rPr>
              <w:t>(loss)</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w w:val="89"/>
              </w:rPr>
              <w:t>revenues (a)</w:t>
            </w:r>
          </w:p>
        </w:tc>
        <w:tc>
          <w:tcPr>
            <w:tcW w:w="200" w:type="dxa"/>
            <w:vAlign w:val="bottom"/>
          </w:tcPr>
          <w:p>
            <w:pPr>
              <w:spacing w:after="0"/>
              <w:rPr>
                <w:sz w:val="13"/>
                <w:szCs w:val="13"/>
                <w:color w:val="auto"/>
              </w:rPr>
            </w:pPr>
          </w:p>
        </w:tc>
        <w:tc>
          <w:tcPr>
            <w:tcW w:w="74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83"/>
              </w:rPr>
              <w:t>revenues</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476"/>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109,318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37,085</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104,012</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Commercial Banking</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248,754</w:t>
            </w:r>
          </w:p>
        </w:tc>
        <w:tc>
          <w:tcPr>
            <w:tcW w:w="620" w:type="dxa"/>
            <w:vAlign w:val="bottom"/>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99,623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228,564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1,190</w:t>
            </w:r>
          </w:p>
        </w:tc>
        <w:tc>
          <w:tcPr>
            <w:tcW w:w="620" w:type="dxa"/>
            <w:vAlign w:val="bottom"/>
          </w:tcPr>
          <w:p>
            <w:pPr>
              <w:jc w:val="right"/>
              <w:spacing w:after="0"/>
              <w:rPr>
                <w:sz w:val="20"/>
                <w:szCs w:val="20"/>
                <w:color w:val="auto"/>
              </w:rPr>
            </w:pPr>
            <w:r>
              <w:rPr>
                <w:rFonts w:ascii="Arial" w:cs="Arial" w:eastAsia="Arial" w:hAnsi="Arial"/>
                <w:sz w:val="18"/>
                <w:szCs w:val="18"/>
                <w:color w:val="auto"/>
              </w:rPr>
              <w:t>95,111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168,083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80,498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134,066</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(11,807)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(20,616)</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(14,757)</w:t>
            </w:r>
          </w:p>
        </w:tc>
        <w:tc>
          <w:tcPr>
            <w:tcW w:w="760" w:type="dxa"/>
            <w:vAlign w:val="bottom"/>
          </w:tcPr>
          <w:p>
            <w:pPr>
              <w:jc w:val="right"/>
              <w:spacing w:after="0"/>
              <w:rPr>
                <w:sz w:val="20"/>
                <w:szCs w:val="20"/>
                <w:color w:val="auto"/>
              </w:rPr>
            </w:pPr>
            <w:r>
              <w:rPr>
                <w:rFonts w:ascii="Arial" w:cs="Arial" w:eastAsia="Arial" w:hAnsi="Arial"/>
                <w:sz w:val="18"/>
                <w:szCs w:val="18"/>
                <w:color w:val="auto"/>
              </w:rPr>
              <w:t>112,383</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(4,419)</w:t>
            </w:r>
          </w:p>
        </w:tc>
        <w:tc>
          <w:tcPr>
            <w:tcW w:w="620" w:type="dxa"/>
            <w:vAlign w:val="bottom"/>
          </w:tcPr>
          <w:p>
            <w:pPr>
              <w:jc w:val="right"/>
              <w:spacing w:after="0"/>
              <w:rPr>
                <w:sz w:val="20"/>
                <w:szCs w:val="20"/>
                <w:color w:val="auto"/>
              </w:rPr>
            </w:pPr>
            <w:r>
              <w:rPr>
                <w:rFonts w:ascii="Arial" w:cs="Arial" w:eastAsia="Arial" w:hAnsi="Arial"/>
                <w:sz w:val="18"/>
                <w:szCs w:val="18"/>
                <w:color w:val="auto"/>
              </w:rPr>
              <w:t>58,362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109,995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25,994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58,305</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8,699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Retail Banking</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313,994</w:t>
            </w:r>
          </w:p>
        </w:tc>
        <w:tc>
          <w:tcPr>
            <w:tcW w:w="620" w:type="dxa"/>
            <w:vAlign w:val="bottom"/>
          </w:tcPr>
          <w:p>
            <w:pPr>
              <w:jc w:val="right"/>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58,191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311,484</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2,967</w:t>
            </w:r>
          </w:p>
        </w:tc>
        <w:tc>
          <w:tcPr>
            <w:tcW w:w="620" w:type="dxa"/>
            <w:vAlign w:val="bottom"/>
          </w:tcPr>
          <w:p>
            <w:pPr>
              <w:jc w:val="right"/>
              <w:spacing w:after="0"/>
              <w:rPr>
                <w:sz w:val="20"/>
                <w:szCs w:val="20"/>
                <w:color w:val="auto"/>
              </w:rPr>
            </w:pPr>
            <w:r>
              <w:rPr>
                <w:rFonts w:ascii="Arial" w:cs="Arial" w:eastAsia="Arial" w:hAnsi="Arial"/>
                <w:sz w:val="18"/>
                <w:szCs w:val="18"/>
                <w:color w:val="auto"/>
              </w:rPr>
              <w:t>54,645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101,296</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(23,263)</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(53,254)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139,044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(9,856)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60" w:type="dxa"/>
            <w:vAlign w:val="bottom"/>
            <w:vMerge w:val="continue"/>
          </w:tcPr>
          <w:p>
            <w:pPr>
              <w:spacing w:after="0"/>
              <w:rPr>
                <w:sz w:val="19"/>
                <w:szCs w:val="19"/>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1,039,633</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233,380</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1,087,858</w:t>
            </w:r>
          </w:p>
        </w:tc>
        <w:tc>
          <w:tcPr>
            <w:tcW w:w="200" w:type="dxa"/>
            <w:vAlign w:val="bottom"/>
          </w:tcPr>
          <w:p>
            <w:pPr>
              <w:spacing w:after="0"/>
              <w:rPr>
                <w:sz w:val="19"/>
                <w:szCs w:val="19"/>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322,358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460" w:type="dxa"/>
            <w:vAlign w:val="bottom"/>
            <w:vMerge w:val="restart"/>
          </w:tcPr>
          <w:p>
            <w:pPr>
              <w:jc w:val="right"/>
              <w:ind w:right="372"/>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FINANCIAL STATEMENTS, CONTINUED</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Segment information,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color w:val="auto"/>
                <w:w w:val="85"/>
              </w:rPr>
              <w:t>Six months ended June 30</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2011</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gridSpan w:val="2"/>
          </w:tcPr>
          <w:p>
            <w:pPr>
              <w:jc w:val="center"/>
              <w:ind w:left="58"/>
              <w:spacing w:after="0" w:line="131" w:lineRule="exact"/>
              <w:rPr>
                <w:sz w:val="20"/>
                <w:szCs w:val="20"/>
                <w:color w:val="auto"/>
              </w:rPr>
            </w:pPr>
            <w:r>
              <w:rPr>
                <w:rFonts w:ascii="Arial" w:cs="Arial" w:eastAsia="Arial" w:hAnsi="Arial"/>
                <w:sz w:val="14"/>
                <w:szCs w:val="14"/>
                <w:color w:val="auto"/>
                <w:w w:val="91"/>
              </w:rPr>
              <w:t>Inter-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center"/>
              <w:ind w:right="52"/>
              <w:spacing w:after="0" w:line="131" w:lineRule="exact"/>
              <w:rPr>
                <w:sz w:val="20"/>
                <w:szCs w:val="20"/>
                <w:color w:val="auto"/>
              </w:rPr>
            </w:pPr>
            <w:r>
              <w:rPr>
                <w:rFonts w:ascii="Arial" w:cs="Arial" w:eastAsia="Arial" w:hAnsi="Arial"/>
                <w:sz w:val="14"/>
                <w:szCs w:val="14"/>
                <w:color w:val="auto"/>
                <w:w w:val="91"/>
              </w:rPr>
              <w:t>Net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140"/>
              <w:spacing w:after="0" w:line="131" w:lineRule="exact"/>
              <w:rPr>
                <w:sz w:val="20"/>
                <w:szCs w:val="20"/>
                <w:color w:val="auto"/>
              </w:rPr>
            </w:pPr>
            <w:r>
              <w:rPr>
                <w:rFonts w:ascii="Arial" w:cs="Arial" w:eastAsia="Arial" w:hAnsi="Arial"/>
                <w:sz w:val="14"/>
                <w:szCs w:val="14"/>
                <w:color w:val="auto"/>
              </w:rPr>
              <w:t>Inter-</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91"/>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Total</w:t>
            </w:r>
          </w:p>
        </w:tc>
        <w:tc>
          <w:tcPr>
            <w:tcW w:w="70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85"/>
              </w:rPr>
              <w:t>segment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center"/>
              <w:ind w:right="72"/>
              <w:spacing w:after="0" w:line="149" w:lineRule="exact"/>
              <w:rPr>
                <w:sz w:val="20"/>
                <w:szCs w:val="20"/>
                <w:color w:val="auto"/>
              </w:rPr>
            </w:pPr>
            <w:r>
              <w:rPr>
                <w:rFonts w:ascii="Arial" w:cs="Arial" w:eastAsia="Arial" w:hAnsi="Arial"/>
                <w:sz w:val="14"/>
                <w:szCs w:val="14"/>
                <w:color w:val="auto"/>
                <w:w w:val="88"/>
              </w:rPr>
              <w:t>income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18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segment</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income</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revenues (a)</w:t>
            </w:r>
          </w:p>
        </w:tc>
        <w:tc>
          <w:tcPr>
            <w:tcW w:w="700" w:type="dxa"/>
            <w:vAlign w:val="bottom"/>
            <w:gridSpan w:val="4"/>
          </w:tcPr>
          <w:p>
            <w:pPr>
              <w:jc w:val="center"/>
              <w:ind w:right="100"/>
              <w:spacing w:after="0" w:line="159" w:lineRule="exact"/>
              <w:rPr>
                <w:sz w:val="20"/>
                <w:szCs w:val="20"/>
                <w:color w:val="auto"/>
              </w:rPr>
            </w:pPr>
            <w:r>
              <w:rPr>
                <w:rFonts w:ascii="Arial" w:cs="Arial" w:eastAsia="Arial" w:hAnsi="Arial"/>
                <w:sz w:val="14"/>
                <w:szCs w:val="14"/>
                <w:color w:val="auto"/>
                <w:w w:val="83"/>
              </w:rPr>
              <w:t>revenues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center"/>
              <w:ind w:right="92"/>
              <w:spacing w:after="0" w:line="159" w:lineRule="exact"/>
              <w:rPr>
                <w:sz w:val="20"/>
                <w:szCs w:val="20"/>
                <w:color w:val="auto"/>
              </w:rPr>
            </w:pPr>
            <w:r>
              <w:rPr>
                <w:rFonts w:ascii="Arial" w:cs="Arial" w:eastAsia="Arial" w:hAnsi="Arial"/>
                <w:sz w:val="14"/>
                <w:szCs w:val="14"/>
                <w:color w:val="auto"/>
                <w:w w:val="87"/>
              </w:rPr>
              <w:t>(loss)</w:t>
            </w:r>
          </w:p>
        </w:tc>
        <w:tc>
          <w:tcPr>
            <w:tcW w:w="200" w:type="dxa"/>
            <w:vAlign w:val="bottom"/>
          </w:tcPr>
          <w:p>
            <w:pPr>
              <w:spacing w:after="0"/>
              <w:rPr>
                <w:sz w:val="13"/>
                <w:szCs w:val="13"/>
                <w:color w:val="auto"/>
              </w:rPr>
            </w:pPr>
          </w:p>
        </w:tc>
        <w:tc>
          <w:tcPr>
            <w:tcW w:w="820" w:type="dxa"/>
            <w:vAlign w:val="bottom"/>
            <w:gridSpan w:val="4"/>
          </w:tcPr>
          <w:p>
            <w:pPr>
              <w:jc w:val="center"/>
              <w:ind w:right="40"/>
              <w:spacing w:after="0" w:line="159" w:lineRule="exact"/>
              <w:rPr>
                <w:sz w:val="20"/>
                <w:szCs w:val="20"/>
                <w:color w:val="auto"/>
              </w:rPr>
            </w:pPr>
            <w:r>
              <w:rPr>
                <w:rFonts w:ascii="Arial" w:cs="Arial" w:eastAsia="Arial" w:hAnsi="Arial"/>
                <w:sz w:val="14"/>
                <w:szCs w:val="14"/>
                <w:color w:val="auto"/>
                <w:w w:val="83"/>
              </w:rPr>
              <w:t>revenues (a)</w:t>
            </w:r>
          </w:p>
        </w:tc>
        <w:tc>
          <w:tcPr>
            <w:tcW w:w="180" w:type="dxa"/>
            <w:vAlign w:val="bottom"/>
          </w:tcPr>
          <w:p>
            <w:pPr>
              <w:spacing w:after="0"/>
              <w:rPr>
                <w:sz w:val="13"/>
                <w:szCs w:val="13"/>
                <w:color w:val="auto"/>
              </w:rPr>
            </w:pPr>
          </w:p>
        </w:tc>
        <w:tc>
          <w:tcPr>
            <w:tcW w:w="8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revenues</w:t>
            </w:r>
          </w:p>
        </w:tc>
        <w:tc>
          <w:tcPr>
            <w:tcW w:w="740" w:type="dxa"/>
            <w:vAlign w:val="bottom"/>
            <w:gridSpan w:val="2"/>
          </w:tcPr>
          <w:p>
            <w:pPr>
              <w:jc w:val="center"/>
              <w:ind w:right="120"/>
              <w:spacing w:after="0" w:line="159" w:lineRule="exact"/>
              <w:rPr>
                <w:sz w:val="20"/>
                <w:szCs w:val="20"/>
                <w:color w:val="auto"/>
              </w:rPr>
            </w:pPr>
            <w:r>
              <w:rPr>
                <w:rFonts w:ascii="Arial" w:cs="Arial" w:eastAsia="Arial" w:hAnsi="Arial"/>
                <w:sz w:val="14"/>
                <w:szCs w:val="14"/>
                <w:color w:val="auto"/>
                <w:w w:val="87"/>
              </w:rPr>
              <w:t>(loss)</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7"/>
          </w:tcPr>
          <w:p>
            <w:pPr>
              <w:jc w:val="center"/>
              <w:ind w:right="340"/>
              <w:spacing w:after="0" w:line="142" w:lineRule="exact"/>
              <w:rPr>
                <w:sz w:val="20"/>
                <w:szCs w:val="20"/>
                <w:color w:val="auto"/>
              </w:rPr>
            </w:pPr>
            <w:r>
              <w:rPr>
                <w:rFonts w:ascii="Arial" w:cs="Arial" w:eastAsia="Arial" w:hAnsi="Arial"/>
                <w:sz w:val="14"/>
                <w:szCs w:val="14"/>
                <w:color w:val="auto"/>
                <w:w w:val="87"/>
              </w:rPr>
              <w:t>(in thousands)</w:t>
            </w: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221,294</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72,418</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ind w:left="114"/>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203,789</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52,884</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Commercial Banking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486,216</w:t>
            </w:r>
          </w:p>
        </w:tc>
        <w:tc>
          <w:tcPr>
            <w:tcW w:w="2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3,271</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202,719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442,176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2,356</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183,442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321,627</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149,129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259,372</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114,068</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Discretionary Portfolio</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160"/>
              <w:spacing w:after="0"/>
              <w:rPr>
                <w:sz w:val="20"/>
                <w:szCs w:val="20"/>
                <w:color w:val="auto"/>
              </w:rPr>
            </w:pPr>
            <w:r>
              <w:rPr>
                <w:rFonts w:ascii="Arial" w:cs="Arial" w:eastAsia="Arial" w:hAnsi="Arial"/>
                <w:sz w:val="18"/>
                <w:szCs w:val="18"/>
                <w:color w:val="auto"/>
              </w:rPr>
              <w:t>(12,967)</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(35,397)</w:t>
            </w:r>
          </w:p>
        </w:tc>
        <w:tc>
          <w:tcPr>
            <w:tcW w:w="1040" w:type="dxa"/>
            <w:vAlign w:val="bottom"/>
            <w:gridSpan w:val="5"/>
          </w:tcPr>
          <w:p>
            <w:pPr>
              <w:jc w:val="right"/>
              <w:ind w:right="74"/>
              <w:spacing w:after="0"/>
              <w:rPr>
                <w:sz w:val="20"/>
                <w:szCs w:val="20"/>
                <w:color w:val="auto"/>
              </w:rPr>
            </w:pPr>
            <w:r>
              <w:rPr>
                <w:rFonts w:ascii="Arial" w:cs="Arial" w:eastAsia="Arial" w:hAnsi="Arial"/>
                <w:sz w:val="18"/>
                <w:szCs w:val="18"/>
                <w:color w:val="auto"/>
              </w:rPr>
              <w:t>(22,998)</w:t>
            </w: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154,866</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(12,206)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74,489</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203,037</w:t>
            </w: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71,896</w:t>
            </w:r>
          </w:p>
        </w:tc>
        <w:tc>
          <w:tcPr>
            <w:tcW w:w="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49,511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116,153</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19,006</w:t>
            </w:r>
          </w:p>
        </w:tc>
        <w:tc>
          <w:tcPr>
            <w:tcW w:w="22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10,751</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Retail Banking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620,842</w:t>
            </w:r>
          </w:p>
        </w:tc>
        <w:tc>
          <w:tcPr>
            <w:tcW w:w="2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6,090</w:t>
            </w: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106,848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606,532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5,954</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107,371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196,696</w:t>
            </w: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8"/>
              </w:rPr>
              <w:t>(48,880)</w:t>
            </w:r>
          </w:p>
        </w:tc>
        <w:tc>
          <w:tcPr>
            <w:tcW w:w="1040" w:type="dxa"/>
            <w:vAlign w:val="bottom"/>
            <w:gridSpan w:val="5"/>
            <w:shd w:val="clear" w:color="auto" w:fill="CCEEFF"/>
          </w:tcPr>
          <w:p>
            <w:pPr>
              <w:jc w:val="right"/>
              <w:ind w:right="74"/>
              <w:spacing w:after="0"/>
              <w:rPr>
                <w:sz w:val="20"/>
                <w:szCs w:val="20"/>
                <w:color w:val="auto"/>
              </w:rPr>
            </w:pPr>
            <w:r>
              <w:rPr>
                <w:rFonts w:ascii="Arial" w:cs="Arial" w:eastAsia="Arial" w:hAnsi="Arial"/>
                <w:sz w:val="18"/>
                <w:szCs w:val="18"/>
                <w:color w:val="auto"/>
              </w:rPr>
              <w:t>(117,784)</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188,194</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(17,847)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2,036,745</w:t>
            </w:r>
          </w:p>
        </w:tc>
        <w:tc>
          <w:tcPr>
            <w:tcW w:w="220" w:type="dxa"/>
            <w:vAlign w:val="bottom"/>
          </w:tcPr>
          <w:p>
            <w:pPr>
              <w:spacing w:after="0"/>
              <w:rPr>
                <w:sz w:val="19"/>
                <w:szCs w:val="19"/>
                <w:color w:val="auto"/>
              </w:rPr>
            </w:pPr>
          </w:p>
        </w:tc>
        <w:tc>
          <w:tcPr>
            <w:tcW w:w="700" w:type="dxa"/>
            <w:vAlign w:val="bottom"/>
            <w:gridSpan w:val="4"/>
          </w:tcPr>
          <w:p>
            <w:pPr>
              <w:jc w:val="center"/>
              <w:ind w:left="78"/>
              <w:spacing w:after="0"/>
              <w:rPr>
                <w:sz w:val="20"/>
                <w:szCs w:val="20"/>
                <w:color w:val="auto"/>
              </w:rPr>
            </w:pPr>
            <w:r>
              <w:rPr>
                <w:rFonts w:ascii="Arial" w:cs="Arial" w:eastAsia="Arial" w:hAnsi="Arial"/>
                <w:sz w:val="18"/>
                <w:szCs w:val="18"/>
                <w:color w:val="auto"/>
                <w:w w:val="9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439,843</w:t>
            </w:r>
          </w:p>
        </w:tc>
        <w:tc>
          <w:tcPr>
            <w:tcW w:w="20" w:type="dxa"/>
            <w:vAlign w:val="bottom"/>
          </w:tcPr>
          <w:p>
            <w:pPr>
              <w:spacing w:after="0"/>
              <w:rPr>
                <w:sz w:val="19"/>
                <w:szCs w:val="19"/>
                <w:color w:val="auto"/>
              </w:rPr>
            </w:pPr>
          </w:p>
        </w:tc>
        <w:tc>
          <w:tcPr>
            <w:tcW w:w="280" w:type="dxa"/>
            <w:vAlign w:val="bottom"/>
            <w:gridSpan w:val="2"/>
          </w:tcPr>
          <w:p>
            <w:pPr>
              <w:jc w:val="center"/>
              <w:ind w:left="114"/>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1,971,082</w:t>
            </w:r>
          </w:p>
        </w:tc>
        <w:tc>
          <w:tcPr>
            <w:tcW w:w="18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528,631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7"/>
          </w:tcPr>
          <w:p>
            <w:pPr>
              <w:jc w:val="center"/>
              <w:ind w:left="92"/>
              <w:spacing w:after="0"/>
              <w:rPr>
                <w:sz w:val="20"/>
                <w:szCs w:val="20"/>
                <w:color w:val="auto"/>
              </w:rPr>
            </w:pPr>
            <w:r>
              <w:rPr>
                <w:rFonts w:ascii="Arial" w:cs="Arial" w:eastAsia="Arial" w:hAnsi="Arial"/>
                <w:sz w:val="14"/>
                <w:szCs w:val="14"/>
                <w:color w:val="auto"/>
                <w:w w:val="85"/>
              </w:rPr>
              <w:t>Average total assets</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6"/>
          </w:tcPr>
          <w:p>
            <w:pPr>
              <w:jc w:val="center"/>
              <w:ind w:right="32"/>
              <w:spacing w:after="0" w:line="131" w:lineRule="exact"/>
              <w:rPr>
                <w:sz w:val="20"/>
                <w:szCs w:val="20"/>
                <w:color w:val="auto"/>
              </w:rPr>
            </w:pPr>
            <w:r>
              <w:rPr>
                <w:rFonts w:ascii="Arial" w:cs="Arial" w:eastAsia="Arial" w:hAnsi="Arial"/>
                <w:sz w:val="14"/>
                <w:szCs w:val="14"/>
                <w:color w:val="auto"/>
                <w:w w:val="87"/>
              </w:rPr>
              <w:t>Six months ended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2"/>
              </w:rPr>
              <w:t>Year ended</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center"/>
              <w:ind w:right="12"/>
              <w:spacing w:after="0"/>
              <w:rPr>
                <w:sz w:val="20"/>
                <w:szCs w:val="20"/>
                <w:color w:val="auto"/>
              </w:rPr>
            </w:pPr>
            <w:r>
              <w:rPr>
                <w:rFonts w:ascii="Arial" w:cs="Arial" w:eastAsia="Arial" w:hAnsi="Arial"/>
                <w:sz w:val="14"/>
                <w:szCs w:val="14"/>
                <w:color w:val="auto"/>
                <w:w w:val="84"/>
              </w:rPr>
              <w:t>June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color w:val="auto"/>
                <w:w w:val="85"/>
              </w:rPr>
              <w:t>December 31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w w:val="96"/>
              </w:rPr>
              <w:t>2012</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89"/>
              </w:rPr>
              <w:t>2011</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3"/>
              </w:rPr>
              <w:t>2011</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gridSpan w:val="6"/>
          </w:tcPr>
          <w:p>
            <w:pPr>
              <w:jc w:val="center"/>
              <w:ind w:right="380"/>
              <w:spacing w:after="0" w:line="142" w:lineRule="exact"/>
              <w:rPr>
                <w:sz w:val="20"/>
                <w:szCs w:val="20"/>
                <w:color w:val="auto"/>
              </w:rPr>
            </w:pPr>
            <w:r>
              <w:rPr>
                <w:rFonts w:ascii="Arial" w:cs="Arial" w:eastAsia="Arial" w:hAnsi="Arial"/>
                <w:sz w:val="14"/>
                <w:szCs w:val="14"/>
                <w:color w:val="auto"/>
                <w:w w:val="93"/>
              </w:rPr>
              <w:t>(in millions)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Business Banking</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left="298"/>
              <w:spacing w:after="0"/>
              <w:rPr>
                <w:sz w:val="20"/>
                <w:szCs w:val="20"/>
                <w:color w:val="auto"/>
              </w:rPr>
            </w:pPr>
            <w:r>
              <w:rPr>
                <w:rFonts w:ascii="Arial" w:cs="Arial" w:eastAsia="Arial" w:hAnsi="Arial"/>
                <w:sz w:val="18"/>
                <w:szCs w:val="18"/>
                <w:color w:val="auto"/>
                <w:w w:val="99"/>
              </w:rPr>
              <w:t>$</w:t>
            </w: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4,932</w:t>
            </w: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Banking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19,455</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16,856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17,650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3"/>
              </w:rPr>
              <w:t>16,316</w:t>
            </w: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14,227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15,025</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Discretionary Portfolio</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16,136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14,012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14,170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 Banking</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Retail Banking</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11,791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jc w:val="right"/>
              <w:ind w:right="500"/>
              <w:spacing w:after="0"/>
              <w:rPr>
                <w:sz w:val="20"/>
                <w:szCs w:val="20"/>
                <w:color w:val="auto"/>
              </w:rPr>
            </w:pPr>
            <w:r>
              <w:rPr>
                <w:rFonts w:ascii="Arial" w:cs="Arial" w:eastAsia="Arial" w:hAnsi="Arial"/>
                <w:sz w:val="18"/>
                <w:szCs w:val="18"/>
                <w:color w:val="auto"/>
                <w:w w:val="87"/>
              </w:rPr>
              <w:t>11,776</w:t>
            </w: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11,940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560" w:type="dxa"/>
            <w:vAlign w:val="bottom"/>
            <w:tcBorders>
              <w:right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6,590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20" w:type="dxa"/>
            <w:vAlign w:val="bottom"/>
            <w:tcBorders>
              <w:left w:val="single" w:sz="8" w:color="CCEEFF"/>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gridSpan w:val="2"/>
          </w:tcPr>
          <w:p>
            <w:pPr>
              <w:jc w:val="center"/>
              <w:ind w:left="298"/>
              <w:spacing w:after="0"/>
              <w:rPr>
                <w:sz w:val="20"/>
                <w:szCs w:val="20"/>
                <w:color w:val="auto"/>
              </w:rPr>
            </w:pPr>
            <w:r>
              <w:rPr>
                <w:rFonts w:ascii="Arial" w:cs="Arial" w:eastAsia="Arial" w:hAnsi="Arial"/>
                <w:sz w:val="18"/>
                <w:szCs w:val="18"/>
                <w:u w:val="single" w:color="auto"/>
                <w:color w:val="auto"/>
                <w:w w:val="9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79,056</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7"/>
              </w:rPr>
              <w:t>70,262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73,977</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53" w:lineRule="auto"/>
        <w:tabs>
          <w:tab w:leader="none" w:pos="46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are comprised of net interest income and other income. Net interest income is the difference between taxable-equivalent interest earned on assets and interest paid on liabilities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$6,645,000 and $6,468,000 for the three-month periods ended June 30, 2012 and 2011, respectively, and $13,350,000 and $12,795,000 for the six-month periods ended June 30, 2012 and 2011,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0"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NOTES TO FINANCIAL STATEMENTS, CONTINUED</w:t>
      </w:r>
    </w:p>
    <w:p>
      <w:pPr>
        <w:spacing w:after="0" w:line="152"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Bayview Lending Group LLC and Bayview Financial Holdings, L.P.</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M&amp;T holds a 20% interest in Bayview Lending Group LLC (“BLG”), a privately-held commercial mortgage lender. M&amp;T recognizes income or loss from BLG using the equity method of accounting. The carrying value of that investment was $104 million at June 30, 2012.</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small-balance commercial mortgage loans from BLG and Bayview Financial having outstanding principal balances of $4.2 billion and $4.4 billion at June 30, 2012 and December 31, 2011, respectively. Amounts recorded as capitalized servicing assets for such loans totaled $12 million at June 30, 2012 and $16 million at December 31, 2011. In addition, capitalized servicing rights at June 30, 2012 and December 31, 2011 also included $3 million and $5 million, respectively, for servicing rights that were obtained from Bayview Financial related to residential mortgage loans with outstanding principal balances of $2.9 billion at June 30, 2012 and $3.1 billion at December 31, 2011. The Company sub-services residential mortgage loans for Bayview Financial having outstanding principal balances totaling $12.3 billion and $13.1 billion at June 30, 2012 and December 31, 2011. Revenues from servicing residential and small-balance commercial mortgage loans obtained from BLG and Bayview Financial were $11 million and $10 million for the three months ended June 30, 2012 and 2011, respectively, and $23 million and $21 million for the six months ended June 30, 2012 and 2011, respectively. In addition, at June 30, 2012 and December 31, 2011, the Company held $12 million and $15 million, respectively, of collateralized mortgage obligations in its available-for-sale investment securities portfolio that were securitized by Bayview Financial. Finally, the Company held $255 million and $269 million of similar investment securities in its held-to-maturity portfolio at June 30, 2012 and December 31, 2011, respectively.</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280" w:right="299" w:bottom="1440" w:gutter="0" w:footer="0" w:header="0"/>
        </w:sectPr>
      </w:pPr>
    </w:p>
    <w:bookmarkStart w:id="56" w:name="page57"/>
    <w:bookmarkEnd w:id="56"/>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Net income for M&amp;T Bank Corporation (“M&amp;T”) in the second quarter of 2012 was $233 million or $1.71 of diluted earnings per common share, compared with $322 million or $2.42 of diluted earnings per common share in the second quarter of 2011. During the first quarter of 2012, net income totaled $206 million or $1.50 of diluted earnings per common share. Basic earnings per common share were $1.71 in the recent quarter, compared with $2.43 in the second quarter of 2011 and $1.50 in the initial 2012 quarter. The after-tax impact of net acquisition and integration-related gains and expenses (included herein as merger-related expenses) resulted in expenses of $4 million ($7 million pre-tax) or $.03 of basic and diluted earnings per common share in the second quarter of 2012, compared with a gain of $42 million ($28 million pre-tax) or $.33 of basic and diluted earnings per common share in the year-earlier quarter and expenses of $2 million ($3 million pre-tax), or $.01 of basic and diluted earnings per common share in the first quarter of 2012. Such gains and expenses were associated with M&amp;T’s May 16, 2011 acquisition of Wilmington Trust Corporation (“Wilmington Trust”), headquartered in Wilmington, Delaware. For the first six months of 2012, net income totaled $440 million or $3.20 of diluted earnings per common share, compared with $529 million or $4.02 of diluted earnings per common share in the first half of 2011. Basic earnings per common share for the six-month periods ended June 30, 2012 and 2011 were $3.21 and $4.04, respectively. The after-tax impact of merger-related gains and expenses during the first six months of 2012 was expenses of $6 million ($10 million pre-tax), or $.05 of basic and diluted earnings per common share, compared with a gain of $39 million ($24 million pre-tax) or $.32 of basic and diluted earnings per common share during the six-month period ended June 30, 2011.</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annualized rate of return on average total assets for M&amp;T and its consolidated subsidiaries (“the Company”) in the recent quarter was 1.17%, compared with 1.78% in the second quarter of 2011 and 1.06% in the first quarter of 2012. The annualized rate of return on average common shareholders’ equity was 10.12% in the second quarter of 2012, compared with 14.94% in the year-earlier quarter and 9.04% in the first three months of 2012. During the six-month period ended June 30, 2012, the annualized rates of return on average assets and average common shareholders’ equity were 1.12% and 9.58%, respectively, compared with 1.52% and 12.62%, respectively, in the first half of 2011.</w:t>
      </w:r>
    </w:p>
    <w:p>
      <w:pPr>
        <w:spacing w:after="0" w:line="1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May 16, 2011, M&amp;T acquired all of the outstanding common stock of Wilmington Trust in a stock-for-stock transaction. Wilmington Trust operated 55 banking offices in Delaware and Pennsylvania at the date of acquisition. The results of operations acquired in the Wilmington Trust transaction have been included in the Company’s financial results since the acquisition date. Wilmington Trust shareholders received .051372 shares of M&amp;T common stock in exchange for each share of Wilmington Trust common stock, resulting in M&amp;T issuing a total of 4,694,486 common shares with an acquisition date fair value of $406 million. Assets acquired totaled approximately $10.8 billion, including $6.4 billion of loans and leases (including approximately $3.2 billion of commercial real estate loans, $1.4 billion of commercial loans and leases, $680 million of residential real estate loans and $1.1 billion of consumer loans). Liabilities assumed aggregated $10.0 billion, including $8.9 billion of deposits. The common stock issued in the transaction added $406 million to M&amp;T’s common shareholders’ equity. Immediately prior to the closing of the Wilmington Trust transaction, M&amp;T redeemed the $330 million of preferred stock issued by Wilmington Trust as part of the Troubled Asset Relief Program – Capital Purchase Program of the U.S. Department of Treasury (“U.S. Treasury”). In connection with the acquisition, the Company recorded $112 million of core deposit and other intangible assets. The core deposit and other intangible assets are generally being amortized over periods of 5</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57" w:name="page58"/>
    <w:bookmarkEnd w:id="5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7 years using an accelerated method. There was no goodwill recorded as a result of the transaction, however, in accordance with generally accepted accounting principles (“GAAP”), a non-taxable gain of $65 million was realized, which represented the excess of the fair value of assets acquired less liabilities assumed over consideration exchanged. The acquisition of Wilmington Trust added to M&amp;T’s market-leading position in the Mid-Atlantic region by giving M&amp;T a leading deposit market share in Delaware.</w:t>
      </w:r>
    </w:p>
    <w:p>
      <w:pPr>
        <w:spacing w:after="0" w:line="14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Reflected in the Company’s results for the three months ended June 30, 2011 were gains from the sale of investment securities available for sale, predominantly residential mortgage-backed securities guaranteed by the Federal National Mortgage Association (“Fannie Mae”) and the Federal Home Loan Mortgage Corporation (“Freddie Mac”), collateralized debt obligations (“CDOs”) and capital preferred securities. Such gains increased net income in that quarter by $67 million ($111 million before taxes), or $.54 of diluted earnings per common share. Reflected in the Company’s results for the initial three months of 2011 were gains from the sale of investment securities, predominantly residential mortgage-backed securities guaranteed by Fannie Mae and Freddie Mac. Such gains increased net income in that quarter by $24 million ($39 million before taxes), or $.20 of diluted earnings per common share. The Company sold the securities in response to the Wilmington Trust acquisition in order to reposition the investment portfolio and to manage its forecasted balance sheet size and resultant capital ratios.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condition of the domestic and global economy over the last several years has significantly impacted the financial services industry as a whole, and specifically, the financial results of the Company. In particular, high unemployment levels and significantly depressed residential real estate valuations have led to increased loan charge-offs experienced by financial institutions throughout that time period. In addition, many financial institutions have continued to experience unrealized losses related to investment securities backed by residential and commercial real estate due to a lack of liquidity in the financial markets and anticipated credit losses. Many financial institutions, including the Company, have taken charges for those unrealized losses that were deemed to be other than temporary. Also negatively impacting the financial results of financial institutions during 2011 and the first half of 2012, including the Company, has been a series of new regulations, resulting in higher assessments by the FDIC and other regulators and lower fee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Legislative Developments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discussed in the Company’s Form 10-K for the year ended December 31, 2011, the Dodd-Frank Wall Street Reform and Consumer Protection Act (“Dodd-Frank Act”) that was signed into law on July 21, 2010 has and will continue to significantly change the bank regulatory structure and affect the lending, deposit, investment, trading and operating activities of financial institutions and their holding companies, and the system of regulatory oversight of the Company. The Dodd-Frank Act requires various federal agencies to adopt a broad range of new implementing rules and regulations, and to prepare numerous studies and reports for Congress, many of which are not yet completed or implemented. The Dodd-Frank Act could have a material adverse impact either on the financial services industry as a whole, as well as on M&amp;T’s business, results of operations, financial condition and liquidity.</w:t>
      </w:r>
    </w:p>
    <w:p>
      <w:pPr>
        <w:spacing w:after="0" w:line="12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Dodd-Frank Act broadened the base for FDIC insurance assessments. Beginning in the second quarter of 2011, assessments are based on average consolidated total assets less average Tier 1 capital and certain allowable deductions of a financial institution. The Dodd-Frank Act also permanently increased the maximum amount of deposit insurance for banks, savings institutions and credit unions to $250,000 per depositor, retroactive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January 1, 2009, and noninterest-bearing transaction accounts have unlimited deposit insurance through December 31, 2012.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Dodd-Frank Act, among other things:</w:t>
      </w:r>
    </w:p>
    <w:p>
      <w:pPr>
        <w:spacing w:after="0" w:line="90" w:lineRule="exact"/>
        <w:rPr>
          <w:sz w:val="20"/>
          <w:szCs w:val="20"/>
          <w:color w:val="auto"/>
        </w:rPr>
      </w:pPr>
    </w:p>
    <w:p>
      <w:pPr>
        <w:ind w:left="900" w:right="54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amended the Electronic Fund Transfer Act (“EFTA”) which resulted in, among other things, the Federal Reserve Board issuing rules aimed at limiting debit-card interchange fees;</w:t>
      </w:r>
    </w:p>
    <w:p>
      <w:pPr>
        <w:spacing w:after="0" w:line="5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applied the same leverage and risk-based capital requirements that apply to insured depository institutions to most bank holding companies which, among other things, will, after a three-year phase-in period which begins January 1, 2013, remove trust preferred securities as a permitted component of a holding company’s Tier 1 capital; and</w:t>
      </w:r>
    </w:p>
    <w:p>
      <w:pPr>
        <w:spacing w:after="0" w:line="59"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created the Financial Stability Oversight Council, which will recommend to the Federal Reserve Board increasingly strict rules for capital, leverage, liquidity, risk management and other requirements as companies grow in size and complexity.</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Many aspects of the Dodd-Frank Act still remain subject to rulemaking and will take effect over several years, making it difficult to anticipate the overall financial impact on M&amp;T, its customers or the financial services industry more generally. Provisions in the legislation that affect deposit insurance assessments, payment of interest on demand deposits and interchange fees directly impact the net income of financial institutions. Provisions in the legislation that revoke the Tier 1 capital treatment of trust preferred securities and otherwise require revisions to the capital requirements of M&amp;T and M&amp;T Bank, the principal banking subsidiary of M&amp;T, could require M&amp;T and M&amp;T Bank to further seek other sources of capital in the future.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further discussion of other provisions of the Dodd-Frank Act is included in Part II, Item 7 of the Company’s Form 10-K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Reporting of Non-GAAP Results of Operations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result of business combinations and other acquisitions, the Company had intangible assets consisting of goodwill and core deposit and other intangible assets totaling $3.7 billion at each of June 30, 2012, June 30, 2011 and December 31, 2011. Included in such intangible assets was goodwill of $3.5 billion at each of those dates. Amortization of core deposit and other intangible assets, after tax effect, was $10 million ($.08 per diluted common share) during each of the two most recent quarters, compared with $9 million ($.07 per diluted common share) during the second quarter of 2011. For the six-month periods ended June 30, 2012 and 2011, amortization of core deposit and other intangible assets, after tax effect, totaled $20 million ($.16 per diluted common share) and $16 million ($.13 per diluted common share), respectively.</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M&amp;T consistently provides supplemental reporting of its results on a “net operating” or “tangible” basis, from which M&amp;T excludes the after-tax effect of amortization of core deposit and other intangible assets (and the related goodwill, core deposit intangible and other intangible asset balances, net of applicable deferred tax amounts) and gains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59" w:name="page60"/>
    <w:bookmarkEnd w:id="59"/>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operating income totaled $247 million in the second quarter of 2012, compared with $289 million in the similar 2011 quarter. Diluted net operating earnings per common share for the recent quarter were $1.82, compared with $2.16 in the second quarter of 2011. Net operating income and diluted net operating earnings per common share were $218 million and $1.59, respectively, in the first three months of 2012. For the first half of 2012, net operating income and diluted net operating earnings per common share were $466 million and $3.41, respectively, compared with $506 million and $3.83, respectively, in the corresponding 2011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operating income in the recent quarter expressed as an annualized rate of return on average tangible assets was 1.30%, compared with 1.69% and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1.18% in the second quarter of 2011 and first quarter of 2012, respectively. Net operating income expressed as an annualized return on average tangible common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equity was 18.54% in the recently completed quarter, compared with 24.24% and 16.79% in the quarters ended June 30, 2011 and March 31, 2012,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first six months of 2012, net operating income represented an annualized return on average tangible assets and average tangible common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equity of 1.24% and 17.68%, respectively, compared with 1.53% and 22.30%, respectively, in the six-month period ended June 30, 2011.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Reconciliations of GAAP amounts with corresponding non-GAAP amounts are provided in table 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Taxable-equivalent Net Interest Income</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Taxable-equivalent net interest income aggregated $655 million in the second quarter of 2012, up 10% from $593 million in the year-earlier quarter. That improvement reflects a $7.1 billion or 11% rise in average earning assets as compared with the second quarter of 2011, partially offset by a 1 basis point (hundredths of one percent) narrowing of the Company’s net interest margin, or taxable-equivalent net interest income expressed as an annualized percentage of average earning assets. Contributing to the increase in average earning assets was the impact of the acquisition of Wilmington Trust, which added approximately $9.6 billion of such assets on the May 16, 2011 acquisition date. Taxable-equivalent net interest income was increased by $14 million during the recent quarter, resulting from an improvement in estimated cash flows associated with acquired loans. Stabilizing economic conditions and better than expected repayments resulted in an approximate 1% increase, or $109 million, in projected cash flows, which will be recognized as interest income over the remaining terms of the acquired loans. The positive impact the increase in net interest income had on net interest margin in the second quarter of 2012 as compared with the year-earlier quarter was more than offset by the impact on net interest margin of the Wilmington Trust acquisition and the effect of declining interest rates on yields earned on loans, partially offset by lower rates paid on deposits. Taxable-equivalent net interest income in the recent quarter was 4% above the $627 million recorded in the first quarter of 2012. That improvement reflects a $2.1 billion increase in average earning assets and a five basis point widening of the net interest margin, predominantly due to the impact of the improvement in cash flows on acquired loans in the recent quarter.</w:t>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first six months of 2012, taxable-equivalent net interest income was $1.28 billion, 10% higher than $1.17 billion in the similar 2011 period. That increase was largely attributable to higher average earning assets, which rose $8.0 billion or 13% from $61.4 billion in the first half of 2011 to $69.4 billion in the first six months of 2012, partially offset by a 12 basis point narrowing of the net interest margin. Contributing to the growth in average earning assets were earning assets obtained in the acquisition of Wilmington Trust on May 16, 2011, higher balances of commercial loans and commercial real estate loans due to increased demand for such loans, and higher residential real estate loan balances resulting from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60" w:name="page61"/>
    <w:bookmarkEnd w:id="60"/>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decision to retain more of such loans rather than selling them. The narrowing of the net interest margin reflects the effect of declining interest rates on yields earned on loans, partially offset by lower rates paid on deposits.</w:t>
      </w:r>
    </w:p>
    <w:p>
      <w:pPr>
        <w:spacing w:after="0" w:line="132"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Average loans and leases rose $6.4 billion, or 11%, to $61.8 billion in the second quarter of 2012 from $55.5 billion in the year-earlier quarter. Loans obtained in the Wilmington Trust acquisition added approximately $5.1 billion and $3.2 billion to average loans in the second quarters of 2012 and 2011, respectively. Those loans totaled $6.4 billion on the May 16, 2011 acquisition date and consisted of approximately $1.4 billion of commercial loans and leases, $3.2 billion of commercial real estate loans, $680 million of residential real estate loans and $1.1 billion of consumer loans. Commercial loans and leases averaged $16.1 billion in the second quarter of 2012, up $1.5 billion or 10% from $14.6 billion in the year-earlier quarter. Average commercial real estate loans rose $2.3 billion, or 10%, to $24.7 billion in the recent quarter from $22.5 billion in the second quarter of 2011. The growth in commercial loans and leases and commercial real estate loans reflects the impact of loans obtained in the acquisition of Wilmington Trust and higher loan demand by customers. Average residential real estate loans outstanding increased $2.7 billion, or 41%, to $9.2 billion in the second quarter of 2012 from the $6.6 billion averaged in the year-earlier quarter. Included in that portfolio were loans held for sale, which averaged $281 million in the recent quarter, compared with $229 million in the second quarter of 2011. Excluding loans held for sale, average residential real estate loans increased $2.6 billion from the second quarter of 2011 to the second quarter of 2012. That growth was largely due to the Company’s decision during the third quarter of 2011 to retain for portfolio a higher proportion of originated loans rather than selling them. Average consumer loans totaled $11.8 billion in each of the second quarters of 2012 and 2011. The growth resulting from loans obtained in the Wilmington Trust acquisition was predominantly offset by lower average balances of automobile and home equity loans (excluding acquired Wilmington Trust loans).</w:t>
      </w:r>
    </w:p>
    <w:p>
      <w:pPr>
        <w:spacing w:after="0" w:line="12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Average loan balances in the recent quarter rose $1.3 billion, or 2%, from the first quarter of 2012. Reflecting increased loan demand, average outstanding commercial loan and lease balances increased $372 million, or 2%, and average outstanding balances of commercial real estate loans rose $178 million, or 1%. Residential real estate loans increased $930 million, or 11%, due to the continued practice of retaining the majority of such loans for portfolio rather than selling them. Average consumer loans decreased $138 million, or 1%, from 2012’s first quarter as the Company has decided it does not want to pursue growth in certain of those portfolios, including indirect automobile loans and home equity loans outside of the Company’s footprint. The accompanying table summarizes quarterly changes in the major components of the loan and lease portfolio.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AVERAGE LOANS AND LEASES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2nd Qtr.</w:t>
            </w:r>
          </w:p>
        </w:tc>
        <w:tc>
          <w:tcPr>
            <w:tcW w:w="11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82"/>
              </w:rPr>
              <w:t>2nd Qtr.</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2"/>
              </w:rPr>
              <w:t>1st Qtr.</w:t>
            </w:r>
          </w:p>
        </w:tc>
        <w:tc>
          <w:tcPr>
            <w:tcW w:w="0" w:type="dxa"/>
            <w:vAlign w:val="bottom"/>
          </w:tcPr>
          <w:p>
            <w:pPr>
              <w:spacing w:after="0"/>
              <w:rPr>
                <w:sz w:val="1"/>
                <w:szCs w:val="1"/>
                <w:color w:val="auto"/>
              </w:rPr>
            </w:pPr>
          </w:p>
        </w:tc>
      </w:tr>
      <w:tr>
        <w:trPr>
          <w:trHeight w:val="159"/>
        </w:trPr>
        <w:tc>
          <w:tcPr>
            <w:tcW w:w="3300" w:type="dxa"/>
            <w:vAlign w:val="bottom"/>
            <w:tcBorders>
              <w:bottom w:val="single" w:sz="8" w:color="CCEEFF"/>
            </w:tcBorders>
          </w:tcPr>
          <w:p>
            <w:pPr>
              <w:spacing w:after="0"/>
              <w:rPr>
                <w:sz w:val="13"/>
                <w:szCs w:val="13"/>
                <w:color w:val="auto"/>
              </w:rPr>
            </w:pPr>
          </w:p>
        </w:tc>
        <w:tc>
          <w:tcPr>
            <w:tcW w:w="33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80"/>
              <w:spacing w:after="0" w:line="159" w:lineRule="exact"/>
              <w:rPr>
                <w:sz w:val="20"/>
                <w:szCs w:val="20"/>
                <w:color w:val="auto"/>
              </w:rPr>
            </w:pPr>
            <w:r>
              <w:rPr>
                <w:rFonts w:ascii="Arial" w:cs="Arial" w:eastAsia="Arial" w:hAnsi="Arial"/>
                <w:sz w:val="14"/>
                <w:szCs w:val="14"/>
                <w:color w:val="auto"/>
              </w:rPr>
              <w:t>2012</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3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$16,104</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4540" w:type="dxa"/>
            <w:vAlign w:val="bottom"/>
            <w:gridSpan w:val="3"/>
          </w:tcPr>
          <w:p>
            <w:pPr>
              <w:jc w:val="right"/>
              <w:ind w:right="580"/>
              <w:spacing w:after="0"/>
              <w:rPr>
                <w:sz w:val="20"/>
                <w:szCs w:val="20"/>
                <w:color w:val="auto"/>
              </w:rPr>
            </w:pPr>
            <w:r>
              <w:rPr>
                <w:rFonts w:ascii="Arial" w:cs="Arial" w:eastAsia="Arial" w:hAnsi="Arial"/>
                <w:sz w:val="18"/>
                <w:szCs w:val="18"/>
                <w:color w:val="auto"/>
              </w:rPr>
              <w:t>24,737</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10</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Real estate – consumer</w:t>
            </w:r>
          </w:p>
        </w:tc>
        <w:tc>
          <w:tcPr>
            <w:tcW w:w="4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9,216</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Consumer</w:t>
            </w:r>
          </w:p>
        </w:tc>
        <w:tc>
          <w:tcPr>
            <w:tcW w:w="3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Automobile</w:t>
            </w:r>
          </w:p>
        </w:tc>
        <w:tc>
          <w:tcPr>
            <w:tcW w:w="4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2,589</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Home equity lines</w:t>
            </w:r>
          </w:p>
        </w:tc>
        <w:tc>
          <w:tcPr>
            <w:tcW w:w="4540" w:type="dxa"/>
            <w:vAlign w:val="bottom"/>
            <w:gridSpan w:val="3"/>
          </w:tcPr>
          <w:p>
            <w:pPr>
              <w:jc w:val="right"/>
              <w:ind w:right="580"/>
              <w:spacing w:after="0"/>
              <w:rPr>
                <w:sz w:val="20"/>
                <w:szCs w:val="20"/>
                <w:color w:val="auto"/>
              </w:rPr>
            </w:pPr>
            <w:r>
              <w:rPr>
                <w:rFonts w:ascii="Arial" w:cs="Arial" w:eastAsia="Arial" w:hAnsi="Arial"/>
                <w:sz w:val="18"/>
                <w:szCs w:val="18"/>
                <w:color w:val="auto"/>
              </w:rPr>
              <w:t>5,942</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Home equity loans</w:t>
            </w:r>
          </w:p>
        </w:tc>
        <w:tc>
          <w:tcPr>
            <w:tcW w:w="45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584</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Other</w:t>
            </w:r>
          </w:p>
        </w:tc>
        <w:tc>
          <w:tcPr>
            <w:tcW w:w="3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2,654</w:t>
            </w:r>
          </w:p>
        </w:tc>
        <w:tc>
          <w:tcPr>
            <w:tcW w:w="58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consumer</w:t>
            </w:r>
          </w:p>
        </w:tc>
        <w:tc>
          <w:tcPr>
            <w:tcW w:w="3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11,769</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300"/>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454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61,826</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380" w:type="dxa"/>
            <w:vAlign w:val="bottom"/>
            <w:vMerge w:val="restart"/>
          </w:tcPr>
          <w:p>
            <w:pPr>
              <w:jc w:val="right"/>
              <w:ind w:right="1652"/>
              <w:spacing w:after="0"/>
              <w:rPr>
                <w:sz w:val="20"/>
                <w:szCs w:val="20"/>
                <w:color w:val="auto"/>
              </w:rPr>
            </w:pPr>
            <w:r>
              <w:rPr>
                <w:rFonts w:ascii="Arial" w:cs="Arial" w:eastAsia="Arial" w:hAnsi="Arial"/>
                <w:sz w:val="18"/>
                <w:szCs w:val="18"/>
                <w:color w:val="auto"/>
              </w:rPr>
              <w:t>-61-</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1" w:name="page62"/>
    <w:bookmarkEnd w:id="61"/>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half of 2012, average loans and leases totaled $61.2 billion, $7.4 billion or 14% above $53.7 billion in the corresponding period of 2011. Loans obtained in the Wilmington Trust acquisition, increased demand for commercial loans and commercial real estate loans, and the retention of a majority of originated residential real estate loans for portfolio were the main factors for that increase. Loans obtained in the acquisition of Wilmington Trust averaged $5.2 billion and $1.6 billion in the first half of 2012 and 2011, respectively.</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investment securities portfolio averaged $7.3 billion in the second quarter of 2012, up $876 million from $6.4 billion in the year-earlier quarter. That increase was largely the result of the impact of purchases during the second and third quarters of 2011 of residential mortgage-backed securities guaranteed by the Government National Mortgage Association (“Ginnie Mae”) and Fannie Mae that totaled $2.1 billion, offset in part by maturities, paydowns and sales of other mortgage-backed securities. The Wilmington Trust acquisition added approximately $510 million to the investment securities portfolio on the May 16, 2011 acquisition date. Average investment securities in the recent quarter were down $236 million from $7.5 billion in the initial 2012 quarter, largely due to maturities and paydowns of mortgage-backed securities, partially offset by the impact of recent quarter purchases of residential mortgage-backed securities guaranteed by Freddie Mac of $250 million. For the first six months of 2012 and 2011, investment securities averaged $7.4 billion and $6.8 billion, respectively. The investment securities portfolio is largely comprised of residential mortgage-backed securities and CMOs, debt securities issued by municipalities, trust preferred securities issued by certain financial institutions, and shorter-term U.S. Treasury and federal agency notes. When purchasing investment securities, the Company considers its overall interest-rate risk profile as well as the adequacy of expected returns relative to the risks assumed, including prepayments. In managing its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in connection with a business combination. Near the end of the first quarter of 2011, the Company sold certain residential mortgage-backed securities guaranteed by Fannie Mae and Freddie Mac that were held in the available-for-sale portfolio. Those securities had an amortized cost of approximately $484 million. During the second quarter of 2011, the Company sold certain residential mortgage-backed securities guaranteed by Fannie Mae and Freddie Mac, collateralized debt obligations and trust preferred securities, all held in the available-for-sale portfolio, with an amortized cost of $1.21 billion. The purchase of $1.2 billion of residential mortgage-backed securities guaranteed by Ginnie Mae during 2011’s second quarter provided a replenishment of the investment securities portfolio at an improved regulatory capital risk-weighting.</w:t>
      </w:r>
    </w:p>
    <w:p>
      <w:pPr>
        <w:spacing w:after="0" w:line="121"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The Company regularly reviews its investment securities for declines in value below amortized cost that might be characterized as “other than temporary.” Other-than-temporary impairment charges recognized during the quarters ended June 30, 2012, June 30, 2011 and March 31, 2012 were $16 million, $27 million and $11 million, respectively. Such impairment charges related to certain privately issued CMOs backed by residential and commercial real estate loans.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Persistently high unemployment, depressed real estate values and the resulting increased loan delinquencies and foreclosures were significant factors contributing to the recognition of the other-than-temporary impairment charges related to the CMOs. A further discussion of fair values of investment securities is included herein under the heading “Capital.” Additional information about the investment securities portfolio is included in notes 3 and 12 of Notes to Financial Statements.</w:t>
      </w:r>
    </w:p>
    <w:p>
      <w:pPr>
        <w:spacing w:after="0" w:line="14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Other earning assets include interest-earning deposits at the Federal Reserve Bank of New York and other banks, trading account assets, federal funds sold and agreements to resell securities. Those other earning assets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62" w:name="page63"/>
    <w:bookmarkEnd w:id="6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aggregate averaged $1.4 billion in the recent quarter, compared with $1.5 billion and $397 million in the second quarter of 2011 and the first quarter of 2012, respectively. Interest-bearing deposits at banks averaged $1.2 billion in the second quarter of 2012, compared with $804 million in the year-earlier period and $301 million in the initial 2012 quarter. Also reflected in other earning assets in the second quarter of 2011 were purchases of investment securities under agreements to resell, which averaged $613 million. The resell agreements in the second quarter of 2011 resulted from the need to fulfill collateral requirements associated with certain municipal deposits. Agreements to resell securities, which totaled $380 million at June 30, 2011, are accounted for similar to collateralized loans, with changes in market value of the collateral monitored by the Company to ensure sufficient coverage. There were no such agreements outstanding at June 30, 2012 or December 31, 2011.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result of the changes described herein, average earning assets totaled $70.4 billion in the recent quarter, compared with $63.4 billion in the corresponding quarter of 2011 and $68.4 billion in the first quarter of 2012. Average earning assets totaled $69.4 billion and $61.4 billion during the six-month periods ended June 30, 2012 and 2011, respectively.</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Certificates of deposit of $250,000 or less generated on a nationwide basis by Wilmington Trust, National Association (“Wilmington Trust, N.A.”), a wholly owned bank subsidiary of M&amp;T that was formerly named M&amp;T Bank, National Association, were also included in core deposits. Average core deposits aggregated $58.7 billion in the second quarter of 2012, up 16% from $50.5 billion in the year-earlier quarter and 4% higher than $56.2 billion in the first quarter of 2012. The Wilmington Trust acquisition added approximately $6.6 billion of core deposits on May 16, 2011. In addition to the impact of the Wilmington Trust acquisition, contributing to the growth in core deposits from the second quarter of 2011 were the lack of attractive alternative investments available to the Company’s customers resulting from lower interest rates and from the economic environment in the U.S. and higher balances held on behalf of trust customers. The recent quarter’s increase in average core deposits as compared with the immediately preceding quarter relects higher balances held on behalf of trust customers. The low interest rate environment has resulted in a shift in customer savings trends, as average time deposits have continued to decline, while average noninterest-bearing deposits and savings deposits have increased. The following table provides an analysis of quarterly changes in the components of average core deposits. For the six-month periods ended June 30, 2012 and 2011, core deposits averaged $57.5 billion and $48.4 billion,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AVERAGE CORE DEPOSITS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millions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2nd Qtr.</w:t>
            </w:r>
          </w:p>
        </w:tc>
        <w:tc>
          <w:tcPr>
            <w:tcW w:w="11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6"/>
              </w:rPr>
              <w:t>2nd Qtr.</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2"/>
              </w:rPr>
              <w:t>1st Qtr.</w:t>
            </w:r>
          </w:p>
        </w:tc>
        <w:tc>
          <w:tcPr>
            <w:tcW w:w="0" w:type="dxa"/>
            <w:vAlign w:val="bottom"/>
          </w:tcPr>
          <w:p>
            <w:pPr>
              <w:spacing w:after="0"/>
              <w:rPr>
                <w:sz w:val="1"/>
                <w:szCs w:val="1"/>
                <w:color w:val="auto"/>
              </w:rPr>
            </w:pPr>
          </w:p>
        </w:tc>
      </w:tr>
      <w:tr>
        <w:trPr>
          <w:trHeight w:val="159"/>
        </w:trPr>
        <w:tc>
          <w:tcPr>
            <w:tcW w:w="342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6"/>
              <w:spacing w:after="0" w:line="159" w:lineRule="exact"/>
              <w:rPr>
                <w:sz w:val="20"/>
                <w:szCs w:val="20"/>
                <w:color w:val="auto"/>
              </w:rPr>
            </w:pPr>
            <w:r>
              <w:rPr>
                <w:rFonts w:ascii="Arial" w:cs="Arial" w:eastAsia="Arial" w:hAnsi="Arial"/>
                <w:sz w:val="14"/>
                <w:szCs w:val="14"/>
                <w:color w:val="auto"/>
                <w:w w:val="96"/>
              </w:rPr>
              <w:t>2012</w:t>
            </w:r>
          </w:p>
        </w:tc>
        <w:tc>
          <w:tcPr>
            <w:tcW w:w="5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1"/>
              <w:spacing w:after="0" w:line="159" w:lineRule="exact"/>
              <w:rPr>
                <w:sz w:val="20"/>
                <w:szCs w:val="20"/>
                <w:color w:val="auto"/>
              </w:rPr>
            </w:pPr>
            <w:r>
              <w:rPr>
                <w:rFonts w:ascii="Arial" w:cs="Arial" w:eastAsia="Arial" w:hAnsi="Arial"/>
                <w:sz w:val="14"/>
                <w:szCs w:val="14"/>
                <w:color w:val="auto"/>
              </w:rPr>
              <w:t>2011</w:t>
            </w:r>
          </w:p>
        </w:tc>
        <w:tc>
          <w:tcPr>
            <w:tcW w:w="7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2012</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NOW accounts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Savings deposits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w w:val="83"/>
              </w:rPr>
              <w:t>32,191</w:t>
            </w: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12</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Time deposits $250,000 or less</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4,317</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Noninterest-bearing deposits</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21,401</w:t>
            </w:r>
          </w:p>
        </w:tc>
        <w:tc>
          <w:tcPr>
            <w:tcW w:w="58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color w:val="auto"/>
              </w:rPr>
              <w:t>32</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3"/>
              </w:rPr>
              <w:t>58,726</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260" w:type="dxa"/>
            <w:vAlign w:val="bottom"/>
            <w:vMerge w:val="restart"/>
          </w:tcPr>
          <w:p>
            <w:pPr>
              <w:jc w:val="right"/>
              <w:ind w:right="1652"/>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63" w:name="page64"/>
    <w:bookmarkEnd w:id="63"/>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funding sources for the Company included branch-related time deposits over $250,000, deposits associated with the Company’s Cayman Islands office, and brokered deposits. Time deposits over $250,000, excluding brokered certificates of deposit, averaged $419 million in the second quarter of 2012, compared with $484 million and $495 million in the second quarter of 2011 and the initial quarter of 2012, respectively. Cayman Islands office deposits averaged $457 million, $819 million and $495 million for the three-month periods ended June 30, 2012, June 30, 2011 and March 31, 2012, respectively. Brokered time deposits averaged $808 million in the recent quarter, compared with $1.2 billion in the year-earlier quarter and $973 million in the first quarter of 2012. Brokered time deposits obtained in the acquisition of Wilmington Trust totaled $1.4 billion on May 16, 2011. The Company also had brokered NOW and brokered money-market deposit accounts, which in the aggregate averaged $1.1 billion during each of the first two quarters of 2012, compared with $1.4 billion during the second quarter of 2011. The levels of brokered NOW and brokered money-market deposit accounts reflect the demand for such deposits, largely resulting from continued uncertain economic markets and the desire of brokerage firms to earn reasonable yields while ensuring that customer deposits are fully insured. While the level of Cayman Islands office deposits and brokered deposits are reflective of customer demand, the Company used such deposits in the past as alternatives to short-term borrowings.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2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also uses borrowings from banks, securities dealers, various Federal Home Loan Banks, the Federal Reserve and others as sources of funding. Average short-term borrowings totaled $875 million in the recent quarter, compared with $707 million in the second quarter of 2011 and $828 million in the first quarter of 2012. Included in short-term borrowings were unsecured federal funds borrowings, which generally mature on the next business day, that averaged $716 million and $548 million in the second quarters of 2012 and 2011, respectively, compared with $628 million in the initial quarter of 2012. Overnight federal funds borrowings represented the largest component of short-term borrowings and totaled $821 million at June 30, 2012, $290 million at June 30, 2011 and $590 million at December 31, 2011.</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Long-term borrowings averaged $6.1 billion in the recent quarter, compared with $7.1 billion in the second quarter of 2011 and $6.5 billion in the initial quarter of 2012. Included in average long-term borrowings were amounts borrowed from the Federal Home Loan Bank (“FHLB”) of New York, the FHLB of Atlanta and the FHLB of Pittsburgh of $1.1 billion and $2.0 billion in the second quarters of 2012 and 2011, respectively, and $1.4 billion in the first quarter of 2012, and subordinated capital notes of $2.2 billion in the three-month periods ended March 31 and June 30, 2012, compared with $2.0 billion in the second quarter of 2011. Subordinated capital notes assumed in connection with the Wilmington Trust acquisition totaled $450 million at May 16, 2011. On July 2, 2012, the Company redeemed $400 million of subordinated capital notes of M&amp;T Bank that were due to mature in 2013, as such notes do not qualify as regulatory capital during the one-year period before their contractual maturity date. The Company has utilized interest rate swap agreements to modify the repricing characteristics of certain components of long-term debt. As of June 30, 2012, interest rate swap agreements were used to hedge approximately $900 million of fixed rate subordinated notes. Further information on interest rate swap agreements is provided in note 10 of Notes to Financial Statements. Junior subordinated debentures associated with trust preferred securities that were included in average long-term borrowings were $1.2 billion in each of the quarters ended June 30, 2012, June 30, 2011 and March 31, 2012. Additional information regarding junior subordinated debentures is provided in note 5 of Notes to Financial Statements. Also included in long-term borrowings were agreements to repurchase securities, which averaged $1.4 billion during each of the two most recent quarters, compared with $1.6 billion in the second quarter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64" w:name="page65"/>
    <w:bookmarkEnd w:id="64"/>
    <w:p>
      <w:pPr>
        <w:ind w:right="7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The agreements have various repurchase dates through 2017, however, the contractual maturities of the underlying securities extend beyond such repurchase dates.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Changes in the composition of the Company’s earning assets and interest-bearing liabilities, as discussed herein, as well as changes in interest rates and spreads, can impact net interest income. Net interest spread, or the difference between the taxable-equivalent yield on earning assets and the rate paid on interest-bearing liabilities, was 3.49% in the second quarter of 2012, compared with 3.51% in the year-earlier quarter. The yield on earning assets during the recent quarter was 4.25%, down 15 basis points from 4.40% in the second quarter of 2011, while the rate paid on interest-bearing liabilities declined 13 basis points to .76% from .89% in the second quarter of 2011. In the first quarter of 2012, the net interest spread was 3.44%, the yield on earning assets was 4.24% and the rate paid on interest-bearing liabilities was .80%. For the first six months of 2012, the net interest spread was 3.46%, down 13 basis points from the corresponding 2011 period. The yield on earning assets and the rate paid on interest-bearing liabilities were 4.24% and .78%, respectively, during the first six months of 2012, compared with 4.49% and .90%, respectively, in the similar 2011 period. The narrowing of the net interest spread in the recent period reflects the impact of the Wilmington Trust acquisition and the effect of declining interest rates on yields earned on loans, partially offset by lower rates paid on deposits.</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5"/>
          <w:szCs w:val="15"/>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$23.3 billion in the recent quarter, compared with $17.3 billion in the second quarter of 2011 and $21.4 billion in the initial 2012 quarter. The significant increases in net interest-free funds in the two most recent quarters as compared with the second quarter of 2011 were predominantly the result of higher average balances of noninterest-bearing deposits, including balances on deposit for trust customers. Such deposits averaged $21.4 billion, $16.2 billion and $19.6 billion in the quarters ended June 30, 2012, June 30, 2011 and March 31, 2012, respectively. In connection with the Wilmington Trust acquisition, the Company added noninterest-bearing deposits totaling $2.0 billion at the acquisition date. During the first six months of 2012 and 2011, average net interest-free funds aggregated $22.4 billion and $16.4 billion, respectively. Goodwill and core deposit and other intangible assets averaged $3.7 billion during each of the quarters ended June 30, 2012, June 30, 2011 and March 31, 2012. Core deposit and other intangible assets added from the Wilmington Trust acquisition were $112 million on May 16, 2011. There was no goodwill recorded as a result of that acquisition. The cash surrender value of bank owned life insurance averaged $1.6 billion in each of the two most recent quarters, compared with $1.5 billion in the second quarter of 2011. Increases in the cash surrender value of bank owned life insurance are not included in interest income, but rather are recorded in “other revenues from operations.” The contribution of net interest-free funds to net interest margin was .25% in each of the two most recent quarters, compared with .24% in the second quarter of 2011. That contribution for the first six months of 2012 and 2011 was .25% and .24%,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Reflecting the changes to the net interest spread and the contribution of interest-free funds as described herein, the Company’s net interest margin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3.74% in the recent quarter, compared with 3.75% in the year-earlier quarter and 3.69% in the first quarter of 2012. During the first six months of 2012 and 2011,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net interest margin was 3.71% and 3.83%, respectively. Future changes in market interest rates or spreads, as well as changes in the composition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portfolios of earning assets and interest-bearing liabilities that result in reductions in spreads, could adversely impact the Company’s net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income and net interest margin.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80" w:right="239" w:bottom="1440" w:gutter="0" w:footer="0" w:header="0"/>
        </w:sectPr>
      </w:pPr>
    </w:p>
    <w:bookmarkStart w:id="65" w:name="page66"/>
    <w:bookmarkEnd w:id="65"/>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was $900 million at each of June 30, 2012, June 30, 2011, December 31, 2011 and March 31, 2012. Under the terms of those swap agreements, the Company received payments based on the outstanding notional amount at fixed rates and made payments at variable rates. Those swap agreements were designated as fair value hedges of certain fixed rate long-term borrowings. There were no interest rate swap agreements designated as cash flow hedges at those respective dates.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quarters ended June 30, 2012 and 2011 and the quarter ended March 31, 2012 were not material to the Company’s results of operations. The estimated aggregate fair value of interest rate swap agreements designated as fair value hedges represented gains of approximately $150 million at June 30, 2012, $106 million at June 30, 2011, $140 million at March 31, 2012 and $147 million at December 31, 2011. The fair values of such swap agreements were substantially offset by changes in the fair values of the hedged items. The changes in the fair values of the interest rate swap agreements and the hedged items primarily result from the effects of changing interest rates and spreads. The Company’s credit exposure as of June 30, 2012 with respect to the estimated fair value of interest rate swap agreements used for managing interest rate risk has been substantially mitigated through master netting arrangements with trading account interest rate contracts with the same counterparty as well as counterparty postings of $69 million of collateral with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weighted-average rates to be received and paid under interest rate swap agreements currently in effect were 6.07% and 2.01%, respectively, at June 30,</w:t>
      </w:r>
    </w:p>
    <w:p>
      <w:pPr>
        <w:spacing w:after="0" w:line="50" w:lineRule="exact"/>
        <w:rPr>
          <w:sz w:val="20"/>
          <w:szCs w:val="20"/>
          <w:color w:val="auto"/>
        </w:rPr>
      </w:pPr>
    </w:p>
    <w:p>
      <w:pPr>
        <w:ind w:right="320"/>
        <w:spacing w:after="0" w:line="331" w:lineRule="auto"/>
        <w:rPr>
          <w:sz w:val="20"/>
          <w:szCs w:val="20"/>
          <w:color w:val="auto"/>
        </w:rPr>
      </w:pPr>
      <w:r>
        <w:rPr>
          <w:rFonts w:ascii="Arial" w:cs="Arial" w:eastAsia="Arial" w:hAnsi="Arial"/>
          <w:sz w:val="15"/>
          <w:szCs w:val="15"/>
          <w:color w:val="auto"/>
        </w:rPr>
        <w:t>2012.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10 of Notes to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 SWAP AGREEMENTS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color w:val="auto"/>
                <w:w w:val="87"/>
              </w:rPr>
              <w:t>Three months ended 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(9,069)</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(9,491)</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9,069</w:t>
            </w:r>
          </w:p>
        </w:tc>
        <w:tc>
          <w:tcPr>
            <w:tcW w:w="3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9,491</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color w:val="auto"/>
                <w:w w:val="92"/>
              </w:rPr>
              <w:t>Six months ended June 30</w:t>
            </w:r>
          </w:p>
        </w:tc>
        <w:tc>
          <w:tcPr>
            <w:tcW w:w="4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color w:val="auto"/>
              </w:rPr>
              <w:t>2012</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2"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line="142" w:lineRule="exact"/>
              <w:rPr>
                <w:sz w:val="20"/>
                <w:szCs w:val="20"/>
                <w:color w:val="auto"/>
              </w:rPr>
            </w:pPr>
            <w:r>
              <w:rPr>
                <w:rFonts w:ascii="Arial" w:cs="Arial" w:eastAsia="Arial" w:hAnsi="Arial"/>
                <w:sz w:val="14"/>
                <w:szCs w:val="14"/>
                <w:color w:val="auto"/>
                <w:w w:val="81"/>
              </w:rPr>
              <w:t>Rate(a)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(decrease) in: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(18,058)</w:t>
            </w: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(19,005)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440"/>
              <w:spacing w:after="0"/>
              <w:rPr>
                <w:sz w:val="20"/>
                <w:szCs w:val="20"/>
                <w:color w:val="auto"/>
              </w:rPr>
            </w:pPr>
            <w:r>
              <w:rPr>
                <w:rFonts w:ascii="Arial" w:cs="Arial" w:eastAsia="Arial" w:hAnsi="Arial"/>
                <w:sz w:val="18"/>
                <w:szCs w:val="18"/>
                <w:color w:val="auto"/>
              </w:rPr>
              <w:t>Net interest income/margin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18,058</w:t>
            </w:r>
          </w:p>
        </w:tc>
        <w:tc>
          <w:tcPr>
            <w:tcW w:w="320" w:type="dxa"/>
            <w:vAlign w:val="bottom"/>
          </w:tcPr>
          <w:p>
            <w:pPr>
              <w:spacing w:after="0"/>
              <w:rPr>
                <w:sz w:val="19"/>
                <w:szCs w:val="19"/>
                <w:color w:val="auto"/>
              </w:rPr>
            </w:pPr>
          </w:p>
        </w:tc>
        <w:tc>
          <w:tcPr>
            <w:tcW w:w="11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19,005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900,000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900,000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Rate received(b)</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vMerge w:val="restart"/>
          </w:tcPr>
          <w:p>
            <w:pPr>
              <w:jc w:val="right"/>
              <w:ind w:right="420"/>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line="20" w:lineRule="exact"/>
              <w:rPr>
                <w:sz w:val="1"/>
                <w:szCs w:val="1"/>
                <w:color w:val="auto"/>
              </w:rPr>
            </w:pPr>
          </w:p>
        </w:tc>
      </w:tr>
      <w:tr>
        <w:trPr>
          <w:trHeight w:val="208"/>
        </w:trPr>
        <w:tc>
          <w:tcPr>
            <w:tcW w:w="6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Rate paid(b)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borrowings from the FHLB of New York,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has informal and sometimes reciprocal sources of funding available through various arrangements for unsecured short-term borrowings from a wide group of banks and other financial institutions. Short-term federal funds borrowings aggregated $821 million, $290 million and $590 million at June 30, 2012, June 30, 2011 and December 31, 2011, respectively. In general, those borrowings were unsecured and matured on the next business day. As previously noted, Cayman Islands office deposits and brokered certificates of deposits have been used by the Company as an alternative to short-term borrowings. Cayman Islands office deposits also generally mature on the next business day and totaled $366 million at June 30, 2012, $552 million at June 30, 2011 and $356 million at December 31, 2011. Outstanding brokered time deposits at June 30, 2012, June 30, 2011 and December 31, 2011 were $748 million, $1.9 billion and $1.0 billion, respectively. Brokered time deposits assumed in the Wilmington Trust transaction totaled $1.4 billion at the acquisition date. At June 30, 2012, the weighted-average remaining term to maturity of brokered time deposits was 10 months. Certain of these brokered time deposits have provisions that allow for early redemption. The Company also has brokered NOW and brokered money-market deposit accounts which aggregated $1.0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billion, $1.4 billion and $1.1 billion at June 30, 2012, June 30, 2011 and December 31, 2011, respectively.</w:t>
      </w:r>
    </w:p>
    <w:p>
      <w:pPr>
        <w:spacing w:after="0" w:line="171" w:lineRule="exact"/>
        <w:rPr>
          <w:sz w:val="20"/>
          <w:szCs w:val="20"/>
          <w:color w:val="auto"/>
        </w:rPr>
      </w:pPr>
    </w:p>
    <w:p>
      <w:pPr>
        <w:ind w:right="280" w:firstLine="456"/>
        <w:spacing w:after="0" w:line="314" w:lineRule="auto"/>
        <w:rPr>
          <w:sz w:val="20"/>
          <w:szCs w:val="20"/>
          <w:color w:val="auto"/>
        </w:rPr>
      </w:pPr>
      <w:r>
        <w:rPr>
          <w:rFonts w:ascii="Arial" w:cs="Arial" w:eastAsia="Arial" w:hAnsi="Arial"/>
          <w:sz w:val="15"/>
          <w:szCs w:val="15"/>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0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$13 million and $29 million at June 30, 2012 and 2011, respectively, and $40 million at December 31, 2011. The total amount of VRDBs outstanding backed by M&amp;T Bank letters of credit was $1.9 billion at each of June 30, 2012, June 30, 2011 and December 31, 2011. M&amp;T Bank also serves as remarketing agent for most of those bonds.</w:t>
      </w:r>
    </w:p>
    <w:p>
      <w:pPr>
        <w:spacing w:after="0" w:line="14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enters into contractual obligations in the normal course of business which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13 of Notes to Financial Statements.</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2012 approximately $630 million was available for payment of dividends to M&amp;T from banking subsidiaries. These historic sources of cash flow have been augmented in the past by the issuance of trust preferred securities and senior notes payable. Information regarding trust preferred securities and the related junior subordinated debentures is included in note 5 of Notes to Financial Statements. The $300 million 5.375% senior notes of M&amp;T that were issued in 2007 matured and were repaid in May 2012. M&amp;T also maintains a $30 million line of credit with an unaffiliated commercial bank, on which there were no borrowings outstanding at June 30, 2012 or at December 31, 2011.</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68" w:name="page69"/>
    <w:bookmarkEnd w:id="68"/>
    <w:p>
      <w:pPr>
        <w:ind w:right="4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24"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The accompanying table as of June 30, 2012 and December 31, 2011 displays the estimated impact on net interest income from non-trading financial instruments in the base scenario described above resulting from parallel changes in interest rates across repricing categories during the first modeling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SENSITIVITY OF NET INTEREST INCOME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660" w:type="dxa"/>
            <w:vAlign w:val="bottom"/>
            <w:gridSpan w:val="5"/>
          </w:tcPr>
          <w:p>
            <w:pPr>
              <w:jc w:val="right"/>
              <w:ind w:right="560"/>
              <w:spacing w:after="0"/>
              <w:rPr>
                <w:sz w:val="20"/>
                <w:szCs w:val="20"/>
                <w:color w:val="auto"/>
              </w:rPr>
            </w:pPr>
            <w:r>
              <w:rPr>
                <w:rFonts w:ascii="Arial" w:cs="Arial" w:eastAsia="Arial" w:hAnsi="Arial"/>
                <w:sz w:val="14"/>
                <w:szCs w:val="14"/>
                <w:color w:val="auto"/>
              </w:rPr>
              <w:t>Calculated increase (decrease)</w:t>
            </w:r>
          </w:p>
        </w:tc>
        <w:tc>
          <w:tcPr>
            <w:tcW w:w="0" w:type="dxa"/>
            <w:vAlign w:val="bottom"/>
          </w:tcPr>
          <w:p>
            <w:pPr>
              <w:spacing w:after="0"/>
              <w:rPr>
                <w:sz w:val="1"/>
                <w:szCs w:val="1"/>
                <w:color w:val="auto"/>
              </w:rPr>
            </w:pPr>
          </w:p>
        </w:tc>
      </w:tr>
      <w:tr>
        <w:trPr>
          <w:trHeight w:val="162"/>
        </w:trPr>
        <w:tc>
          <w:tcPr>
            <w:tcW w:w="1420" w:type="dxa"/>
            <w:vAlign w:val="bottom"/>
            <w:vMerge w:val="restart"/>
          </w:tcPr>
          <w:p>
            <w:pPr>
              <w:spacing w:after="0"/>
              <w:rPr>
                <w:sz w:val="20"/>
                <w:szCs w:val="20"/>
                <w:color w:val="auto"/>
              </w:rPr>
            </w:pPr>
            <w:r>
              <w:rPr>
                <w:rFonts w:ascii="Arial" w:cs="Arial" w:eastAsia="Arial" w:hAnsi="Arial"/>
                <w:sz w:val="14"/>
                <w:szCs w:val="14"/>
                <w:color w:val="auto"/>
                <w:w w:val="89"/>
              </w:rPr>
              <w:t>Changes in interest rates</w:t>
            </w:r>
          </w:p>
        </w:tc>
        <w:tc>
          <w:tcPr>
            <w:tcW w:w="4600" w:type="dxa"/>
            <w:vAlign w:val="bottom"/>
          </w:tcPr>
          <w:p>
            <w:pPr>
              <w:spacing w:after="0"/>
              <w:rPr>
                <w:sz w:val="14"/>
                <w:szCs w:val="14"/>
                <w:color w:val="auto"/>
              </w:rPr>
            </w:pPr>
          </w:p>
        </w:tc>
        <w:tc>
          <w:tcPr>
            <w:tcW w:w="2660" w:type="dxa"/>
            <w:vAlign w:val="bottom"/>
            <w:gridSpan w:val="5"/>
          </w:tcPr>
          <w:p>
            <w:pPr>
              <w:jc w:val="right"/>
              <w:ind w:right="540"/>
              <w:spacing w:after="0"/>
              <w:rPr>
                <w:sz w:val="20"/>
                <w:szCs w:val="20"/>
                <w:color w:val="auto"/>
              </w:rPr>
            </w:pPr>
            <w:r>
              <w:rPr>
                <w:rFonts w:ascii="Arial" w:cs="Arial" w:eastAsia="Arial" w:hAnsi="Arial"/>
                <w:sz w:val="14"/>
                <w:szCs w:val="14"/>
                <w:color w:val="auto"/>
              </w:rPr>
              <w:t>in projected net interest income</w:t>
            </w:r>
          </w:p>
        </w:tc>
        <w:tc>
          <w:tcPr>
            <w:tcW w:w="0" w:type="dxa"/>
            <w:vAlign w:val="bottom"/>
          </w:tcPr>
          <w:p>
            <w:pPr>
              <w:spacing w:after="0"/>
              <w:rPr>
                <w:sz w:val="1"/>
                <w:szCs w:val="1"/>
                <w:color w:val="auto"/>
              </w:rPr>
            </w:pPr>
          </w:p>
        </w:tc>
      </w:tr>
      <w:tr>
        <w:trPr>
          <w:trHeight w:val="166"/>
        </w:trPr>
        <w:tc>
          <w:tcPr>
            <w:tcW w:w="1420" w:type="dxa"/>
            <w:vAlign w:val="bottom"/>
            <w:tcBorders>
              <w:bottom w:val="single" w:sz="8" w:color="auto"/>
            </w:tcBorders>
            <w:vMerge w:val="continue"/>
          </w:tcPr>
          <w:p>
            <w:pPr>
              <w:spacing w:after="0"/>
              <w:rPr>
                <w:sz w:val="14"/>
                <w:szCs w:val="14"/>
                <w:color w:val="auto"/>
              </w:rPr>
            </w:pPr>
          </w:p>
        </w:tc>
        <w:tc>
          <w:tcPr>
            <w:tcW w:w="5740" w:type="dxa"/>
            <w:vAlign w:val="bottom"/>
            <w:gridSpan w:val="3"/>
          </w:tcPr>
          <w:p>
            <w:pPr>
              <w:jc w:val="right"/>
              <w:ind w:right="380"/>
              <w:spacing w:after="0" w:line="146" w:lineRule="exact"/>
              <w:rPr>
                <w:sz w:val="20"/>
                <w:szCs w:val="20"/>
                <w:color w:val="auto"/>
              </w:rPr>
            </w:pPr>
            <w:r>
              <w:rPr>
                <w:rFonts w:ascii="Arial" w:cs="Arial" w:eastAsia="Arial" w:hAnsi="Arial"/>
                <w:sz w:val="14"/>
                <w:szCs w:val="14"/>
                <w:color w:val="auto"/>
              </w:rPr>
              <w:t>June 30, 2012</w:t>
            </w:r>
          </w:p>
        </w:tc>
        <w:tc>
          <w:tcPr>
            <w:tcW w:w="1520" w:type="dxa"/>
            <w:vAlign w:val="bottom"/>
            <w:gridSpan w:val="3"/>
          </w:tcPr>
          <w:p>
            <w:pPr>
              <w:jc w:val="right"/>
              <w:ind w:right="120"/>
              <w:spacing w:after="0" w:line="146" w:lineRule="exact"/>
              <w:rPr>
                <w:sz w:val="20"/>
                <w:szCs w:val="20"/>
                <w:color w:val="auto"/>
              </w:rPr>
            </w:pPr>
            <w:r>
              <w:rPr>
                <w:rFonts w:ascii="Arial" w:cs="Arial" w:eastAsia="Arial" w:hAnsi="Arial"/>
                <w:sz w:val="14"/>
                <w:szCs w:val="14"/>
                <w:color w:val="auto"/>
              </w:rPr>
              <w:t>December 31, 2011</w:t>
            </w:r>
          </w:p>
        </w:tc>
        <w:tc>
          <w:tcPr>
            <w:tcW w:w="0" w:type="dxa"/>
            <w:vAlign w:val="bottom"/>
          </w:tcPr>
          <w:p>
            <w:pPr>
              <w:spacing w:after="0"/>
              <w:rPr>
                <w:sz w:val="1"/>
                <w:szCs w:val="1"/>
                <w:color w:val="auto"/>
              </w:rPr>
            </w:pPr>
          </w:p>
        </w:tc>
      </w:tr>
      <w:tr>
        <w:trPr>
          <w:trHeight w:val="203"/>
        </w:trPr>
        <w:tc>
          <w:tcPr>
            <w:tcW w:w="1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+200 basis points</w:t>
            </w:r>
          </w:p>
        </w:tc>
        <w:tc>
          <w:tcPr>
            <w:tcW w:w="46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$ 114,637</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117,826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w w:val="99"/>
              </w:rPr>
              <w:t>+100 basis points</w:t>
            </w:r>
          </w:p>
        </w:tc>
        <w:tc>
          <w:tcPr>
            <w:tcW w:w="5360" w:type="dxa"/>
            <w:vAlign w:val="bottom"/>
            <w:gridSpan w:val="2"/>
          </w:tcPr>
          <w:p>
            <w:pPr>
              <w:jc w:val="right"/>
              <w:spacing w:after="0"/>
              <w:rPr>
                <w:sz w:val="20"/>
                <w:szCs w:val="20"/>
                <w:color w:val="auto"/>
              </w:rPr>
            </w:pPr>
            <w:r>
              <w:rPr>
                <w:rFonts w:ascii="Arial" w:cs="Arial" w:eastAsia="Arial" w:hAnsi="Arial"/>
                <w:sz w:val="18"/>
                <w:szCs w:val="18"/>
                <w:color w:val="auto"/>
              </w:rPr>
              <w:t>62,860</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64,103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(55,908)</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(62,055)</w:t>
            </w:r>
          </w:p>
        </w:tc>
        <w:tc>
          <w:tcPr>
            <w:tcW w:w="0" w:type="dxa"/>
            <w:vAlign w:val="bottom"/>
          </w:tcPr>
          <w:p>
            <w:pPr>
              <w:spacing w:after="0"/>
              <w:rPr>
                <w:sz w:val="1"/>
                <w:szCs w:val="1"/>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rPr>
              <w:t>-200 basis points</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(79,921)</w:t>
            </w: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(83,369)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69" w:name="page70"/>
    <w:bookmarkEnd w:id="69"/>
    <w:p>
      <w:pPr>
        <w:ind w:right="6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are not considered significant to the Company’s past or projected net interest income.</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Changes in fair value of the Company’s financial instruments can also result from a lack of trading activity for similar instruments in the financial markets. That impact is most notable on the values assigned to the Company’s investment securities. Information about the fair valuation of such securities is presented herein under the heading “Capital” and in notes 3 and 12 of Notes to Financial Statements.</w:t>
      </w:r>
    </w:p>
    <w:p>
      <w:pPr>
        <w:spacing w:after="0" w:line="14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consist predominantly of interest rate contracts, such as swap agreements, and forward and futures contracts related to foreign currencies, but have also included forward and futures contracts related to mortgage-backed securities and investments in U.S. Treasury and other government securities, mortgage-backed securities and mutual funds and, as previously described, a limited number of VRDBs. The Company generally mitigates the foreign currency and interest rate risk associated with trading activities by entering into offsetting trading positions. The fair values of the offsetting trading positions associated with interest rate contracts and foreign currency and other option and futures contracts are presented in note 10 of Notes to Financial Statements.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notional amounts of interest rate contracts entered into for trading purposes totaled $15.0 billion at June 30, 2012, compared with $13.4 billion at June 30, 2011 and $13.9 billion at December 31, 2011. The notional amounts of foreign currency and other option and futures contracts entered into for trading purposes aggregated $1.4 billion at each of June 30, 2012 and December 31, 2011, and were $1.0 billion at June 30, 2011. Although the notional amounts of these trading contracts are not recorded in the consolidated balance sheet, the fair values of all financial instruments used for trading activities are recorded in the consolidated balance sheet. The fair values of all trading account assets and liabilities totaled $545 million and $430 million, respectively, at June 30, 2012, $503 million and $366 million, respectively, at June 30, 2011, and $562 million and $435 million, respectively, at December 31, 2011. Included in trading account assets were assets related to deferred compensation plans totaling $34 million at each of June 30, 2012 and December 31, 2011, and $36 million at June 30, 2011. Changes in the fair value of such assets are recorded as “trading account and foreign exchange gains” in the consolidated statement of income. Included in “other liabilities” in the consolidated balance sheet at June 30, 2012 and 2011 were $31 million and $34 million, respectively, of liabilities related to deferred compensation plans, while at December 31, 2011 liabilities related to deferred compensation plans totaled $32 million. Changes in the balances of such liabilities due to the valuation of allocated investment options to which the liabilities are indexed are recorded in “other costs of operations” in the consolidated statement of income.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70" w:name="page71"/>
    <w:bookmarkEnd w:id="70"/>
    <w:p>
      <w:pPr>
        <w:ind w:right="4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related to the Company’s trading activities. Additional information about the Company’s use of derivative financial instruments in its trading activities is included in note 10 of Notes to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Credit Losses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second quarter of 2012 was $60 million, compared with $63 million in the year-earlier quarter and $49 million in the first quarter of 2012. For the six-month periods ended June 30, 2012 and 2011, the provision for credit losses was $109 million and $138 million, respectively. While the Company has experienced improvement in its credit metrics during the past two years, generally declining real estate valuations and higher than normal levels of delinquencies and charge-offs have significantly affected the quality of the Company’s residential real estate–related loan portfolios. Specifically, the Company’s alternative (“Alt-A”) residential real estate loan portfolio and its residential real estate builder and developer loan portfolio experienced the majority of the credit problems related to the turmoil in the residential real estate market place. Alt-A loans represent residential real estate loans that at origination typically included some form of limited borrower documentation requirements as compared with more traditional residential real estate loans. Loans in the Company’s Alt-A portfolio were originated by the Company prior to 2008. The Company also experienced increased levels of commercial and consumer loan charge-offs over the past three years due to, among other things, higher unemployment levels and the recessionary economy.</w:t>
      </w:r>
    </w:p>
    <w:p>
      <w:pPr>
        <w:spacing w:after="0" w:line="12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Net loan charge-offs were $52 million in the recent quarter, compared with $59 million in the second quarter of 2011 and $48 million in the initial 2012 quarter. Net charge-offs as an annualized percentage of average loans and leases were .34% in the second quarter of 2012, compared with .43% and .32% in the quarters ended June 30, 2011 and March 31, 2012, respectively. Net charge-offs for the six-month period ended June 30 aggregated $100 million in 2012 and $133 million in 2011, representing .33% and .50%, respectively, of average loans and leases. A summary of net charge–offs by loan type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NET CHARGE-OFFS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w w:val="82"/>
              </w:rPr>
              <w:t>1st Qtr.</w:t>
            </w:r>
          </w:p>
        </w:tc>
        <w:tc>
          <w:tcPr>
            <w:tcW w:w="9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3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13,648</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Real estate: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8,823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11,724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10,844</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9,619</w:t>
            </w:r>
          </w:p>
        </w:tc>
        <w:tc>
          <w:tcPr>
            <w:tcW w:w="620" w:type="dxa"/>
            <w:vAlign w:val="bottom"/>
          </w:tcPr>
          <w:p>
            <w:pPr>
              <w:jc w:val="right"/>
              <w:spacing w:after="0"/>
              <w:rPr>
                <w:sz w:val="20"/>
                <w:szCs w:val="20"/>
                <w:color w:val="auto"/>
              </w:rPr>
            </w:pPr>
            <w:r>
              <w:rPr>
                <w:rFonts w:ascii="Arial" w:cs="Arial" w:eastAsia="Arial" w:hAnsi="Arial"/>
                <w:sz w:val="18"/>
                <w:szCs w:val="18"/>
                <w:color w:val="auto"/>
              </w:rPr>
              <w:t>20,463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3"/>
              </w:rPr>
              <w:t>23,747</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16,987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2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48,284</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51,978</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3700" w:type="dxa"/>
            <w:vAlign w:val="bottom"/>
            <w:vMerge w:val="restart"/>
          </w:tcPr>
          <w:p>
            <w:pPr>
              <w:jc w:val="right"/>
              <w:ind w:right="1952"/>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2011</w:t>
            </w: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jc w:val="center"/>
              <w:spacing w:after="0" w:line="131" w:lineRule="exact"/>
              <w:rPr>
                <w:sz w:val="20"/>
                <w:szCs w:val="20"/>
                <w:color w:val="auto"/>
              </w:rPr>
            </w:pPr>
            <w:r>
              <w:rPr>
                <w:rFonts w:ascii="Arial" w:cs="Arial" w:eastAsia="Arial" w:hAnsi="Arial"/>
                <w:sz w:val="14"/>
                <w:szCs w:val="14"/>
                <w:color w:val="auto"/>
                <w:w w:val="87"/>
              </w:rPr>
              <w:t>Year</w:t>
            </w:r>
          </w:p>
        </w:tc>
        <w:tc>
          <w:tcPr>
            <w:tcW w:w="100" w:type="dxa"/>
            <w:vAlign w:val="bottom"/>
          </w:tcPr>
          <w:p>
            <w:pPr>
              <w:spacing w:after="0"/>
              <w:rPr>
                <w:sz w:val="11"/>
                <w:szCs w:val="11"/>
                <w:color w:val="auto"/>
              </w:rPr>
            </w:pPr>
          </w:p>
        </w:tc>
      </w:tr>
      <w:tr>
        <w:trPr>
          <w:trHeight w:val="159"/>
        </w:trPr>
        <w:tc>
          <w:tcPr>
            <w:tcW w:w="6980" w:type="dxa"/>
            <w:vAlign w:val="bottom"/>
          </w:tcPr>
          <w:p>
            <w:pPr>
              <w:spacing w:after="0"/>
              <w:rPr>
                <w:sz w:val="13"/>
                <w:szCs w:val="13"/>
                <w:color w:val="auto"/>
              </w:rPr>
            </w:pPr>
          </w:p>
        </w:tc>
        <w:tc>
          <w:tcPr>
            <w:tcW w:w="960" w:type="dxa"/>
            <w:vAlign w:val="bottom"/>
            <w:gridSpan w:val="3"/>
          </w:tcPr>
          <w:p>
            <w:pPr>
              <w:ind w:left="100"/>
              <w:spacing w:after="0" w:line="159" w:lineRule="exact"/>
              <w:rPr>
                <w:sz w:val="20"/>
                <w:szCs w:val="20"/>
                <w:color w:val="auto"/>
              </w:rPr>
            </w:pPr>
            <w:r>
              <w:rPr>
                <w:rFonts w:ascii="Arial" w:cs="Arial" w:eastAsia="Arial" w:hAnsi="Arial"/>
                <w:sz w:val="14"/>
                <w:szCs w:val="14"/>
                <w:color w:val="auto"/>
              </w:rPr>
              <w:t>1st Qtr.</w:t>
            </w:r>
          </w:p>
        </w:tc>
        <w:tc>
          <w:tcPr>
            <w:tcW w:w="92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2nd Qtr.</w:t>
            </w:r>
          </w:p>
        </w:tc>
        <w:tc>
          <w:tcPr>
            <w:tcW w:w="7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7"/>
              </w:rPr>
              <w:t>to-date</w:t>
            </w:r>
          </w:p>
        </w:tc>
      </w:tr>
      <w:tr>
        <w:trPr>
          <w:trHeight w:val="210"/>
        </w:trPr>
        <w:tc>
          <w:tcPr>
            <w:tcW w:w="6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financial, etc.</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$11,862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12,650</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Real estate: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24,230</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7"/>
              </w:rPr>
              <w:t>12,731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36,961</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14,666</w:t>
            </w:r>
          </w:p>
        </w:tc>
        <w:tc>
          <w:tcPr>
            <w:tcW w:w="36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13,839</w:t>
            </w:r>
          </w:p>
        </w:tc>
        <w:tc>
          <w:tcPr>
            <w:tcW w:w="620" w:type="dxa"/>
            <w:vAlign w:val="bottom"/>
          </w:tcPr>
          <w:p>
            <w:pPr>
              <w:jc w:val="right"/>
              <w:spacing w:after="0"/>
              <w:rPr>
                <w:sz w:val="20"/>
                <w:szCs w:val="20"/>
                <w:color w:val="auto"/>
              </w:rPr>
            </w:pPr>
            <w:r>
              <w:rPr>
                <w:rFonts w:ascii="Arial" w:cs="Arial" w:eastAsia="Arial" w:hAnsi="Arial"/>
                <w:sz w:val="18"/>
                <w:szCs w:val="18"/>
                <w:color w:val="auto"/>
              </w:rPr>
              <w:t>28,505</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19,894</w:t>
            </w:r>
          </w:p>
        </w:tc>
        <w:tc>
          <w:tcPr>
            <w:tcW w:w="3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43,374</w:t>
            </w:r>
          </w:p>
        </w:tc>
        <w:tc>
          <w:tcPr>
            <w:tcW w:w="100" w:type="dxa"/>
            <w:vAlign w:val="bottom"/>
            <w:shd w:val="clear" w:color="auto" w:fill="CCEEFF"/>
          </w:tcPr>
          <w:p>
            <w:pPr>
              <w:spacing w:after="0"/>
              <w:rPr>
                <w:sz w:val="18"/>
                <w:szCs w:val="18"/>
                <w:color w:val="auto"/>
              </w:rPr>
            </w:pPr>
          </w:p>
        </w:tc>
      </w:tr>
      <w:tr>
        <w:trPr>
          <w:trHeight w:val="222"/>
        </w:trPr>
        <w:tc>
          <w:tcPr>
            <w:tcW w:w="698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74,238</w:t>
            </w:r>
          </w:p>
        </w:tc>
        <w:tc>
          <w:tcPr>
            <w:tcW w:w="36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59,114</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133,352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Included in net charge-offs of commercial real estate loans were net charge-offs of loans to residential homebuilders and developers of $11 million and $6 million for the quarters ended June 30, 2012 and June 30, 2011, and $3 million for the quarter ended March 31, 2012. Reflected in net charge-offs of residential real estate loans were net charge-offs of Alt-A first mortgage loans of $5 million in the second quarter of 2012, compared with $8 million in the year-earlier quarter and $6 million in the first quarter of 2012. Included in net charge-offs of consumer loans and leases were net charge-offs during the quarters ended June 30, 2012, June 30, 2011 and March 31, 2012, respectively, of: automobile loans of $2 million, $5 million and $4 million; recreational vehicle loans of $4 million, $5 million and $5 million; and home equity loans and lines of credit, including Alt-A second lien loans, of $7 million, $8 million and $9 million. Including both first and second lien mortgages, net charge-offs of Alt-A loans totaled $6 million for the quarter ended June 30, 2012, $9 million for the quarter ended June 30, 2011 and $7 million for the quarter ended March 31, 2012.</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excess of cash flows expected at acquisition over the estimated fair value is being recognized as interest income over the lives of loans. The difference between contractually required payments at acquisition and the cash flows expected to be collected at acquisition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Any decreases to the expected cash flows require the Company to evaluate the need for an additional allowance for credit losses and could lead to charge-offs of acquired loan balances. Any significant increases in expected cash flows result in additional interest income to be recognized over the then-remaining lives of the loans. The carrying amount of loans obtained in acquisitions subsequent to 2008 was $7.1 billion, $9.3 billion, $8.2 billion and $7.8 billion at June 30, 2012, June 30, 2011, December 31, 2011 and March 31, 2012, respectively. The portion of the nonaccretable balance related to remaining principal losses as well as life-to-date principal losses charged against the nonaccretable balance as of June 30, 2012 and December 31, 2011 are presented in the accompanying table.</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1"/>
              </w:rPr>
              <w:t>Nonaccretable balance-principal</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4"/>
          </w:tcPr>
          <w:p>
            <w:pPr>
              <w:jc w:val="right"/>
              <w:ind w:right="940"/>
              <w:spacing w:after="0" w:line="142" w:lineRule="exact"/>
              <w:rPr>
                <w:sz w:val="20"/>
                <w:szCs w:val="20"/>
                <w:color w:val="auto"/>
              </w:rPr>
            </w:pPr>
            <w:r>
              <w:rPr>
                <w:rFonts w:ascii="Arial" w:cs="Arial" w:eastAsia="Arial" w:hAnsi="Arial"/>
                <w:sz w:val="14"/>
                <w:szCs w:val="14"/>
                <w:color w:val="auto"/>
              </w:rPr>
              <w:t>Remaining balance</w:t>
            </w:r>
          </w:p>
        </w:tc>
        <w:tc>
          <w:tcPr>
            <w:tcW w:w="1880" w:type="dxa"/>
            <w:vAlign w:val="bottom"/>
            <w:gridSpan w:val="3"/>
          </w:tcPr>
          <w:p>
            <w:pPr>
              <w:jc w:val="right"/>
              <w:ind w:right="332"/>
              <w:spacing w:after="0" w:line="142" w:lineRule="exact"/>
              <w:rPr>
                <w:sz w:val="20"/>
                <w:szCs w:val="20"/>
                <w:color w:val="auto"/>
              </w:rPr>
            </w:pPr>
            <w:r>
              <w:rPr>
                <w:rFonts w:ascii="Arial" w:cs="Arial" w:eastAsia="Arial" w:hAnsi="Arial"/>
                <w:sz w:val="14"/>
                <w:szCs w:val="14"/>
                <w:color w:val="auto"/>
              </w:rPr>
              <w:t>Life-to-date charges</w:t>
            </w:r>
          </w:p>
        </w:tc>
        <w:tc>
          <w:tcPr>
            <w:tcW w:w="100" w:type="dxa"/>
            <w:vAlign w:val="bottom"/>
          </w:tcPr>
          <w:p>
            <w:pPr>
              <w:spacing w:after="0"/>
              <w:rPr>
                <w:sz w:val="12"/>
                <w:szCs w:val="12"/>
                <w:color w:val="auto"/>
              </w:rPr>
            </w:pPr>
          </w:p>
        </w:tc>
      </w:tr>
      <w:tr>
        <w:trPr>
          <w:trHeight w:val="131"/>
        </w:trPr>
        <w:tc>
          <w:tcPr>
            <w:tcW w:w="4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ind w:left="20"/>
              <w:spacing w:after="0" w:line="131" w:lineRule="exact"/>
              <w:rPr>
                <w:sz w:val="20"/>
                <w:szCs w:val="20"/>
                <w:color w:val="auto"/>
              </w:rPr>
            </w:pPr>
            <w:r>
              <w:rPr>
                <w:rFonts w:ascii="Arial" w:cs="Arial" w:eastAsia="Arial" w:hAnsi="Arial"/>
                <w:sz w:val="14"/>
                <w:szCs w:val="14"/>
                <w:color w:val="auto"/>
              </w:rPr>
              <w:t>June 30,</w:t>
            </w: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500" w:type="dxa"/>
            <w:vAlign w:val="bottom"/>
          </w:tcPr>
          <w:p>
            <w:pPr>
              <w:spacing w:after="0"/>
              <w:rPr>
                <w:sz w:val="11"/>
                <w:szCs w:val="11"/>
                <w:color w:val="auto"/>
              </w:rPr>
            </w:pPr>
          </w:p>
        </w:tc>
        <w:tc>
          <w:tcPr>
            <w:tcW w:w="640" w:type="dxa"/>
            <w:vAlign w:val="bottom"/>
            <w:tcBorders>
              <w:top w:val="single" w:sz="8" w:color="auto"/>
            </w:tcBorders>
          </w:tcPr>
          <w:p>
            <w:pPr>
              <w:jc w:val="right"/>
              <w:ind w:right="20"/>
              <w:spacing w:after="0" w:line="131" w:lineRule="exact"/>
              <w:rPr>
                <w:sz w:val="20"/>
                <w:szCs w:val="20"/>
                <w:color w:val="auto"/>
              </w:rPr>
            </w:pPr>
            <w:r>
              <w:rPr>
                <w:rFonts w:ascii="Arial" w:cs="Arial" w:eastAsia="Arial" w:hAnsi="Arial"/>
                <w:sz w:val="14"/>
                <w:szCs w:val="14"/>
                <w:color w:val="auto"/>
                <w:w w:val="96"/>
              </w:rPr>
              <w:t>June 30,</w:t>
            </w:r>
          </w:p>
        </w:tc>
        <w:tc>
          <w:tcPr>
            <w:tcW w:w="4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r>
      <w:tr>
        <w:trPr>
          <w:trHeight w:val="159"/>
        </w:trPr>
        <w:tc>
          <w:tcPr>
            <w:tcW w:w="4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1"/>
              <w:spacing w:after="0" w:line="159" w:lineRule="exact"/>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0"/>
              <w:spacing w:after="0" w:line="159" w:lineRule="exact"/>
              <w:rPr>
                <w:sz w:val="20"/>
                <w:szCs w:val="20"/>
                <w:color w:val="auto"/>
              </w:rPr>
            </w:pPr>
            <w:r>
              <w:rPr>
                <w:rFonts w:ascii="Arial" w:cs="Arial" w:eastAsia="Arial" w:hAnsi="Arial"/>
                <w:sz w:val="14"/>
                <w:szCs w:val="14"/>
                <w:color w:val="auto"/>
              </w:rPr>
              <w:t>2012</w:t>
            </w:r>
          </w:p>
        </w:tc>
        <w:tc>
          <w:tcPr>
            <w:tcW w:w="1240" w:type="dxa"/>
            <w:vAlign w:val="bottom"/>
            <w:tcBorders>
              <w:bottom w:val="single" w:sz="8" w:color="auto"/>
            </w:tcBorders>
            <w:gridSpan w:val="2"/>
          </w:tcPr>
          <w:p>
            <w:pPr>
              <w:jc w:val="right"/>
              <w:ind w:right="17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2"/>
        </w:trPr>
        <w:tc>
          <w:tcPr>
            <w:tcW w:w="4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00" w:type="dxa"/>
            <w:vAlign w:val="bottom"/>
            <w:gridSpan w:val="3"/>
          </w:tcPr>
          <w:p>
            <w:pPr>
              <w:jc w:val="right"/>
              <w:ind w:right="440"/>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Commercial, financing, leasing, etc.</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47,383</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56,059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55,086</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342,517</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470,788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243,778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208,770</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Residential real estate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47,342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66,424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29,983</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Consumer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68,336</w:t>
            </w:r>
          </w:p>
        </w:tc>
        <w:tc>
          <w:tcPr>
            <w:tcW w:w="48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93,734</w:t>
            </w:r>
          </w:p>
        </w:tc>
        <w:tc>
          <w:tcPr>
            <w:tcW w:w="640" w:type="dxa"/>
            <w:vAlign w:val="bottom"/>
          </w:tcPr>
          <w:p>
            <w:pPr>
              <w:jc w:val="right"/>
              <w:spacing w:after="0"/>
              <w:rPr>
                <w:sz w:val="20"/>
                <w:szCs w:val="20"/>
                <w:color w:val="auto"/>
              </w:rPr>
            </w:pPr>
            <w:r>
              <w:rPr>
                <w:rFonts w:ascii="Arial" w:cs="Arial" w:eastAsia="Arial" w:hAnsi="Arial"/>
                <w:sz w:val="18"/>
                <w:szCs w:val="18"/>
                <w:color w:val="auto"/>
              </w:rPr>
              <w:t>52,807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18"/>
                <w:szCs w:val="18"/>
                <w:color w:val="auto"/>
              </w:rPr>
            </w:pPr>
          </w:p>
        </w:tc>
      </w:tr>
      <w:tr>
        <w:trPr>
          <w:trHeight w:val="27"/>
        </w:trPr>
        <w:tc>
          <w:tcPr>
            <w:tcW w:w="4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505,578</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687,005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395,563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336,263</w:t>
            </w:r>
          </w:p>
        </w:tc>
        <w:tc>
          <w:tcPr>
            <w:tcW w:w="10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The Company regularly reviews its cash flow projections for acquired loans, including its estimates of lifetime principal losses. In general, based on -72-</w:t>
      </w:r>
    </w:p>
    <w:p>
      <w:pPr>
        <w:sectPr>
          <w:pgSz w:w="11900" w:h="16838" w:orient="portrait"/>
          <w:cols w:equalWidth="0" w:num="1">
            <w:col w:w="11380"/>
          </w:cols>
          <w:pgMar w:left="240" w:top="276" w:right="279" w:bottom="1440" w:gutter="0" w:footer="0" w:header="0"/>
        </w:sectPr>
      </w:pPr>
    </w:p>
    <w:bookmarkStart w:id="72" w:name="page73"/>
    <w:bookmarkEnd w:id="72"/>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stabilizing economic conditions and the Company’s success at restructuring several large acquired loans, the estimates of cash flows expected to be generated by acquired loans have increased by approximately 1%, or $109 million. The improvement reflects lower estimated lifetime principal losses of approximately $967 million, largely driven by a $108 million decrease in expected lifetime principal losses in the acquired commercial real estate portfolios. The increases in projected cash flows, including both the $122 million of principal referred to above and interest payments related thereto, resulted in a $140 million transfer from the nonaccretable balance to the accretable yield. That transfer added $14 million to interest income on the Company’s $7.1 billion acquired loan portfolio for the quarter ended June 30, 2012. Other changes in expected cash flows, including changes in interest rates and prepayments, reduced the accretable yield by approximately $31 million in the recent quarter, but had no impact on the nonaccretable balance.</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Nonaccrual loans totaled $968 million or 1.54% of total loans and leases outstanding at June 30, 2012, compared with $1.12 billion or 1.91% at June 30, 2011, $1.10 billion or 1.83% at December 31, 2011, and $1.07 billion or 1.75% at March 31, 2012.</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Accruing loans past due 90 days or more (excluding acquired loans) were $275 million or .44% of total loans and leases at June 30, 2012, compared with $240 million or .41% at June 30, 2011, $288 million or .48% at December 31, 2011 and $273 million or .45% at March 31, 2012. Those loans included loans guaranteed by government-related entities of $255 million at June 30, 2012, $206 million at June 30, 2011 and $253 million at each of December 31, 2011 and March 31, 2012.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are fully guaranteed by government–related entities and totaled $242 million at June 30, 2012, $195 million at June 30, 2011, and $241 million at each of December 31, 2011 and March 31, 2012.</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Purchased impaired loans are loans obtained in acquisition transactions subsequent to 2008 that as of the acquisition date were specifically identified as displaying signs of credit deterioration and for which the Company did not expect to collect all outstanding principal and contractually required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$561 million at June 30, 2012, or approximately 1% of total loans. Of that amount, $523 million related to the Wilmington Trust acquisition. Purchased impaired loans totaled $653 million at December 31, 2011. The decline in such loans during the first half of 2012 was predominantly the result of payments received from customers.</w:t>
      </w:r>
    </w:p>
    <w:p>
      <w:pPr>
        <w:spacing w:after="0" w:line="118"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Acquired accruing loans past due 90 days or more are loans that could not be specifically identified as impaired as of the acquisition date, but were recorded at estimated fair value as of such date. Reflecting the impact of the Wilmington Trust acquisition, such loans were $162 million at June 30, 2012, compared with $228 million at June 30, 2011 and $164 million at December 31, 2011.</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an effort to assist borrowers, the Company modified the terms of select loans. If the borrower was experiencing financial difficulty and a concession was granted, the Company considers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4 of Notes to Financial Statements.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3" w:name="page74"/>
    <w:bookmarkEnd w:id="73"/>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Residential real estate loans modified under specified loss mitigation programs prescribed by government guarantors have not been included in renegotiated loans because the loan guarantee remains in full force and, accordingly, M&amp;T has not granted a concession with respect to the ultimate collection of the original loan balance. Such loans aggregated $154 million, $129 million and $143 million at June 30, 2012, June 30, 2011 and December 31, 2011,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Nonaccrual commercial loans and leases totaled $153 million at June 30, 2012, $151 million at June 30, 2011, $164 million at December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$155 million at March 31, 2012. Nonaccrual commercial real estate loans aggregated $440 million at June 30, 2012, $610 million at June 30, 2011, $559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2011 and $542 million at March 31, 2012. Reflected in such nonaccrual loans were loans to residential homebuilders and developers totaling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 million and $317 million at June 30, 2012 and June 30, 2011, $281 million at December 31, 2011 and $267 million at March 31, 2012. The decline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commercial real estate loans classified as nonaccrual at June 30, 2012 as compared with the respective quarter-ends noted was largely attributable to the impact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recent quarter payoff of a $58 million commercial construction loan to an owner/operator of retirement and assisted living facilities, other payments received,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charge-offs of commercial real estate loans. Information about the location of nonaccrual and charged–off loans to residential real estate builders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developers as of and for the three-month period ended June 30, 2012 is presented in the accompanying table.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RESIDENTIAL BUILDER AND DEVELOPER LOANS, NET OF UNEARNED DISCOUNT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jc w:val="center"/>
              <w:ind w:right="280"/>
              <w:spacing w:after="0"/>
              <w:rPr>
                <w:sz w:val="20"/>
                <w:szCs w:val="20"/>
                <w:color w:val="auto"/>
              </w:rPr>
            </w:pPr>
            <w:r>
              <w:rPr>
                <w:rFonts w:ascii="Arial" w:cs="Arial" w:eastAsia="Arial" w:hAnsi="Arial"/>
                <w:sz w:val="14"/>
                <w:szCs w:val="14"/>
                <w:color w:val="auto"/>
                <w:w w:val="86"/>
              </w:rPr>
              <w:t>Quarter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gridSpan w:val="4"/>
          </w:tcPr>
          <w:p>
            <w:pPr>
              <w:jc w:val="right"/>
              <w:ind w:right="60"/>
              <w:spacing w:after="0" w:line="159" w:lineRule="exact"/>
              <w:rPr>
                <w:sz w:val="20"/>
                <w:szCs w:val="20"/>
                <w:color w:val="auto"/>
              </w:rPr>
            </w:pPr>
            <w:r>
              <w:rPr>
                <w:rFonts w:ascii="Arial" w:cs="Arial" w:eastAsia="Arial" w:hAnsi="Arial"/>
                <w:sz w:val="14"/>
                <w:szCs w:val="14"/>
                <w:color w:val="auto"/>
              </w:rPr>
              <w:t>June 30, 2012</w:t>
            </w: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4"/>
          </w:tcPr>
          <w:p>
            <w:pPr>
              <w:jc w:val="center"/>
              <w:ind w:right="280"/>
              <w:spacing w:after="0" w:line="159" w:lineRule="exact"/>
              <w:rPr>
                <w:sz w:val="20"/>
                <w:szCs w:val="20"/>
                <w:color w:val="auto"/>
              </w:rPr>
            </w:pPr>
            <w:r>
              <w:rPr>
                <w:rFonts w:ascii="Arial" w:cs="Arial" w:eastAsia="Arial" w:hAnsi="Arial"/>
                <w:sz w:val="14"/>
                <w:szCs w:val="14"/>
                <w:color w:val="auto"/>
                <w:w w:val="83"/>
              </w:rPr>
              <w:t>June 30, 2012</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3"/>
          </w:tcPr>
          <w:p>
            <w:pPr>
              <w:jc w:val="center"/>
              <w:ind w:right="22"/>
              <w:spacing w:after="0" w:line="131"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5"/>
          </w:tcPr>
          <w:p>
            <w:pPr>
              <w:ind w:left="440"/>
              <w:spacing w:after="0" w:line="159" w:lineRule="exact"/>
              <w:rPr>
                <w:sz w:val="20"/>
                <w:szCs w:val="20"/>
                <w:color w:val="auto"/>
              </w:rPr>
            </w:pPr>
            <w:r>
              <w:rPr>
                <w:rFonts w:ascii="Arial" w:cs="Arial" w:eastAsia="Arial" w:hAnsi="Arial"/>
                <w:sz w:val="14"/>
                <w:szCs w:val="14"/>
                <w:color w:val="auto"/>
              </w:rPr>
              <w:t>Nonaccrual</w:t>
            </w:r>
          </w:p>
        </w:tc>
        <w:tc>
          <w:tcPr>
            <w:tcW w:w="80" w:type="dxa"/>
            <w:vAlign w:val="bottom"/>
          </w:tcPr>
          <w:p>
            <w:pPr>
              <w:spacing w:after="0"/>
              <w:rPr>
                <w:sz w:val="13"/>
                <w:szCs w:val="13"/>
                <w:color w:val="auto"/>
              </w:rPr>
            </w:pPr>
          </w:p>
        </w:tc>
        <w:tc>
          <w:tcPr>
            <w:tcW w:w="17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6"/>
              </w:rPr>
              <w:t>(recoveries)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4"/>
              </w:rPr>
              <w:t>Percent of</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Outstanding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outstanding</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6"/>
              <w:spacing w:after="0" w:line="159" w:lineRule="exact"/>
              <w:rPr>
                <w:sz w:val="20"/>
                <w:szCs w:val="20"/>
                <w:color w:val="auto"/>
              </w:rPr>
            </w:pPr>
            <w:r>
              <w:rPr>
                <w:rFonts w:ascii="Arial" w:cs="Arial" w:eastAsia="Arial" w:hAnsi="Arial"/>
                <w:sz w:val="14"/>
                <w:szCs w:val="14"/>
                <w:color w:val="auto"/>
                <w:w w:val="81"/>
              </w:rPr>
              <w:t>balances(a)</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3"/>
              </w:rPr>
              <w:t>Balances</w:t>
            </w:r>
          </w:p>
        </w:tc>
        <w:tc>
          <w:tcPr>
            <w:tcW w:w="380" w:type="dxa"/>
            <w:vAlign w:val="bottom"/>
          </w:tcPr>
          <w:p>
            <w:pPr>
              <w:spacing w:after="0"/>
              <w:rPr>
                <w:sz w:val="13"/>
                <w:szCs w:val="13"/>
                <w:color w:val="auto"/>
              </w:rPr>
            </w:pPr>
          </w:p>
        </w:tc>
        <w:tc>
          <w:tcPr>
            <w:tcW w:w="112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2"/>
              </w:rPr>
              <w:t>balances</w:t>
            </w:r>
          </w:p>
        </w:tc>
        <w:tc>
          <w:tcPr>
            <w:tcW w:w="98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w w:val="90"/>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color w:val="auto"/>
              </w:rPr>
              <w:t>(dollars in thousands)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New York</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17,529</w:t>
            </w:r>
          </w:p>
        </w:tc>
        <w:tc>
          <w:tcPr>
            <w:tcW w:w="15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Pennsylvania</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258,121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76,031</w:t>
            </w:r>
          </w:p>
        </w:tc>
        <w:tc>
          <w:tcPr>
            <w:tcW w:w="1500" w:type="dxa"/>
            <w:vAlign w:val="bottom"/>
            <w:gridSpan w:val="3"/>
          </w:tcPr>
          <w:p>
            <w:pPr>
              <w:ind w:left="620"/>
              <w:spacing w:after="0"/>
              <w:rPr>
                <w:sz w:val="20"/>
                <w:szCs w:val="20"/>
                <w:color w:val="auto"/>
              </w:rPr>
            </w:pPr>
            <w:r>
              <w:rPr>
                <w:rFonts w:ascii="Arial" w:cs="Arial" w:eastAsia="Arial" w:hAnsi="Arial"/>
                <w:sz w:val="18"/>
                <w:szCs w:val="18"/>
                <w:color w:val="auto"/>
              </w:rPr>
              <w:t>29.46</w:t>
            </w: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Mid-Atlantic</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138,875</w:t>
            </w:r>
          </w:p>
        </w:tc>
        <w:tc>
          <w:tcPr>
            <w:tcW w:w="15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17.36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182,070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20,638</w:t>
            </w:r>
          </w:p>
        </w:tc>
        <w:tc>
          <w:tcPr>
            <w:tcW w:w="1500" w:type="dxa"/>
            <w:vAlign w:val="bottom"/>
            <w:gridSpan w:val="3"/>
          </w:tcPr>
          <w:p>
            <w:pPr>
              <w:ind w:left="620"/>
              <w:spacing w:after="0"/>
              <w:rPr>
                <w:sz w:val="20"/>
                <w:szCs w:val="20"/>
                <w:color w:val="auto"/>
              </w:rPr>
            </w:pPr>
            <w:r>
              <w:rPr>
                <w:rFonts w:ascii="Arial" w:cs="Arial" w:eastAsia="Arial" w:hAnsi="Arial"/>
                <w:sz w:val="18"/>
                <w:szCs w:val="18"/>
                <w:color w:val="auto"/>
              </w:rPr>
              <w:t>11.34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1,397,755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253,073</w:t>
            </w:r>
          </w:p>
        </w:tc>
        <w:tc>
          <w:tcPr>
            <w:tcW w:w="15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18.11%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10,879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approximately $64 million of loans not secured by real estate, of which approximately $13 million are in nonaccrual status.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Residential real estate loans classified as nonaccrual were $276 million at each of June 30, 2012 and June 30, 2011, $278 million at December 31, 2011 and $277 million at March 31, 2012. Depressed real estate values and high levels of delinquencies have contributed to the higher than historical levels of residential real estate loans classified as nonaccrual and to the elevated level of charge-offs, largely in the Company’s Alt-A portfolio. Included in residential real estate loans classified as nonaccrual were Alt-A loans of $101 million, $107 million, $105 million and $102 million at June 30, 2012, June 30, 2011, December 31, 2011 and March 31, 2012, respectively. Residential real estate loans past due 90 days or more and accruing interest (excluding acquired loans) totaled $252 million at June 30, 2012, compared with $195 million a year earlier, $250 million at December 31, 2011 and $249 million at March 31, 2012. A substantial portion of such amounts related to guaranteed loans repurchased from government-related entities. Information about the location of nonaccrual and charged–off residential real estate loans as of and for the quarter ended June 30, 2012 is presented in the accompanying table.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4" w:name="page75"/>
    <w:bookmarkEnd w:id="74"/>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Nonaccrual consumer loans totaled $99 million and $81 million at June 30, 2012 and 2011, respectively, compared with $97 million at December 31, 2011 and $91 million at March 31, 2012. Included in nonaccrual consumer loans at June 30, 2012, June 30, 2011, December 31, 2011 and March 31, 2012 were automobile loans of $24 million, $27 million, $27 million and $23 million, respectively; recreational vehicle loans of $10 million, $9 million, $13 million and $11 million, respectively; and outstanding balances of home equity loans and lines of credit, including junior lien Alt-A loans, of $55 million, $39 million, $47 million and $48 million, respectively. Information about the location of nonaccrual and charged–off home equity loans and lines of credit as of and for the quarter ended June 30, 2012 is presented in the accompanying table. As noted in the table, in general, net charge-offs as a percentage of average loans for junior lien portfolios are higher than those for first lien portfolios.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Real estate and other foreclosed assets were $116 million at June 30, 2012, compared with $159 million at June 30, 2011, $157 million at December 31, 2011 and $140 million at March 31, 2012. The declines in such assets at the two most recent quarter-ends as compared with the respective 2011 dates and the recent quarter-end as compared with March 31, 2012 were due predominantly to sales of such assets, partially offset by additions of foreclosed assets. At June 30, 2012, the Company’s holding of residential real estate-related properties comprised 65% of foreclosed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SELECTED RESIDENTIAL REAL ESTATE-RELATED LOAN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Arial" w:cs="Arial" w:eastAsia="Arial" w:hAnsi="Arial"/>
                <w:sz w:val="14"/>
                <w:szCs w:val="14"/>
                <w:color w:val="auto"/>
                <w:w w:val="86"/>
              </w:rPr>
              <w:t>Quarter ended</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right"/>
              <w:spacing w:after="0" w:line="159" w:lineRule="exact"/>
              <w:rPr>
                <w:sz w:val="20"/>
                <w:szCs w:val="20"/>
                <w:color w:val="auto"/>
              </w:rPr>
            </w:pPr>
            <w:r>
              <w:rPr>
                <w:rFonts w:ascii="Arial" w:cs="Arial" w:eastAsia="Arial" w:hAnsi="Arial"/>
                <w:sz w:val="14"/>
                <w:szCs w:val="14"/>
                <w:color w:val="auto"/>
                <w:w w:val="96"/>
              </w:rPr>
              <w:t>June 30, 2012</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3"/>
              </w:rPr>
              <w:t>June 30, 2012</w:t>
            </w: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ind w:right="34"/>
              <w:spacing w:after="0" w:line="131" w:lineRule="exact"/>
              <w:rPr>
                <w:sz w:val="20"/>
                <w:szCs w:val="20"/>
                <w:color w:val="auto"/>
              </w:rPr>
            </w:pPr>
            <w:r>
              <w:rPr>
                <w:rFonts w:ascii="Arial" w:cs="Arial" w:eastAsia="Arial" w:hAnsi="Arial"/>
                <w:sz w:val="14"/>
                <w:szCs w:val="14"/>
                <w:color w:val="auto"/>
                <w:w w:val="87"/>
              </w:rPr>
              <w:t>Net charge-offs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jc w:val="right"/>
              <w:ind w:right="1020"/>
              <w:spacing w:after="0" w:line="159" w:lineRule="exact"/>
              <w:rPr>
                <w:sz w:val="20"/>
                <w:szCs w:val="20"/>
                <w:color w:val="auto"/>
              </w:rPr>
            </w:pPr>
            <w:r>
              <w:rPr>
                <w:rFonts w:ascii="Arial" w:cs="Arial" w:eastAsia="Arial" w:hAnsi="Arial"/>
                <w:sz w:val="14"/>
                <w:szCs w:val="14"/>
                <w:color w:val="auto"/>
              </w:rPr>
              <w:t>Nonaccrual</w:t>
            </w:r>
          </w:p>
        </w:tc>
        <w:tc>
          <w:tcPr>
            <w:tcW w:w="100" w:type="dxa"/>
            <w:vAlign w:val="bottom"/>
          </w:tcPr>
          <w:p>
            <w:pPr>
              <w:spacing w:after="0"/>
              <w:rPr>
                <w:sz w:val="13"/>
                <w:szCs w:val="13"/>
                <w:color w:val="auto"/>
              </w:rPr>
            </w:pPr>
          </w:p>
        </w:tc>
        <w:tc>
          <w:tcPr>
            <w:tcW w:w="1640" w:type="dxa"/>
            <w:vAlign w:val="bottom"/>
            <w:gridSpan w:val="4"/>
          </w:tcPr>
          <w:p>
            <w:pPr>
              <w:jc w:val="center"/>
              <w:ind w:right="300"/>
              <w:spacing w:after="0" w:line="159" w:lineRule="exact"/>
              <w:rPr>
                <w:sz w:val="20"/>
                <w:szCs w:val="20"/>
                <w:color w:val="auto"/>
              </w:rPr>
            </w:pPr>
            <w:r>
              <w:rPr>
                <w:rFonts w:ascii="Arial" w:cs="Arial" w:eastAsia="Arial" w:hAnsi="Arial"/>
                <w:sz w:val="14"/>
                <w:szCs w:val="14"/>
                <w:color w:val="auto"/>
                <w:w w:val="89"/>
              </w:rPr>
              <w:t>(recoveries)</w:t>
            </w:r>
          </w:p>
        </w:tc>
        <w:tc>
          <w:tcPr>
            <w:tcW w:w="0" w:type="dxa"/>
            <w:vAlign w:val="bottom"/>
          </w:tcPr>
          <w:p>
            <w:pPr>
              <w:spacing w:after="0"/>
              <w:rPr>
                <w:sz w:val="1"/>
                <w:szCs w:val="1"/>
                <w:color w:val="auto"/>
              </w:rPr>
            </w:pPr>
          </w:p>
        </w:tc>
      </w:tr>
      <w:tr>
        <w:trPr>
          <w:trHeight w:val="131"/>
        </w:trPr>
        <w:tc>
          <w:tcPr>
            <w:tcW w:w="38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2"/>
              </w:rPr>
              <w:t>Annualized</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percent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87"/>
              </w:rPr>
              <w:t>Percent of</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2"/>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0"/>
              </w:rPr>
              <w:t>Outstanding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outstanding</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8"/>
              </w:rPr>
              <w:t>outstanding</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5"/>
              </w:rPr>
              <w:t>balances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83"/>
              </w:rPr>
              <w:t>Balances</w:t>
            </w:r>
          </w:p>
        </w:tc>
        <w:tc>
          <w:tcPr>
            <w:tcW w:w="400" w:type="dxa"/>
            <w:vAlign w:val="bottom"/>
          </w:tcPr>
          <w:p>
            <w:pPr>
              <w:spacing w:after="0"/>
              <w:rPr>
                <w:sz w:val="13"/>
                <w:szCs w:val="13"/>
                <w:color w:val="auto"/>
              </w:rPr>
            </w:pPr>
          </w:p>
        </w:tc>
        <w:tc>
          <w:tcPr>
            <w:tcW w:w="112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2"/>
              </w:rPr>
              <w:t>balances</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Balances</w:t>
            </w: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balances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color w:val="auto"/>
                <w:w w:val="86"/>
              </w:rPr>
              <w:t>(dollars 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3,682,218</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53,463</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879</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1,307,321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2,184,147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36,343</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1,012</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2,119,876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1,979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9,293,562</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171,859</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3,891</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 loans: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5,392</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37,253</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3,078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first mortgages: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76,007</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19,009</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824</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91,492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15,881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535</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297,059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63,342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3,729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480,710</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100,915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5,408</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Alt-A junior lien:</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2,046</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17,205</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1,284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766</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loans: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22,780</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121,119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103,393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248,134</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4,354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First lien home equity lines: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926,547</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4,057</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556,332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2,046</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2,129,307</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9,774</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loans: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50,547</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3,453</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331</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169,020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369</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294,728</w:t>
            </w:r>
          </w:p>
        </w:tc>
        <w:tc>
          <w:tcPr>
            <w:tcW w:w="1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6,139</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919</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Junior lien home equity lines: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New York</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1,489,236</w:t>
            </w: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24,550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2,580</w:t>
            </w:r>
          </w:p>
        </w:tc>
        <w:tc>
          <w:tcPr>
            <w:tcW w:w="4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Pennsylvania</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Mid-Atlantic</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1,638,692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3,914</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1,842</w:t>
            </w: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80" w:type="dxa"/>
            <w:vAlign w:val="bottom"/>
          </w:tcPr>
          <w:p>
            <w:pPr>
              <w:ind w:left="440"/>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3,811,359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32,958</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5,075</w:t>
            </w:r>
          </w:p>
        </w:tc>
        <w:tc>
          <w:tcPr>
            <w:tcW w:w="4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420" w:type="dxa"/>
            <w:vAlign w:val="bottom"/>
            <w:vMerge w:val="restart"/>
          </w:tcPr>
          <w:p>
            <w:pPr>
              <w:jc w:val="right"/>
              <w:ind w:right="352"/>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comparative summary of nonperforming assets and certain past due loan data and credit quality ratios is presented in the accompanying table.</w:t>
      </w:r>
    </w:p>
    <w:p>
      <w:pPr>
        <w:spacing w:after="0" w:line="275" w:lineRule="exact"/>
        <w:rPr>
          <w:sz w:val="20"/>
          <w:szCs w:val="20"/>
          <w:color w:val="auto"/>
        </w:rPr>
      </w:pPr>
    </w:p>
    <w:p>
      <w:pPr>
        <w:ind w:right="4280"/>
        <w:spacing w:after="0" w:line="362" w:lineRule="auto"/>
        <w:rPr>
          <w:sz w:val="20"/>
          <w:szCs w:val="20"/>
          <w:color w:val="auto"/>
        </w:rPr>
      </w:pPr>
      <w:r>
        <w:rPr>
          <w:rFonts w:ascii="Arial" w:cs="Arial" w:eastAsia="Arial" w:hAnsi="Arial"/>
          <w:sz w:val="18"/>
          <w:szCs w:val="18"/>
          <w:color w:val="auto"/>
        </w:rPr>
        <w:t>NONPERFORMING ASSET AND PAST DUE, RENEGOTIATED AND IMPAIRED LOAN DATA Dollars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ind w:left="500"/>
              <w:spacing w:after="0"/>
              <w:rPr>
                <w:sz w:val="20"/>
                <w:szCs w:val="20"/>
                <w:color w:val="auto"/>
              </w:rPr>
            </w:pPr>
            <w:r>
              <w:rPr>
                <w:rFonts w:ascii="Arial" w:cs="Arial" w:eastAsia="Arial" w:hAnsi="Arial"/>
                <w:sz w:val="14"/>
                <w:szCs w:val="14"/>
                <w:color w:val="auto"/>
              </w:rPr>
              <w:t>2012 Quarters</w:t>
            </w:r>
          </w:p>
        </w:tc>
        <w:tc>
          <w:tcPr>
            <w:tcW w:w="76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color w:val="auto"/>
                <w:w w:val="87"/>
              </w:rPr>
              <w:t>2011 Quarters</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16"/>
              <w:spacing w:after="0" w:line="159" w:lineRule="exact"/>
              <w:rPr>
                <w:sz w:val="20"/>
                <w:szCs w:val="20"/>
                <w:color w:val="auto"/>
              </w:rPr>
            </w:pPr>
            <w:r>
              <w:rPr>
                <w:rFonts w:ascii="Arial" w:cs="Arial" w:eastAsia="Arial" w:hAnsi="Arial"/>
                <w:sz w:val="14"/>
                <w:szCs w:val="14"/>
                <w:color w:val="auto"/>
              </w:rPr>
              <w:t>Second</w:t>
            </w:r>
          </w:p>
        </w:tc>
        <w:tc>
          <w:tcPr>
            <w:tcW w:w="400" w:type="dxa"/>
            <w:vAlign w:val="bottom"/>
          </w:tcPr>
          <w:p>
            <w:pPr>
              <w:spacing w:after="0"/>
              <w:rPr>
                <w:sz w:val="13"/>
                <w:szCs w:val="13"/>
                <w:color w:val="auto"/>
              </w:rPr>
            </w:pPr>
          </w:p>
        </w:tc>
        <w:tc>
          <w:tcPr>
            <w:tcW w:w="114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First</w:t>
            </w:r>
          </w:p>
        </w:tc>
        <w:tc>
          <w:tcPr>
            <w:tcW w:w="76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Fourth</w:t>
            </w:r>
          </w:p>
        </w:tc>
        <w:tc>
          <w:tcPr>
            <w:tcW w:w="400" w:type="dxa"/>
            <w:vAlign w:val="bottom"/>
          </w:tcPr>
          <w:p>
            <w:pPr>
              <w:spacing w:after="0"/>
              <w:rPr>
                <w:sz w:val="13"/>
                <w:szCs w:val="13"/>
                <w:color w:val="auto"/>
              </w:rPr>
            </w:pPr>
          </w:p>
        </w:tc>
        <w:tc>
          <w:tcPr>
            <w:tcW w:w="1140" w:type="dxa"/>
            <w:vAlign w:val="bottom"/>
            <w:gridSpan w:val="2"/>
          </w:tcPr>
          <w:p>
            <w:pPr>
              <w:jc w:val="center"/>
              <w:ind w:right="400"/>
              <w:spacing w:after="0" w:line="159" w:lineRule="exact"/>
              <w:rPr>
                <w:sz w:val="20"/>
                <w:szCs w:val="20"/>
                <w:color w:val="auto"/>
              </w:rPr>
            </w:pPr>
            <w:r>
              <w:rPr>
                <w:rFonts w:ascii="Arial" w:cs="Arial" w:eastAsia="Arial" w:hAnsi="Arial"/>
                <w:sz w:val="14"/>
                <w:szCs w:val="14"/>
                <w:color w:val="auto"/>
                <w:w w:val="93"/>
              </w:rPr>
              <w:t>Third</w:t>
            </w:r>
          </w:p>
        </w:tc>
        <w:tc>
          <w:tcPr>
            <w:tcW w:w="96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Second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Nonaccrual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968,328</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1,065,229</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1,097,581</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1,113,788</w:t>
            </w:r>
          </w:p>
        </w:tc>
        <w:tc>
          <w:tcPr>
            <w:tcW w:w="4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1,117,584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115,580</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140,297</w:t>
            </w:r>
          </w:p>
        </w:tc>
        <w:tc>
          <w:tcPr>
            <w:tcW w:w="3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156,592</w:t>
            </w: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149,868</w:t>
            </w:r>
          </w:p>
        </w:tc>
        <w:tc>
          <w:tcPr>
            <w:tcW w:w="4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158,873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1,083,908</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1,205,526</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1,254,173</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1,263,656</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1,276,457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 (a)</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274,598</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273,081</w:t>
            </w:r>
          </w:p>
        </w:tc>
        <w:tc>
          <w:tcPr>
            <w:tcW w:w="760" w:type="dxa"/>
            <w:vAlign w:val="bottom"/>
          </w:tcPr>
          <w:p>
            <w:pPr>
              <w:jc w:val="right"/>
              <w:spacing w:after="0"/>
              <w:rPr>
                <w:sz w:val="20"/>
                <w:szCs w:val="20"/>
                <w:color w:val="auto"/>
              </w:rPr>
            </w:pPr>
            <w:r>
              <w:rPr>
                <w:rFonts w:ascii="Arial" w:cs="Arial" w:eastAsia="Arial" w:hAnsi="Arial"/>
                <w:sz w:val="18"/>
                <w:szCs w:val="18"/>
                <w:color w:val="auto"/>
              </w:rPr>
              <w:t>287,876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239,970</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239,527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Nonaccrual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48,712</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44,717</w:t>
            </w:r>
          </w:p>
        </w:tc>
        <w:tc>
          <w:tcPr>
            <w:tcW w:w="760" w:type="dxa"/>
            <w:vAlign w:val="bottom"/>
          </w:tcPr>
          <w:p>
            <w:pPr>
              <w:jc w:val="right"/>
              <w:spacing w:after="0"/>
              <w:rPr>
                <w:sz w:val="20"/>
                <w:szCs w:val="20"/>
                <w:color w:val="auto"/>
              </w:rPr>
            </w:pPr>
            <w:r>
              <w:rPr>
                <w:rFonts w:ascii="Arial" w:cs="Arial" w:eastAsia="Arial" w:hAnsi="Arial"/>
                <w:sz w:val="18"/>
                <w:szCs w:val="18"/>
                <w:color w:val="auto"/>
              </w:rPr>
              <w:t>40,529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32,937</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Accruing loans past due 90 days or more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255,495</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252,622</w:t>
            </w:r>
          </w:p>
        </w:tc>
        <w:tc>
          <w:tcPr>
            <w:tcW w:w="3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252,503</w:t>
            </w: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210,407</w:t>
            </w:r>
          </w:p>
        </w:tc>
        <w:tc>
          <w:tcPr>
            <w:tcW w:w="4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267,111</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213,024</w:t>
            </w:r>
          </w:p>
        </w:tc>
        <w:tc>
          <w:tcPr>
            <w:tcW w:w="760" w:type="dxa"/>
            <w:vAlign w:val="bottom"/>
          </w:tcPr>
          <w:p>
            <w:pPr>
              <w:jc w:val="right"/>
              <w:spacing w:after="0"/>
              <w:rPr>
                <w:sz w:val="20"/>
                <w:szCs w:val="20"/>
                <w:color w:val="auto"/>
              </w:rPr>
            </w:pPr>
            <w:r>
              <w:rPr>
                <w:rFonts w:ascii="Arial" w:cs="Arial" w:eastAsia="Arial" w:hAnsi="Arial"/>
                <w:sz w:val="18"/>
                <w:szCs w:val="18"/>
                <w:color w:val="auto"/>
              </w:rPr>
              <w:t>214,379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223,233</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234,726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Acquired accruing loans past due 90 days or more (b)</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162,487</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165,163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211,958</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228,304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 (c):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customer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1,037,458</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1,158,829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1,267,762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1,393,777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1,473,237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Carrying amount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560,700</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604,779</w:t>
            </w:r>
          </w:p>
        </w:tc>
        <w:tc>
          <w:tcPr>
            <w:tcW w:w="760" w:type="dxa"/>
            <w:vAlign w:val="bottom"/>
          </w:tcPr>
          <w:p>
            <w:pPr>
              <w:jc w:val="right"/>
              <w:spacing w:after="0"/>
              <w:rPr>
                <w:sz w:val="20"/>
                <w:szCs w:val="20"/>
                <w:color w:val="auto"/>
              </w:rPr>
            </w:pPr>
            <w:r>
              <w:rPr>
                <w:rFonts w:ascii="Arial" w:cs="Arial" w:eastAsia="Arial" w:hAnsi="Arial"/>
                <w:sz w:val="18"/>
                <w:szCs w:val="18"/>
                <w:color w:val="auto"/>
              </w:rPr>
              <w:t>653,362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703,632</w:t>
            </w:r>
          </w:p>
        </w:tc>
        <w:tc>
          <w:tcPr>
            <w:tcW w:w="4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752,978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08"/>
        </w:trPr>
        <w:tc>
          <w:tcPr>
            <w:tcW w:w="5820" w:type="dxa"/>
            <w:vAlign w:val="bottom"/>
          </w:tcPr>
          <w:p>
            <w:pPr>
              <w:spacing w:after="0"/>
              <w:rPr>
                <w:sz w:val="20"/>
                <w:szCs w:val="20"/>
                <w:color w:val="auto"/>
              </w:rPr>
            </w:pPr>
            <w:r>
              <w:rPr>
                <w:rFonts w:ascii="Arial" w:cs="Arial" w:eastAsia="Arial" w:hAnsi="Arial"/>
                <w:sz w:val="18"/>
                <w:szCs w:val="18"/>
                <w:color w:val="auto"/>
                <w:w w:val="95"/>
              </w:rPr>
              <w:t>Nonperforming assets to total net loans and leases and real estate and other</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820" w:type="dxa"/>
            <w:vAlign w:val="bottom"/>
          </w:tcPr>
          <w:p>
            <w:pPr>
              <w:ind w:left="220"/>
              <w:spacing w:after="0"/>
              <w:rPr>
                <w:sz w:val="20"/>
                <w:szCs w:val="20"/>
                <w:color w:val="auto"/>
              </w:rPr>
            </w:pPr>
            <w:r>
              <w:rPr>
                <w:rFonts w:ascii="Arial" w:cs="Arial" w:eastAsia="Arial" w:hAnsi="Arial"/>
                <w:sz w:val="18"/>
                <w:szCs w:val="18"/>
                <w:color w:val="auto"/>
              </w:rPr>
              <w:t>foreclosed assets</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Accruing loans past due 90 days or more (a) to total loans and leases, net of</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unearned discount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5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acquired loans. Predominately residential mortgage loans.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63"/>
        </w:numPr>
        <w:rPr>
          <w:rFonts w:ascii="Arial" w:cs="Arial" w:eastAsia="Arial" w:hAnsi="Arial"/>
          <w:sz w:val="16"/>
          <w:szCs w:val="16"/>
          <w:i w:val="1"/>
          <w:iCs w:val="1"/>
          <w:color w:val="auto"/>
        </w:rPr>
      </w:pPr>
      <w:r>
        <w:rPr>
          <w:rFonts w:ascii="Arial" w:cs="Arial" w:eastAsia="Arial" w:hAnsi="Arial"/>
          <w:sz w:val="16"/>
          <w:szCs w:val="16"/>
          <w:i w:val="1"/>
          <w:iCs w:val="1"/>
          <w:color w:val="auto"/>
        </w:rPr>
        <w:t>Acquired loans that were recorded at fair value at acquisition date. This category does not include purchased impaired loans that are presented separately.</w:t>
      </w:r>
    </w:p>
    <w:p>
      <w:pPr>
        <w:spacing w:after="0" w:line="32" w:lineRule="exact"/>
        <w:rPr>
          <w:rFonts w:ascii="Arial" w:cs="Arial" w:eastAsia="Arial" w:hAnsi="Arial"/>
          <w:sz w:val="16"/>
          <w:szCs w:val="16"/>
          <w:i w:val="1"/>
          <w:iCs w:val="1"/>
          <w:color w:val="auto"/>
        </w:rPr>
      </w:pPr>
    </w:p>
    <w:p>
      <w:pPr>
        <w:ind w:left="460" w:hanging="452"/>
        <w:spacing w:after="0"/>
        <w:tabs>
          <w:tab w:leader="none" w:pos="460" w:val="left"/>
        </w:tabs>
        <w:numPr>
          <w:ilvl w:val="0"/>
          <w:numId w:val="63"/>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that were impaired at acquisition date and recorded at fair value.</w:t>
      </w:r>
    </w:p>
    <w:p>
      <w:pPr>
        <w:spacing w:after="0" w:line="16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77" w:name="page78"/>
    <w:bookmarkEnd w:id="77"/>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and the other factors described above, included, but were not limited to: (i) the impact of residential real estate values on the Company’s portfolio of loans to residential real estate builders and developers and other loans secured by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repayment performance 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Management cautiously and conservatively evaluated the allowance for credit losses as of June 30, 2012 in light of: (i) residential real estate values and the level of delinquencies of loans secured by residential real estate; (ii) economic conditions in the markets served by the Company; (iii) continuing weakness in industrial employment in upstate New York and central Pennsylvania; (iv) the significant subjectivity involved in commercial real estate valuations for properties located in areas with stagnant or low growth economies; and (v) the amount of loan growth experienced by the Company. Considerable concerns continue to exist about economic conditions in both national and international markets; the level and volatility of energy prices; a weakened housing market; the troubled state of financial and credit markets; Federal Reserve positioning of monetary policy; high levels of unemployment; the impact of economic conditions on businesses’ operations and abilities to repay loans; continued stagnant population growth in the upstate New York and central Pennsylvania regions; and continued uncertainty about possible responses to state and local government budget deficits. Although the U.S. economy experienced recession and weak economic conditions during recent years, the impact of those conditions was not as pronounced on borrowers in the traditionally slower growth regions of upstate New York and central Pennsylvania. Approximately 60% of the Company’s loans are to customers in New York State and Pennsylvania. Home prices in upstate New York and central Pennsylvania were relatively stable in recent years, in contrast to declines in values in many other regions of the country. Therefore, despite the conditions, as previously described, the most severe credit issues experienced by the Company during the recent financial downturn were centered around residential real estate, including loans to builders and developers of residential real estate, in areas other than New York State and Pennsylvania.</w:t>
      </w:r>
    </w:p>
    <w:p>
      <w:pPr>
        <w:spacing w:after="0" w:line="12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Company utilizes a loan grading system which is applied to all commercial and commercial real estate loans. Loan grades are utilized to differentiate risk within the portfolio and consider the expectations of default for each loan. 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Reflecting more stable economic conditions in the regions served by the Company and continued workouts of problem credits, criticized commercial loans and commercial real estate loans improved to $2.5 billion at June 30, 2012 from $2.8 billion at December 31, 2011 and $3.2 billion at June 30, 2011. Loan officers with the support of loan review personnel in different geographic locations are responsible to continuously review and reassign loan grades to pass and criticized loans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280" w:right="259" w:bottom="1440" w:gutter="0" w:footer="0" w:header="0"/>
        </w:sectPr>
      </w:pPr>
    </w:p>
    <w:bookmarkStart w:id="78" w:name="page79"/>
    <w:bookmarkEnd w:id="78"/>
    <w:p>
      <w:pPr>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on their detailed knowledge of individual borrowers and their judgment of the impact on such borrowers resulting from changing conditions in their respective geographic regions. On a quarterly basis, the Company’s centralized loan review department reviews all criticized commercial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reviewed.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loan review department. Accordingly, for real estate collateral securing larger commercial and commercial real estate loans, estimated collateral values are based on current appraisals and estimates of value. For non-real estate loans, collateral is assigned a discounted estimated liquidation value and, depending on the nature of the collateral, is verified through field exams or other procedures. In assessing collateral, real estate and non-real estate values are reduced by an estimate of selling costs. With regard to residential real estate loans, the Company expanded its collections and loan workout staff and further refined its loss identification and estimation techniques by reference to loan performance and house price depreciation data in specific areas of the country where collateral that was securing the Company’s residential real estate loans was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At June 30, 2012, approximately 37% of the Company’s home equity portfolio consisted of first lien loans. Of the remaining junior lien loans in the portfolio, approximately 83% (or approximately 54% of the aggregate home equity portfolio) consisted of junior lien loans that were behind a first lien mortgage loan that was not owned or serviced by the Company. For the junior lien loans where an entity other than the Company held a first lien mortgage, the Company cannot precisely determine whether there is a delinquency on such first lien mortgage. In monitoring the credit quality of its home equity portfolio for purposes of determining the allowance for credit losses, the Company reviews delinquency and nonaccrual information and considers recent charge-off experience. Additionally, the Company generally evaluates home equity loans and lines of credit that are more than 150 days past due for collectibility on a loan-by-loan basis and the excess of the loan balance over the net realizable value of the property collateralizing the loan is charged-off at that time. Home equity line of credit terms vary but such lines are generally originated with an open draw period of ten years followed by an amortization period of up to twenty years. At June 30, 2012, approximately 97% of all outstanding balances of home equity lines of credit related to lines that were still in the draw period, the weighted-average remaining draw periods were approximately five years, and approximately 15%</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were making contractually allowed payments that do not include any repayment of principal.</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Reflecting the factors and conditions as described herein, the Company has experienced historically high levels of nonaccrual loans and net charge-offs of residential real estate-related loans, including first and junior lien Alt-A mortgage loans and loans to builders and developers of residential real estate. The Company has also experienced higher than historical levels of nonaccrual commercial real estate loans since 2009.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determining the allowance for credit losses, the Company estimates losses attributable to specific troubled credits identified through both normal and detailed or intensified credit review processes and also estimates losses inherent in other loans and leases. In quantifying incurred losses, the Company considers the factors and uses the techniques described herein and in note 4 of Notes to Financial Statements. For purposes of determining the level of the allowance for credit losses, the Company segments its loan and lease portfolio by loan type. The amount of specific loss components in the Company’s loan and lease portfolios is determined through a loan by 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loans secured by residential real estate and other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 repayment of any first lien position prior to recovering amounts on a junior lien position. Approximately 63% of the Company’s home equity portfolio consists of junior lien loans and lines of credit. The Company generally evaluates residential real estate loans and home equity loans and lines of credit that are more than 150 days past due for collectibility on a loan-by-loan basis and the excess of the loan balance over the net realizable value of the property collateralizing the loan is charged-off at that time. Except for consumer loans and leases and residential real estate loans that are considered smaller balance homogeneous loans and are evaluated collectively and loans obtained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80" w:name="page81"/>
    <w:bookmarkEnd w:id="80"/>
    <w:p>
      <w:pPr>
        <w:ind w:right="26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impaired. 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The impact of estimated future credit losses represents the predominant difference between contractually required payments at acquisition and the cash flows expected to be collected at acquisition.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4 of Notes to Financial Statements.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Management believes that the allowance for credit losses at June 30, 2012 appropriately reflected credit losses inherent in the portfolio as of that date. The allowance for credit losses was $917 million, or 1.46% of total loans and leases at June 30, 2012, compared with $908 million or 1.55% a year earlier, $908 million or 1.51% at December 31, 2011 and $909 million or 1.49% at March 31, 2012. The declining ratio of the allowance to total loans and leases primarily reflects the impact of improved credit quality on that metric.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95% at June 30, 2012, compared with 81% a year earlier, 83% at December 31, 2011 and 85% at March 31, 2012. Given the Company’s general position as a secured lender and its practice of charging off loan balances when collection is deemed doubtful, that ratio and changes in that ratio are generally not an indicative measure of the adequacy of the Company’s allowance for credit losses, nor does management rely upon that ratio in determining the allowance. The level of the allowance reflects management’s evaluation of the loan and lease portfolio as of each respective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Other income totaled $392 million in the second quarter of 2012, compared with $502 million in the year-earlier quarter and $377 million in the first quarter of 2012. Reflected in those amounts were net losses on investment securities of $17 million in the recent quarter and $11 million in the initial quarter of 2012, compared with net gains of $84 million in the second quarter of 2011. During the second quarter of 2011, the Company sold investment securities held in its available-for-sale portfolio having an amortized cost of approximately $1.21 billion, resulting in a gain of $111 million. The securities sold were predominantly residential mortgage-backed securities guaranteed by Fannie Mae and Freddie Mac, collateralized debt obligations and capital preferred securities. Realized gains and losses from sales of investment securities were not significant in the first and second quarters of 2012. Included in net securities gains and losses in each of the quarters were other-than-temporary impairment charges of $16 million in the recent quarter, $27 million in the second quarter of 2011 and $11 million in the first quarter of 2012. Those other-than-temporary impairment charges were predominantly related to the Company’s holdings of privately issued CMOs and reflect the impact of lower real estate values and higher delinquencies on real estate loans underlying those impaired securities. Also reflected in noninterest income during the second quarter of 2011 was the $65 million gain associated with the Wilmington Trust acquisition.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80" w:right="279" w:bottom="1440" w:gutter="0" w:footer="0" w:header="0"/>
        </w:sectPr>
      </w:pPr>
    </w:p>
    <w:bookmarkStart w:id="81" w:name="page82"/>
    <w:bookmarkEnd w:id="81"/>
    <w:p>
      <w:pPr>
        <w:ind w:firstLine="456"/>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Excluding gains and losses on bank investment securities (including other-than-temporary impairment losses) in all periods and the acquisition-related gain in the second quarter of 2011, other income totaled $408 million in the second quarter of 2012, compared with $353 million in the year-earlier quarter and $388 million in the initial quarter of 2012. Contributing to the rise in such income in the recent quarter as compared with the second quarter of 2011 and the initial 2012 quarter were higher trust income, predominantly related to the operations obtained in the Wilmington Trust acquisition, and increased mortgage banking revenues.</w:t>
      </w:r>
    </w:p>
    <w:p>
      <w:pPr>
        <w:spacing w:after="0" w:line="9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Mortgage banking revenues were $70 million in the recently completed quarter, up from $42 million in the year-earlier quarter and $56 million in the first quarter of 2012.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Residential mortgage banking revenues, consisting of realized gains from sales of residential mortgage loans and loan servicing rights, unrealized gains and losses on residential mortgage loans held for sale and related commitments, residential mortgage loan servicing fees, and other residential mortgage loan-related fees and income, were $47 million in the second quarter of 2012, compared with $25 million in the year-earlier period and $38 million in the first quarter of 2012. The higher level of residential mortgage banking revenues in the recent quarter as compared with the second quarter of 2011 and the initial 2012 quarter was due to increased volumes of loans originated for sale and wider margins related to such loans. The primary contributor to the higher volumes and wider margins was the Company’s involvement in the U.S. government’s Home Affordable Refinance Program (“HARP 2.0”), which allows homeowners to refinance their Fannie Mae or Freddie Mac mortgages when the value of their home has fallen such that they have little or no equity.</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New commitments to originate residential mortgage loans to be sold were approximately $856 million in the recent quarter, compared with $742 million and $439 million in the second quarter of 2011 and the first quarter of 2012, respectively. Realized gains from sales of residential mortgage loans and loan servicing rights (net of the impact of costs associated with obligations to repurchase mortgage loans originated for sale) and recognized net unrealized gains and losses attributable to residential mortgage loans held for sale, commitments to originate loans for sale and commitments to sell loans totaled to a gain of $20 million in the recently completed quarter, compared with gains of $5 million in the second quarter of 2011 and $10 million in the initial 2012 quarter.</w:t>
      </w:r>
    </w:p>
    <w:p>
      <w:pPr>
        <w:spacing w:after="0" w:line="1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Company is contractually obligated to repurchase previously sold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for losses related to its obligations to loan purchasers. The amount of those charges varies based on the volume of loans sold, the level of reimbursement requests received from loan purchasers and estimates of losses that may be associated with previously sold loans. Residential mortgage banking revenues during the three-month periods ended June 30, 2012, June 30, 2011 and March 31, 2012 were reduced by approximately $10 million, $9 million and $4 million, respectively, related to the actual or anticipated settlement of repurchase obligations. The increase in that charge in the recent quarter as compared with the immediately preceding quarter is reflective of general market conditions for residential real estate and sales volumes.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82" w:name="page83"/>
    <w:bookmarkEnd w:id="82"/>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Late in the third quarter of 2010, the Company began to originate certain residential real estate loans to be held in its loan portfolio, rather than continuing to sell such loans. The retained loans conform to Fannie Mae and Freddie Mac underwriting guidelines. Retaining those residential real estate loans offset the impact of the declining investment securities portfolio resulting from maturities and paydowns of residential mortgage-backed securities while providing high quality assets earning a reasonable yield. From March through June 2011, the Company resumed originating for sale the majority of new residential real estate loans. However, beginning in July 2011, the Company resumed originating the majority of residential real estate loans to be held in its loan portfolio. The decision to retain for portfolio the majority of such loans originated rather than selling them resulted in a reduction of residential mortgage banking revenues of approximately $22 million and $21 million during the three-month periods ended June 30, 2012 and March 31, 2012, respectively.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Loans held for sale that are secured by residential real estate aggregated $333 million at June 30, 2012, $286 million at June 30, 2011 and $210 million at December 31, 2011. Commitments to sell residential mortgage loans and commitments to originate residential mortgage loans for sale at pre-determined rates were $825 million and $771 million, respectively, at June 30, 2012, $594 million and $483 million, respectively, at June 30, 2011, and $296 million and $182 million, respectively, at December 31, 2011. Net unrealized gains on residential mortgage loans held for sale, commitments to sell loans, and commitments to originate loans for sale were $34 million and $12 million at June 30, 2012 and 2011, respectively, and $6 million at December 31, 2011. Changes in such net unrealized gains are recorded in mortgage banking revenues and resulted in net increases in revenues of $21 million in the recent quarter, $2 million in the second quarter of 2011 and $7 million in the initial 2012 quarter.</w:t>
      </w:r>
    </w:p>
    <w:p>
      <w:pPr>
        <w:spacing w:after="0" w:line="11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Revenues from servicing residential mortgage loans for others were $25 million in the recent quarter, compared with $19 million and $27 million during the quarters ended June 30, 2011 and March 31, 2012, respectively. Included in such servicing revenues were amounts related to purchased servicing rights associated with small balance commercial mortgage loans, which totaled $5 million in each of the first and second quarters of 2012, compared with $6 million in the second quarter of 2011. Residential mortgage loans serviced for others totaled $37.9 billion at June 30, 2012, compared with $21.6 billion at June 30, 2011, $39.4 billion at March 31, 2012 and $40.7 billion at December 31, 2011, including the small balance commercial mortgage loans noted above of $4.2 billion at June 30, 2012, $4.8 billion at June 30, 2011, $4.3 billion at March 31, 2012 and $4.4 billion at December 31, 2011. Reflected in residential mortgage loans serviced for others were loans sub-serviced for others of $13.5 billion at June 30, 2012, $13.9 billion at March 31, 2012 and $14.3 billion at December 31, 2011. Loans sub-serviced for others were not significant at June 30, 2011. On September 30, 2011, the Company purchased servicing rights associated with residential mortgage loans having outstanding principal balances of approximately $6.7 billion. The outstanding balances of such loans as of June 30, 2012, March 31, 2012 and December 31, 2011 were $5.8 billion, $6.1 billion and $6.4 billion, respectively. Approximately $5 million of servicing fees relating to that portfolio of loans were included in mortgage banking revenues in each of the three-month periods ended June 30, 2012, March 31, 2012 and December 31, 2011. Capitalized residential mortgage servicing assets, net of any applicable valuation allowance for impairment, aggregated $124 million at June 30, 2012, compared with $111 million a year earlier, $135 million at March 31, 2012 and $145 million at December 31, 2011. The valuation allowance for possible impairment of residential mortgage servicing assets totaled approximately $1 million at each of June 30, 2012 and March 31, 2012 and $2 million at December 31, 2011. There was no similar valuation allowance at June 30, 2011. Included in capitalized residential mortgage servicing assets were $12 million at June 30, 2012, $21 million at June 30,</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83" w:name="page84"/>
    <w:bookmarkEnd w:id="8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2011, $14 million at March 31, 2012 and $16 million at December 31, 2011 of purchased servicing rights associated with the small balance commercial mortgage loans noted above.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Commercial mortgage banking revenues were $23 million in the second quarter of 2012, up from $17 million in the year-earlier period and $18 million in the first quarter of 2012. Included in such amounts were revenues from loan origination and sales activities of $17 million in the recent quarter, compared with $12 million in each of the second quarter of 2011 and the initial 2012 quarter. Commercial mortgage loan servicing revenues were $6 million in each of the second and first quarters of 2012, compared with $5 million in 2011’s second quarter. Capitalized commercial mortgage servicing assets totaled $54 million and $48 million at June 30, 2012 and 2011, respectively, and $51 million at December 31, 2011. Commercial mortgage loans serviced for other investors totaled $9.8 billion, $8.5 billion and $9.0 billion at June 30, 2012, June 30, 2011 and December 31, 2011, respectively, and included $1.8 billion, $1.7 billion and $1.8 billion, respectively, of loan balances for which investors had recourse to the Company if such balances are ultimately uncollectible. Commitments to sell commercial mortgage loans and commitments to originate commercial mortgage loans for sale were $244 million and $134 million, respectively, at June 30, 2012, $309 million and $181 million, respectively, at June 30, 2011 and $339 million and $178 million, respectively, at December 31, 2011. Commercial mortgage loans held for sale at June 30, 2012 and 2011 were $110 million and $128 million, respectively, and $161 million at December 31, 2011.</w:t>
      </w:r>
    </w:p>
    <w:p>
      <w:pPr>
        <w:spacing w:after="0" w:line="12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Service charges on deposit accounts totaled $111 million in the second quarter of 2012, compared with $120 million in the corresponding 2011 quarter and $109 million in the first quarter of 2012. As compared with the second quarter of 2011, higher commercial service charges and consumer service charges associated with the Wilmington Trust acquisition were more than offset by the impact of regulations enacted as part of the Dodd-Frank Act related to limiting debit card interchange fees that financial institutions are able to assess. Those regulations were effective October 1, 2011.</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Trust income aggregated $122 million in the second quarter of 2012, compared with $76 million and $117 million in the year-earlier quarter and the first quarter of 2012, respectively. The Wilmington Trust acquisition contributed $96 million and $90 million in the recent quarter and the initial 2012 quarter, compared with $46 million in the second quarter of 2011. That acquisition brought with it two significant sources of trust income. The Corporate Client Services (“CCS”)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Many CCS clients are multinational corporations and institutions.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reflects revenues from acquired CCS activities of $50 million, $26 million and $49 million in the second quarter of 2012, the second quarter of 2011 and the first quarter of 2012, respectively, and revenues from acquired WAS activities of $40 million, $18 million and $35 million in the three-month periods ended June 30, 2012, June 30, 2011 and March 31, 2012, respectively. Adversely impacting trust income in the second quarters of 2012 and 2011 and the initial 2012 quarter were $15 million, $8 million and $11 million, respectively, of fee waivers by the Company in order to provide for proprietary money-market mutual funds to pay customers a yield on their investments in such funds. Total trust assets, which include assets under management and assets under administration,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80" w:right="279" w:bottom="1440" w:gutter="0" w:footer="0" w:header="0"/>
        </w:sectPr>
      </w:pPr>
    </w:p>
    <w:bookmarkStart w:id="84" w:name="page85"/>
    <w:bookmarkEnd w:id="8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aggregated $273.2 billion at June 30, 2012, compared with $268.0 billion and $261.9 billion at June 30, 2011 and December 31, 2011, respectively. Trust assets under management were $59.5 billion and $55.4 billion at June 30, 2012 and June 30, 2011, respectively, and $52.7 billion at December 31, 2011. The acquisition of Wilmington Trust added trust assets under management and assets under administration aggregating $42.2 billion and $154.1 billion, respectively, during the second quarter of 2011. In addition to the asset amounts noted above, trust assets under management of affiliates (obtained in the Wilmington Trust transaction) totaled $14.7 billion at June 30, 2012, compared with $16.7 billion and $14.3 billion at June 30 and December 31, 2011, respectively.</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Brokerage services income, which includes revenues from the sale of mutual funds and annuities and securities brokerage fees, totaled $16 million, $15 million and $14 million in the three-month periods ended June 30, 2012, June 30, 2011 and March 31, 2012, respectively. Gains from trading account and foreign exchange activity also did not vary significantly, and totaled $6 million and $7 million during the second quarters of 2012 and 2011, respectively, and $11 million in the first 2012 quarter. The decrease in the recent quarter as compared with 2012’s initial quarter reflects declines in the value of assets associated with deferred compensation plans. Information about the notional amount of interest rate, foreign exchange and other contracts entered into by the Company for trading account purposes is included in note 10 of Notes to Financial Statements and herein under the heading “Taxable-equivalent Net Interest Income.”</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Including other-than-temporary impairment losses, during the second quarter of 2012 the Company recognized net losses on investment securities of $17 million, compared with net gains of $84 million in the year-earlier quarter and net losses of $11 million in the initial quarter of 2012. During the second quarter of 2011, the Company realized gains of $111 million from the sale of investment securities available for sale, predominantly residential mortgage-backed securities guaranteed by Fannie Mae and Freddie Mac, collateralized debt obligations and capital preferred securities, having an amortized cost of approximately $1.21 billion. Other-than-temporary impairment charges of $16 million, $27 million and $11 million were recorded in the quarters ended June 30, 2012, June 30, 2011 and March 31, 2012, respectively. The impairment charges were predominantly related to certain privately issued CMOs backed by residential and commercial real estate loans. Each reporting period, the Company reviews its investment securities for other-than-temporary impairment. For equity securities, the Company considers various factors to determine if the decline in value is other than temporary, including the duration and extent of the decline in value, the factors contributing to the decline in fair value, including the financial condition of the issuer as well as the conditions of the industry in which it operates, and the prospects for a recovery in fair value of the equity security.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of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 Additional information about other-than-temporary impairment losses is included herein under the heading “Capital.”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80" w:right="239" w:bottom="1440" w:gutter="0" w:footer="0" w:header="0"/>
        </w:sectPr>
      </w:pPr>
    </w:p>
    <w:bookmarkStart w:id="85" w:name="page86"/>
    <w:bookmarkEnd w:id="85"/>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M&amp;T’s share of the operating results of BLG in the recent quarter was a loss of $7 million, compared with losses of $5 million in each of the second quarter of 2011 and the initial 2012 quarter. The operating losses of BLG in the respective quarters resulted from disruptions in the residential and commercial real estate markets and reflected provisions for losses associated with securitized loans and other loans held by BLG and loan servicing and other administrative costs. The loan losses largely relate to loans in non-recourse securitization trusts that BLG consolidates in its financial statements. Under GAAP, such losses are required to be recognized by BLG despite the fact that many of the securitized loan losses will ultimately be borne by the underlying third party bond-holders. As these loan losses are realized through later foreclosure and still later sale of real estate collateral, the underlying bonds will be charged-down resulting in BLG’s future recognition of debt extinguishment gains. The timing of such debt extinguishment is largely dependent on the timing of loan workouts and collateral liquidations and given ongoing loan loss provisioning it is difficult to project when BLG will return to profitability. Despite the credit and liquidity disruptions that began in 2007, BLG had been successfully securitizing and selling significant volumes of small-balance commercial real estate loans until the first quarter of 2008. However, in response to the illiquidity in the marketplace since that time, BLG ceased its originations activities. As a result of past securitization activities, BLG is still entitled to cash flows from mortgage assets that it owns or that are owned by its affiliates and is also entitled to receive distributions from affiliates that provide asset management and other services. Accordingly, the Company believes that BLG is capable of realizing positive cash flows that could be available for distribution to its owners, including M&amp;T, despite a lack of positive GAAP-earnings from its core mortgage origination and securitization activities. To this point, BLG’s affiliates have reinvested their earnings to generate additional servicing and asset management activities further contributing to the value of those affiliates that inures to the benefit of BLG and, ultimately, M&amp;T. In 2011’s final quarter the Company recognized a $79 million other-than-temporary impairment charge related to M&amp;T’s 20% investment in BLG. While the small business commercial real estate securitization market that BLG previously operated in continues to be stagnant, its affiliated asset management operations continue to grow and its business of managing capital in the distressed real estate market is performing well. Nevertheless, in consideration of the passage of time since M&amp;T’s original investment in BLG in 2007, the prospects of ongoing loan losses at BLG and the inability to accurately predict the timing of potential distributions to M&amp;T, management increased its estimate of the timeframe over which the Company could reasonably anticipate recovery of the recorded investment amount and concluded that the investment was other-than-temporarily impaired. That investment was written-down to its estimated fair value of $115 million. The impairment charge of $79 million was recorded in “other costs of operations” in the fourth quarter of 2011. The Company believes that the value of its investment in BLG as of June 30, 2012 has not changed significantly since December 31, 2011. Information about the Company’s relationship with BLG and its affiliates is included in note 15 of Notes to Financial Statements.</w:t>
      </w:r>
    </w:p>
    <w:p>
      <w:pPr>
        <w:spacing w:after="0" w:line="12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Other revenues from operations totaled $90 million in the recent quarter, compared with $163 million in the second quarter of 2011 and $86 million in the first quarter of 2012. Reflected in such revenues in the second quarter of 2011 was the $65 million gain on the Wilmington Trust acquisition. Included in other revenues from operations were the following significant components. Letter of credit and other credit-related fees totaled $30 million in the second quarter of 2012, $34 million in the second quarter of 2011 and $27 million in the first quarter of 2012. Tax-exempt income from bank owned life insurance, which includes increases in the cash surrender value of life insurance policies and benefits received, totaled $12 million in each of the second quarter of 2012, the year-earlier quarter and the first quarter of 2012. Revenues from merchant discount and credit card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86" w:name="page87"/>
    <w:bookmarkEnd w:id="8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fees were $19 million, $14 million and $18 million in the three-month periods ended June 30, 2012, June 30, 2011 and March 31, 2012, respectively. Insurance-related sales commissions and other revenues totaled $11 million in the second quarter of 2012, $9 million in the year-earlier quarter and $12 million in the initial 2012 quarter. No other revenue sources included in “other revenues from operations” were individually significant in any of the quarterly periods discussed herein, although gains from sales of previously leased equipment were approximately $5 million lower in the recent quarter as compared with the year-earlier period.</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Other income totaled $768 million in the first half of 2012, compared with $816 million in the corresponding 2011 period. Gains and losses on bank investment securities (including other-than-temporary impairment losses) totaled to net losses of $28 million in 2012, compared with net gains of $108 million in 2011. Also reflected in other income in the first half of 2011 was the $65 million gain realized on the Wilmington Trust acquisition. Excluding gains and losses from bank investment securities and the Wilmington Trust-related gain in 2011, other income aggregated $796 million in the six-month period ended June 30, 2012, compared with $644 million in the similar 2011 period. The main contributors to the rise in other income during the 2012 period were higher trust income, the result of the Wilmington Trust acquisition, and mortgage banking revenues.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Mortgage banking revenues were $126 million for the six-month period ended June 30, 2012, compared with $87 million in the year-earlier period. Residential mortgage banking revenues rose 56% to $86 million in the first half of 2012 from $55 million in the first six months of 2011. New commitments to originate residential mortgage loans to be sold were $1.3 billion and $1.2 billion during the first six months of 2012 and 2011, respectively. Realized gains from sales of residential mortgage loans and loan servicing rights (net of the impact of costs associated with obligations to repurchase mortgage loans originated for sale) and recognized unrealized gains and losses on residential mortgage loans held for sale, commitments to originate loans for sale and commitments to sell loans totaled to gains of $31 million and $14 million during the first six months of 2012 and 2011, respectively. Higher origination activity related to loans originated for sale and wider margins associated with such loans contributed to the rise in such revenues. Residential mortgage banking revenues during the six-month periods ended June 30, 2012 and 2011 were reduced by $14 million and $13 million, respectively, related to actual or anticipated settlements of repurchase obligations. Revenues from servicing residential mortgage loans for others were $52 million and $39 million for the first half of 2012 and 2011, respectively. Included in such amounts were revenues related to purchased servicing rights associated with the previously noted small balance commercial mortgage loans of $10 million and $12 million for the first six months of 2012 and 2011, respectively. Commercial mortgage banking revenues totaled $40 million and $32 million during the six-month periods ended June 30, 2012 and 2011, respectively. That improvement reflected higher origination volumes that totaled $1.4 billion in the 2012 period, compared with $869 million in the first half of 2011.</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Service charges on deposit accounts totaled $220 million and $229 million during the six-month periods ended June 30, 2012 and 2011, respectively. Trust income rose 128% to $239 million in the first half of 2012 from $105 million a year earlier, due to higher revenues of $140 million associated with the Wilmington Trust acquisition. Brokerage services income rose 3% to $30 million during the first six months of 2012 from $29 million in the corresponding 2011 period. Trading account and foreign exchange activity resulted in gains of $17 million and $15 million for the six-month periods ended June 30, 2012 and 2011, respectively. M&amp;T’s investment in BLG resulted in losses of $11 million and $12 million for the six month periods ended June 30, 2012 and 2011, respectively. Investment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80" w:right="279" w:bottom="1440" w:gutter="0" w:footer="0" w:header="0"/>
        </w:sectPr>
      </w:pPr>
    </w:p>
    <w:bookmarkStart w:id="87" w:name="page88"/>
    <w:bookmarkEnd w:id="87"/>
    <w:p>
      <w:pPr>
        <w:ind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gains and losses totaled to net losses of $28 million for the first six months of 2012 and net gains of $108 million for the first half of 2011. Included in those amounts were other-than-temporary impairment losses of $28 million and $43 million during the first six months of 2012 and 2011, respectively.</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revenues from operations were $176 million in the first half of 2012 and $254 million in the similar 2011 period. Reflected in such revenues in 2011 was the $65 million gain realized on the acquisition of Wilmington Trust. Included in other revenues from operations during the six-month periods ended June 30, 2012 and 2011 were the following significant components: letter of credit and other credit-related fees of $57 million and $67 million, respectively; income from bank owned life insurance of $24 million and $25 million, respectively; merchant discount and credit card fees of $37 million and $26 million, respectively; and insurance-related sales commissions and other revenues of $23 million and $21 million, respectively. Gains from sales of previously leased equipment were $1 million during the first half of 2012, compared with $10 million in the year-earlier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Other expense totaled $627 million in the second quarter of 2012, up 9% from $577 million in the year-earlier quarter, but 2% below $640 million in the first quarter of 2012. Included in those amounts are expenses considered by management to be “nonoperating” in nature consisting of amortization of core deposit and other intangible assets of $16 million and $15 million in the second quarters of 2012 and 2011, respectively, and $17 million in the initial quarter of 2012, and merger-related expenses of $7 million, $37 million and $3 million in the three-month periods ended June 30, 2012, June 30, 2011 and March 31, 2012, respectively. Such merger-related expenses were incurred in connection with the Wilmington Trust acquisition and related to systems conversions and other costs of integrating the acquired operations with and into the Company. Those expenses consisted largely of professional services and other temporary help fees associated with the conversion of systems and/or integration of operations; costs related to termination of existing contractual arrangements of Wilmington Trust to purchase various services; initial marketing and promotion expenses designed to introduce M&amp;T Bank to its new customers; severance for former employees; incentive compensation costs; travel costs; and printing, postage, supplies and other costs of completing the transaction and commencing operations in new markets and offices. Exclusive of these nonoperating expenses, noninterest operating expenses totaled $604 million in the recent quarter, compared with $525 million in the second quarter of 2011 and $620 million in the first quarter of 2012. The most significant factor for the higher level of such expenses in the recent quarter as compared with the year-earlier quarter was the impact of the operations obtained in the Wilmington Trust acquisition. As compared with the first quarter of 2012, the decline in noninterest operating expenses was due to lower personnel costs in the recent quarter related to seasonally higher first quarter stock-based compensation, unemployment insurance, payroll-related taxes and benefits costs.</w:t>
      </w:r>
    </w:p>
    <w:p>
      <w:pPr>
        <w:spacing w:after="0" w:line="12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expense for the first six months of 2012 aggregated $1.27 billion, up 18% from $1.08 billion in the similar period of 2011. Included in those amounts are expenses considered to be “nonoperating” in nature consisting of amortization of core deposit and other intangible assets of $33 million and $27 million in the six-month periods ended June 30, 2012 and 2011, respectively, and merger-related expenses of $10 million and $41 million in the first half of 2012 and 2011, respectively. Exclusive of these nonoperating expenses, noninterest operating expenses for the first half of 2012 increased 21% to $1.22 billion from $1.01 billion in the first six months of 2011. The most significant factors for that increase were costs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80" w:right="25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associated with the acquired operations of Wilmington Trust. Table 2 provides a reconciliation of other expense to noninterest operating expense.</w:t>
      </w:r>
    </w:p>
    <w:p>
      <w:pPr>
        <w:spacing w:after="0" w:line="194"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Salaries and employee benefits expense totaled $324 million in the recent quarter, compared with $300 million in the second quarter of 2011 and $346 million in the initial 2012 quarter. As noted in table 2, merger-related salaries and benefits costs were $3 million and $5 million for the three months and six months ended June 30, 2012, respectively, compared with $15 million for the three months and six months ended June 30, 2011. Those higher expenses in 2011 consisted predominantly of severance expense for Wilmington Trust employees. Exclusive of those merger-related expenses and reflecting the impact of the Wilmington Trust acquisition mid-way through 2011’s second quarter, salaries and employee benefits expense in the recent quarter increased 13% as compared with the year earlier quarter. Salaries and employee benefits expense were $670 million and $566 million in the first six months of 2012 and 2011, respectively. Exclusive of merger-related expenses, salaries and employee benefits expense rose 21% to $665 million in the first half of 2012 from $551 million in the corresponding 2011 period. That increase also largely reflects the impact of operations associated with the Wilmington Trust acquisition.</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Salaries and employee benefits included stock-based compensation of $12 million, $11 million and $23 million during the quarters ended June 30, 2012, June 30, 2011 and March 31, 2012, and $35 million and $31 million for the six-month periods ended June 30, 2012 and 2011, respectively. The higher expense level in 2012’s initial quarter reflects the accelerated recognition of compensation costs for stock-based awards granted to retirement-eligible employees during that quarter. The number of full-time equivalent employees was 14,629 at June 30, 2012, 15,357 at June 30, 2011, 15,072 at December 31, 2011 and 14,864 at March 31, 2012.</w:t>
      </w:r>
    </w:p>
    <w:p>
      <w:pPr>
        <w:spacing w:after="0" w:line="143"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Excluding the nonoperating expense items described earlier from each period, nonpersonnel operating expenses were $284 million in the recent quarter, compared with $240 million in the second quarter of 2011 and $276 million in the first three months of 2012. On the same basis, such expenses were $560 million and $457 million during the first six months of 2012 and 2011, respectively. The increases in nonpersonnel operating expenses in the recent quarter as compared with the year-earlier quarter and in the first half of 2012 as compared with the first six months of 2011 were due predominantly to the impact of the operations associated with the Wilmington Trust acquisition.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provision for income taxes for the second quarter of 2012 was $119 million, compared with $126 million and $102 million in the year-earlier quarter and first quarter of 2012, respectively. The effective tax rates were 33.7%, 28.0% and 33.1% for the quarters ended June 30, 2012, June 30, 2011 and March 31, 2012, respectively. For the first six months of 2012 and 2011, the provision for income taxes totaled $221 million and $228 million, respectively, and the effective tax rates were 33.4% and 30.1%, respectively. 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For example, the recognition of the non-taxable gain of $65 million on the Wilmington Trust acquisition in the second quarter of 2011 served to lower the effective tax rate in that quarter and in the first half of 2011. Income taxes in the second quarter of 2011 also reflect the resolution in that period of previously uncertain tax positions related to the Company’s 2009 tax year that allowed the Company to reduce its accrual for income taxes in the second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89" w:name="page90"/>
    <w:bookmarkEnd w:id="89"/>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quarter of 2011 by $7 million. Excluding the impact of the merger-related gain and the credit to income tax expense noted above in the second quarter of 2011, the Company’s effective tax rates for the second quarter of 2011 and the first six months of 2011 would have been 34.6% and 34.0%, respectively.</w:t>
      </w:r>
    </w:p>
    <w:p>
      <w:pPr>
        <w:spacing w:after="0" w:line="8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Company’s effective tax rate in future periods will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Shareholders’ equity was $9.6 billion at June 30, 2012, representing 11.92% of total assets, compared with $9.2 billion or 11.89% at June 30, 2011 and $9.3 billion or 11.90% at December 31, 2011. Included in shareholders’ equity was preferred stock with financial statement carrying values of $868 million at June 30, 2012, $861 million at June 30, 2011 and $865 million at December 31, 2011. That preferred stock balance included $368 million, $361 million and $365 million at June 30, 2012, June 30, 2011 and December 31, 2011, respectively, for Series A and Series C Fixed Rate Cumulative Perpetual Preferred Stock issued to the U.S. Treasury as part of the Troubled Asset Relief Program – Capital Purchase Program. The redemption value of such preferred stock was $381.5 million at each of June 30, 2012, June 30, 2011 and December 31, 2011.</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Common shareholders’ equity was $8.8 billion, or $69.15 per share, at June 30, 2012, compared with $8.4 billion at each of June 30, 2011 and December 31, 2011, or $66.71 per share and $66.82 per share, respectively. Tangible equity per common share, which excludes goodwill and core deposit and other intangible assets and applicable deferred tax balances, was $40.52 at June 30, 2012, compared with $37.45 a year earlier and $37.79 at December 31, 2011. The Company’s ratio of tangible common equity to tangible assets was 6.65% at June 30, 2012, compared with 6.35% and 6.40% at June 30, 2011 and December 31, 2011, respectively. Reconciliations of total common shareholders’ equity and tangible common equity and total assets and tangible assets as of each of those respective dates are presented in table 2.</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net of applicable tax effect, were $9 million, or $.07 per common share, at June 30, 2012, compared with similar losses of $113 million, or $.90 per common share, at June 30, 2011 and $78 million, or $.62 per common share, at December 31, 2011. Information about unrealized gains and losses as of June 30, 2012 and December 31, 2011 is included in note 3 of Notes to Financial Statements.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Reflected in net unrealized losses at June 30, 2012 were pre-tax effect unrealized losses of $227 million on available-for-sale investment securities with an amortized cost of $1.3 billion and pre-tax effect unrealized gains of $251 million on securities with an amortized cost of $4.2 billion. The pre-tax effect unrealized losses reflect $190 million of losses on privately issued residential mortgage-backed securities with an amortized cost of $1.2 billion and an estimated fair value of $968 million (considered Level 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90" w:name="page91"/>
    <w:bookmarkEnd w:id="9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valuations) and $31 million of losses on trust preferred securities issued by financial institutions having an amortized cost of $122 million and an estimated fair value of $91 million (generally considered Level 2 valuations).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PRIVATELY ISSUED MORTGAGE-BACKED SECURITIES (a)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9"/>
              </w:rPr>
              <w:t>As a percentage of carrying</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value</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9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unrealized</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Credit</w:t>
            </w: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Current</w:t>
            </w: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Collateral type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Amortized</w:t>
            </w: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Fair</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gains</w:t>
            </w:r>
          </w:p>
        </w:tc>
        <w:tc>
          <w:tcPr>
            <w:tcW w:w="6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AAA</w:t>
            </w: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Senior</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enhance-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55"/>
        </w:trPr>
        <w:tc>
          <w:tcPr>
            <w:tcW w:w="42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9"/>
              </w:rPr>
              <w:t>value</w:t>
            </w: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75"/>
              </w:rPr>
              <w:t>(losses)</w:t>
            </w:r>
          </w:p>
        </w:tc>
        <w:tc>
          <w:tcPr>
            <w:tcW w:w="68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3"/>
              </w:rPr>
              <w:t>rated</w:t>
            </w:r>
          </w:p>
        </w:tc>
        <w:tc>
          <w:tcPr>
            <w:tcW w:w="102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grade</w:t>
            </w:r>
          </w:p>
        </w:tc>
        <w:tc>
          <w:tcPr>
            <w:tcW w:w="82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2"/>
              </w:rPr>
              <w:t>tranche</w:t>
            </w:r>
          </w:p>
        </w:tc>
        <w:tc>
          <w:tcPr>
            <w:tcW w:w="88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9"/>
              </w:rPr>
              <w:t>ment(b)</w:t>
            </w:r>
          </w:p>
        </w:tc>
        <w:tc>
          <w:tcPr>
            <w:tcW w:w="7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status(c)</w:t>
            </w:r>
          </w:p>
        </w:tc>
        <w:tc>
          <w:tcPr>
            <w:tcW w:w="0" w:type="dxa"/>
            <w:vAlign w:val="bottom"/>
          </w:tcPr>
          <w:p>
            <w:pPr>
              <w:spacing w:after="0"/>
              <w:rPr>
                <w:sz w:val="1"/>
                <w:szCs w:val="1"/>
                <w:color w:val="auto"/>
              </w:rPr>
            </w:pPr>
          </w:p>
        </w:tc>
      </w:tr>
      <w:tr>
        <w:trPr>
          <w:trHeight w:val="149"/>
        </w:trPr>
        <w:tc>
          <w:tcPr>
            <w:tcW w:w="92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4"/>
          </w:tcPr>
          <w:p>
            <w:pPr>
              <w:ind w:left="680"/>
              <w:spacing w:after="0" w:line="149" w:lineRule="exact"/>
              <w:rPr>
                <w:sz w:val="20"/>
                <w:szCs w:val="20"/>
                <w:color w:val="auto"/>
              </w:rPr>
            </w:pPr>
            <w:r>
              <w:rPr>
                <w:rFonts w:ascii="Arial" w:cs="Arial" w:eastAsia="Arial" w:hAnsi="Arial"/>
                <w:sz w:val="14"/>
                <w:szCs w:val="14"/>
                <w:color w:val="auto"/>
                <w:w w:val="93"/>
              </w:rPr>
              <w:t>(Dollars in thousands)</w:t>
            </w: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280" w:type="dxa"/>
            <w:vAlign w:val="bottom"/>
            <w:gridSpan w:val="3"/>
          </w:tcPr>
          <w:p>
            <w:pPr>
              <w:spacing w:after="0" w:line="176" w:lineRule="exact"/>
              <w:rPr>
                <w:sz w:val="20"/>
                <w:szCs w:val="20"/>
                <w:color w:val="auto"/>
              </w:rPr>
            </w:pPr>
            <w:r>
              <w:rPr>
                <w:rFonts w:ascii="Arial" w:cs="Arial" w:eastAsia="Arial" w:hAnsi="Arial"/>
                <w:sz w:val="18"/>
                <w:szCs w:val="18"/>
                <w:color w:val="auto"/>
              </w:rPr>
              <w:t>Residential mortgage loans</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Prime - fixed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50,875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280" w:type="dxa"/>
            <w:vAlign w:val="bottom"/>
            <w:gridSpan w:val="3"/>
          </w:tcPr>
          <w:p>
            <w:pPr>
              <w:ind w:left="440"/>
              <w:spacing w:after="0"/>
              <w:rPr>
                <w:sz w:val="20"/>
                <w:szCs w:val="20"/>
                <w:color w:val="auto"/>
              </w:rPr>
            </w:pPr>
            <w:r>
              <w:rPr>
                <w:rFonts w:ascii="Arial" w:cs="Arial" w:eastAsia="Arial" w:hAnsi="Arial"/>
                <w:sz w:val="18"/>
                <w:szCs w:val="18"/>
                <w:color w:val="auto"/>
              </w:rPr>
              <w:t>Prime – Hybrid ARMs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1,070,126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919,862</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(150,264)</w:t>
            </w:r>
          </w:p>
        </w:tc>
        <w:tc>
          <w:tcPr>
            <w:tcW w:w="68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79"/>
              </w:rPr>
              <w:t>33</w:t>
            </w:r>
          </w:p>
        </w:tc>
        <w:tc>
          <w:tcPr>
            <w:tcW w:w="3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96</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Alt-A – Hybrid ARMs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86,732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(36,626)</w:t>
            </w:r>
          </w:p>
        </w:tc>
        <w:tc>
          <w:tcPr>
            <w:tcW w:w="6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13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280" w:type="dxa"/>
            <w:vAlign w:val="bottom"/>
            <w:gridSpan w:val="3"/>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12,578</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10,923</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(1,655)</w:t>
            </w:r>
          </w:p>
        </w:tc>
        <w:tc>
          <w:tcPr>
            <w:tcW w:w="68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68</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1,252,709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1,068,392</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(184,317)</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32</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color w:val="auto"/>
              </w:rPr>
              <w:t>Commercial mortgage loans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13,049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12,127</w:t>
            </w:r>
          </w:p>
        </w:tc>
        <w:tc>
          <w:tcPr>
            <w:tcW w:w="2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(922)</w:t>
            </w:r>
          </w:p>
        </w:tc>
        <w:tc>
          <w:tcPr>
            <w:tcW w:w="68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1,265,758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1,080,519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(185,239)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32%</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1"/>
        </w:trPr>
        <w:tc>
          <w:tcPr>
            <w:tcW w:w="4280" w:type="dxa"/>
            <w:vAlign w:val="bottom"/>
            <w:gridSpan w:val="3"/>
          </w:tcPr>
          <w:p>
            <w:pPr>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and commercial mortgage loans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255,291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158,388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(96,903)</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38%</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280" w:type="dxa"/>
            <w:vAlign w:val="bottom"/>
            <w:gridSpan w:val="3"/>
            <w:vMerge w:val="restart"/>
          </w:tcPr>
          <w:p>
            <w:pPr>
              <w:ind w:left="8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1020" w:type="dxa"/>
            <w:vAlign w:val="bottom"/>
            <w:gridSpan w:val="2"/>
            <w:vMerge w:val="restart"/>
          </w:tcPr>
          <w:p>
            <w:pPr>
              <w:ind w:left="480"/>
              <w:spacing w:after="0"/>
              <w:rPr>
                <w:sz w:val="20"/>
                <w:szCs w:val="20"/>
                <w:color w:val="auto"/>
              </w:rPr>
            </w:pPr>
            <w:r>
              <w:rPr>
                <w:rFonts w:ascii="Arial" w:cs="Arial" w:eastAsia="Arial" w:hAnsi="Arial"/>
                <w:sz w:val="18"/>
                <w:szCs w:val="18"/>
                <w:color w:val="auto"/>
              </w:rPr>
              <w:t>33%</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95%</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10%</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222"/>
        </w:trPr>
        <w:tc>
          <w:tcPr>
            <w:tcW w:w="42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1,521,049</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1,238,907</w:t>
            </w:r>
          </w:p>
        </w:tc>
        <w:tc>
          <w:tcPr>
            <w:tcW w:w="26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(282,142)</w:t>
            </w:r>
          </w:p>
        </w:tc>
        <w:tc>
          <w:tcPr>
            <w:tcW w:w="68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All information is as of June 30, 2012.</w:t>
      </w:r>
    </w:p>
    <w:p>
      <w:pPr>
        <w:spacing w:after="0" w:line="15" w:lineRule="exact"/>
        <w:rPr>
          <w:rFonts w:ascii="Arial" w:cs="Arial" w:eastAsia="Arial" w:hAnsi="Arial"/>
          <w:sz w:val="18"/>
          <w:szCs w:val="18"/>
          <w:i w:val="1"/>
          <w:iCs w:val="1"/>
          <w:color w:val="auto"/>
        </w:rPr>
      </w:pPr>
    </w:p>
    <w:p>
      <w:pPr>
        <w:ind w:left="460" w:right="280" w:hanging="452"/>
        <w:spacing w:after="0" w:line="250" w:lineRule="auto"/>
        <w:tabs>
          <w:tab w:leader="none" w:pos="4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credit enhancement is calculated by dividing the remaining unpaid principal balance of bonds subordinate to the bonds owned by the Company plus any overcollateralization remaining in the securitization structure by the remaining unpaid principal balance of all bonds in the securitization structure.</w:t>
      </w:r>
    </w:p>
    <w:p>
      <w:pPr>
        <w:spacing w:after="0" w:line="1" w:lineRule="exact"/>
        <w:rPr>
          <w:rFonts w:ascii="Arial" w:cs="Arial" w:eastAsia="Arial" w:hAnsi="Arial"/>
          <w:sz w:val="18"/>
          <w:szCs w:val="18"/>
          <w:i w:val="1"/>
          <w:iCs w:val="1"/>
          <w:color w:val="auto"/>
        </w:rPr>
      </w:pPr>
    </w:p>
    <w:p>
      <w:pPr>
        <w:ind w:left="460" w:hanging="452"/>
        <w:spacing w:after="0" w:line="261" w:lineRule="auto"/>
        <w:tabs>
          <w:tab w:leader="none" w:pos="460" w:val="left"/>
        </w:tabs>
        <w:numPr>
          <w:ilvl w:val="0"/>
          <w:numId w:val="64"/>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percentage of amortized cost related to bonds for which the full amount of all contractually required principal and interest payments expected at acquisition continue to be received.</w:t>
      </w:r>
    </w:p>
    <w:p>
      <w:pPr>
        <w:spacing w:after="0" w:line="13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Company’s privately issued residential mortgage-backed securities classified as available for sale are generally collateralized by prime and Alt-A residential mortgage loans as depicted in the accompanying table. Information in the table is as of June 30, 2012. As with any accounting estimate or other data, changes in fair values and investment ratings may occur at any time.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estimating values for privately issued mortgage-backed securities, the Company was significantly restricted in the level of market observable assumptions used in the valuation of such securities. Because of reduced trading activity and lack of observable valuation inputs, the Company considers the estimated fair value associated with its holdings of privately issued mortgage-backed securities to be Level 3 valuations. To assist in the determination of fair value for its privately issued mortgage-backed securities, the Company engaged two independent pricing sources at June 30, 2012 and December 31, 2011. GAAP provides guidance for estimating fair value when the volume and level of trading activity for an asset or liability have significantly decreased. In consideration of that guidance, the Company performed internal modeling to estimate the cash flows and fair value 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80" w:right="239" w:bottom="1440" w:gutter="0" w:footer="0" w:header="0"/>
        </w:sectPr>
      </w:pPr>
    </w:p>
    <w:bookmarkStart w:id="91" w:name="page92"/>
    <w:bookmarkEnd w:id="91"/>
    <w:p>
      <w:pPr>
        <w:ind w:right="2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privately issued residential mortgage-backed securities with an amortized cost basis of $1.2 billion and $1.3 billion at June 30, 2012 and December 31, 2011, respectively. The Company’s internal modeling techniques included discounting estimated bond-specific cash flows using assumptions about cash flows associated with loans underlying each of the bonds. In estimating those cash flows, the Company used conservative assumptions as to default and loss rates in order to mitigate exposure that might be attributable to the risk that actual future credit losses could exceed assumed credit losses. Differences between internal model valuations and external pricing indications were generally considered to be reflective of the lack of liquidity in the market for privately issued mortgage-backed securities. To determine the most representative fair value for those bonds under current market conditions, the Company averaged the internal model valuations and the indications obtained from the two independent pricing sources resulting in a one-third weighting on the internal model valuation and a two-thirds weighting on valuations provided by the independent sources. Further information concerning the Company’s valuations of privately issued mortgage-backed securities can be found in note 12 of Notes to Financial Statements.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During the quarter ended June 30, 2012, the Company recognized $16 million (pre-tax) of other-than-temporary impairment losses including $14 million related to privately issued residential mortgage-backed securities and $2 million related to commercial mortgage-backed CMOs. In assessing impairment losses for debt securities, the Company performed internal modeling to estimate bond-specific cash flows, which considered the placement of the bond in the overall securitization structure and the remaining levels of subordination.</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For privately issued mortgage-backed securities, the modeling for other than temporary impairment utilized assumptions about the expected underlying performance of the mortgage loan collateral considering recent collateral performance and future assumptions regarding default and loss severity. At June 30, 2012, projected model default percentages on the underlying mortgage loan collateral ranged from 2% to 33% and loss severities ranged from 27% to 73%. For bonds in which the Company has recognized an other-than-temporary impairment charge, the weighted-average percentage of default collateral was 21% and the weighted-average loss severity was 52%. For bonds without other-than-temporary impairment losses, the weighted-average default percentage and loss severity were 10% and 42%, respectively. Underlying mortgage loan collateral cash flows, after considering the impact of estimated credit losses, were distributed by the model to the various securities within the securitization structure to determine the timing and extent of losses at the bond level, if any. Despite continuing high levels of delinquencies and losses in the underlying residential mortgage loan collateral, given credit enhancements resulting from the structures of individual bonds, the Company has concluded that as of June 30, 2012 its remaining privately issued mortgage-backed securities were not other-than-temporarily impaired. Nevertheless, given recent market conditions, it is possible that adverse changes in repayment performance and fair value could occur in the remainder of 2012 and later years that could impact the Company’s conclusions. For example, a 10% increase in the estimated default rate assumption and a 10% increase in the severity rate assumption would have increased the other-than-temporary impairment charge recognized by the Company for the three months ended June 30, 2012 by $18 million. Management has modeled cash flows from privately issued mortgage-backed securities under various scenarios and has concluded that even if home price depreciation and current delinquency trends persist for an extended period of time, the Company’s principal losses on its privately issued mortgage-backed securities would be substantially less than their current fair valuation losses. Information comparing the amortized cost and fair value of investment securities is included in note 3 of Notes to Financial Statements. The Company’s model as described above uses projected default and loss severity assumptions. Information on the current credit enhancement and current payment status of privately issued mortgage-backed securities at June 30, 2012 is included in the accompanying table.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92" w:name="page93"/>
    <w:bookmarkEnd w:id="92"/>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Similar to its evaluation of available-for-sale privately issued mortgage-backed securities, the Company assesses impairment losses on privately issued CMOs in the held-to-maturity portfolio by performing internal modeling to estimate bond-specific cash flows that reflect the placement of the bond in the overall securitization structure and the remaining subordination levels. As a result, the Company recognized a $2 million (pre-tax) other-than-temporary impairment charge related to CMOs in the held-to-maturity portfolio during the second quarter of 2012. In total, at June 30, 2012 and December 31, 2011, the Company had in its held-to-maturity portfolio CMOs with an amortized cost basis of $255 million and $269 million, respectively, and a fair value of $158 million and $170 million, respectively.</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At June 30, 2012, the Company also had pre-tax unrealized losses of $33 million on $133 million of trust preferred securities issued by financial institutions, securities backed by trust preferred securities, and other debt securities (reflecting $2 million of unrealized losses on $10 million of securities using a Level 3 valuation). Pre-tax unrealized losses of $47 million existed on $200 million of such securities at December 31, 2011. After evaluating the expected repayment performance of those bonds, the Company did not recognize any other-than-temporary impairment losses related to those securities during the quarter ended June 30, 2012.</w:t>
      </w:r>
    </w:p>
    <w:p>
      <w:pPr>
        <w:spacing w:after="0" w:line="143"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As previously noted, during the second quarter of 2011 the Company recognized $27 million (pre-tax) of other-than-temporary losses, including $25 million related to privately issued residential mortgage-backed securities and $2 million related to commercial mortgage-backed securities. During the first quarter of 2012, the Company recognized $11 million (pre-tax) of other-than-temporary losses, including $7 million related to privately issued residential mortgage-backed securities and $4 million related to commercial mortgage-backed securities.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of June 30, 2012, based on a review of each of the remaining securities in the investment securities portfolio, the Company concluded that the declines in the values of those securities were temporary and that any additional other-than-temporary impairment charges were not appropriate. As of that date, the Company did not intend to sell nor is it anticipated that it would be required to sell any of its impaired securities, that is, where fair value is less than the cost basis of the security. The Company intends to closely monitor the performance of the privately issued mortgage-backed securities and other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additional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12 of Notes to Financial Statements.</w:t>
      </w:r>
    </w:p>
    <w:p>
      <w:pPr>
        <w:spacing w:after="0" w:line="12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Adjustments to reflect the funded status of defined benefit pension and other postretirement plans, net of applicable tax effect, reduced accumulated other comprehensive income by $268 million or $2.12 per common share, at June 30, 2012, $117 million, or $.93 per common share, at June 30, 2011 and $278 million or $2.21 per common share, at December 31, 2011. The increase in such adjustment at the recent quarter-end and December 31, 2011 as compared with June 30, 2011 was predominantly the result of a 100 basis point reduction in the discount rate used to measure the benefit obligations of the defined benefit plans at such dates and actual investment returns in the qualified defined benefit pension plan that were less than expected returns.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280" w:right="239" w:bottom="1440" w:gutter="0" w:footer="0" w:header="0"/>
        </w:sectPr>
      </w:pPr>
    </w:p>
    <w:bookmarkStart w:id="93" w:name="page94"/>
    <w:bookmarkEnd w:id="93"/>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 dividends declared on M&amp;T’s common stock totaled approximately $89 million in the two most recent quarters, compared with $88 million in the quarter ended June 30, 2011, and represented a quarterly dividend of $.70 per common share in each of those quarters. Common stock dividends during the six-month periods ended June 30, 2012 and 2011 were $178 million and $173 million,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dividends declared on preferred stock were as follows:</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color w:val="auto"/>
                <w:w w:val="82"/>
              </w:rPr>
              <w:t>1st Qtr.</w:t>
            </w:r>
          </w:p>
        </w:tc>
        <w:tc>
          <w:tcPr>
            <w:tcW w:w="44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color w:val="auto"/>
                <w:w w:val="94"/>
              </w:rPr>
              <w:t>2nd Qtr.</w:t>
            </w:r>
          </w:p>
        </w:tc>
        <w:tc>
          <w:tcPr>
            <w:tcW w:w="760" w:type="dxa"/>
            <w:vAlign w:val="bottom"/>
            <w:gridSpan w:val="2"/>
          </w:tcPr>
          <w:p>
            <w:pPr>
              <w:spacing w:after="0"/>
              <w:rPr>
                <w:sz w:val="20"/>
                <w:szCs w:val="20"/>
                <w:color w:val="auto"/>
              </w:rPr>
            </w:pPr>
            <w:r>
              <w:rPr>
                <w:rFonts w:ascii="Arial" w:cs="Arial" w:eastAsia="Arial" w:hAnsi="Arial"/>
                <w:sz w:val="14"/>
                <w:szCs w:val="14"/>
                <w:color w:val="auto"/>
                <w:w w:val="95"/>
              </w:rPr>
              <w:t>Year-to-date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right"/>
              <w:ind w:right="30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A –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A – 2011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7,654</w:t>
            </w:r>
          </w:p>
        </w:tc>
        <w:tc>
          <w:tcPr>
            <w:tcW w:w="660" w:type="dxa"/>
            <w:vAlign w:val="bottom"/>
          </w:tcPr>
          <w:p>
            <w:pPr>
              <w:jc w:val="right"/>
              <w:spacing w:after="0"/>
              <w:rPr>
                <w:sz w:val="20"/>
                <w:szCs w:val="20"/>
                <w:color w:val="auto"/>
              </w:rPr>
            </w:pPr>
            <w:r>
              <w:rPr>
                <w:rFonts w:ascii="Arial" w:cs="Arial" w:eastAsia="Arial" w:hAnsi="Arial"/>
                <w:sz w:val="18"/>
                <w:szCs w:val="18"/>
                <w:color w:val="auto"/>
              </w:rPr>
              <w:t>15,154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B – 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C – 2012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1,894</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1,894</w:t>
            </w:r>
          </w:p>
        </w:tc>
        <w:tc>
          <w:tcPr>
            <w:tcW w:w="66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C – 2011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1,894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D – 2012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8,594</w:t>
            </w:r>
          </w:p>
        </w:tc>
        <w:tc>
          <w:tcPr>
            <w:tcW w:w="4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8,593</w:t>
            </w:r>
          </w:p>
        </w:tc>
        <w:tc>
          <w:tcPr>
            <w:tcW w:w="660" w:type="dxa"/>
            <w:vAlign w:val="bottom"/>
          </w:tcPr>
          <w:p>
            <w:pPr>
              <w:jc w:val="right"/>
              <w:spacing w:after="0"/>
              <w:rPr>
                <w:sz w:val="20"/>
                <w:szCs w:val="20"/>
                <w:color w:val="auto"/>
              </w:rPr>
            </w:pPr>
            <w:r>
              <w:rPr>
                <w:rFonts w:ascii="Arial" w:cs="Arial" w:eastAsia="Arial" w:hAnsi="Arial"/>
                <w:sz w:val="18"/>
                <w:szCs w:val="18"/>
                <w:color w:val="auto"/>
              </w:rPr>
              <w:t>17,187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 – 2012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13,363</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13,362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440"/>
              <w:spacing w:after="0"/>
              <w:rPr>
                <w:sz w:val="20"/>
                <w:szCs w:val="20"/>
                <w:color w:val="auto"/>
              </w:rPr>
            </w:pPr>
            <w:r>
              <w:rPr>
                <w:rFonts w:ascii="Arial" w:cs="Arial" w:eastAsia="Arial" w:hAnsi="Arial"/>
                <w:sz w:val="18"/>
                <w:szCs w:val="18"/>
                <w:color w:val="auto"/>
              </w:rPr>
              <w:t>Totals - 2011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10,498</w:t>
            </w:r>
          </w:p>
        </w:tc>
        <w:tc>
          <w:tcPr>
            <w:tcW w:w="1440" w:type="dxa"/>
            <w:vAlign w:val="bottom"/>
            <w:gridSpan w:val="3"/>
          </w:tcPr>
          <w:p>
            <w:pPr>
              <w:jc w:val="right"/>
              <w:ind w:right="460"/>
              <w:spacing w:after="0"/>
              <w:rPr>
                <w:sz w:val="20"/>
                <w:szCs w:val="20"/>
                <w:color w:val="auto"/>
              </w:rPr>
            </w:pPr>
            <w:r>
              <w:rPr>
                <w:rFonts w:ascii="Arial" w:cs="Arial" w:eastAsia="Arial" w:hAnsi="Arial"/>
                <w:sz w:val="18"/>
                <w:szCs w:val="18"/>
                <w:color w:val="auto"/>
              </w:rPr>
              <w:t>9,548</w:t>
            </w:r>
          </w:p>
        </w:tc>
        <w:tc>
          <w:tcPr>
            <w:tcW w:w="660" w:type="dxa"/>
            <w:vAlign w:val="bottom"/>
          </w:tcPr>
          <w:p>
            <w:pPr>
              <w:jc w:val="right"/>
              <w:spacing w:after="0"/>
              <w:rPr>
                <w:sz w:val="20"/>
                <w:szCs w:val="20"/>
                <w:color w:val="auto"/>
              </w:rPr>
            </w:pPr>
            <w:r>
              <w:rPr>
                <w:rFonts w:ascii="Arial" w:cs="Arial" w:eastAsia="Arial" w:hAnsi="Arial"/>
                <w:sz w:val="18"/>
                <w:szCs w:val="18"/>
                <w:color w:val="auto"/>
              </w:rPr>
              <w:t>20,046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On May 18, 2011, M&amp;T redeemed $370 million of the Series A Preferred Stock originally issued on December 23, 2008 to the U.S. Treasury. The Series B Preferred Stock was converted to M&amp;T common stock on April 1, 2011. The Series D Preferred Stock was issued on May 31,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did not repurchase any shares of its common stock during 2011 or the first half of 2012.</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regulators generally require banking institutions to maintain “Tier 1 capital” and “total capital” ratios of at least 4% and 8%, respectively, of risk-adjusted total assets. In addition to the risk-based measures, Federal bank regulators have also implemented a minimum “Tier 1 leverage” ratio guideline of 3% of the quarterly average of total assets. As of June 30, 2012, Tier 1 capital included trust preferred securities of $1.2 billion as described in note 5 of Notes to Financial Statements and total capital further included subordinated capital notes of $1.6 billion. Pursuant to the Dodd-Frank Act, trust preferred securities will be phased-out of the definition of Tier 1 capital of bank holding companies.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80" w:right="259" w:bottom="1440" w:gutter="0" w:footer="0" w:header="0"/>
        </w:sectPr>
      </w:pPr>
    </w:p>
    <w:bookmarkStart w:id="94" w:name="page95"/>
    <w:bookmarkEnd w:id="9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regulatory capital ratios of the Company, M&amp;T Bank and Wilmington Trust, N.A., as of June 30, 2012 are presented in the accompanying table.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REGULATORY CAPITAL RATIOS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30, 2012</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color w:val="auto"/>
              </w:rPr>
              <w:t>M&amp;T</w:t>
            </w: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M&amp;T</w:t>
            </w:r>
          </w:p>
        </w:tc>
        <w:tc>
          <w:tcPr>
            <w:tcW w:w="840" w:type="dxa"/>
            <w:vAlign w:val="bottom"/>
            <w:gridSpan w:val="2"/>
          </w:tcPr>
          <w:p>
            <w:pPr>
              <w:spacing w:after="0"/>
              <w:rPr>
                <w:sz w:val="20"/>
                <w:szCs w:val="20"/>
                <w:color w:val="auto"/>
              </w:rPr>
            </w:pPr>
            <w:r>
              <w:rPr>
                <w:rFonts w:ascii="Arial" w:cs="Arial" w:eastAsia="Arial" w:hAnsi="Arial"/>
                <w:sz w:val="14"/>
                <w:szCs w:val="14"/>
                <w:color w:val="auto"/>
              </w:rPr>
              <w:t>Wilmington</w:t>
            </w:r>
          </w:p>
        </w:tc>
      </w:tr>
      <w:tr>
        <w:trPr>
          <w:trHeight w:val="159"/>
        </w:trPr>
        <w:tc>
          <w:tcPr>
            <w:tcW w:w="59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7"/>
              </w:rPr>
              <w:t>(Consolidated)</w:t>
            </w:r>
          </w:p>
        </w:tc>
        <w:tc>
          <w:tcPr>
            <w:tcW w:w="7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ind w:left="80"/>
              <w:spacing w:after="0" w:line="159" w:lineRule="exact"/>
              <w:rPr>
                <w:sz w:val="20"/>
                <w:szCs w:val="20"/>
                <w:color w:val="auto"/>
              </w:rPr>
            </w:pPr>
            <w:r>
              <w:rPr>
                <w:rFonts w:ascii="Arial" w:cs="Arial" w:eastAsia="Arial" w:hAnsi="Arial"/>
                <w:sz w:val="14"/>
                <w:szCs w:val="14"/>
                <w:color w:val="auto"/>
              </w:rPr>
              <w:t>Bank</w:t>
            </w:r>
          </w:p>
        </w:tc>
        <w:tc>
          <w:tcPr>
            <w:tcW w:w="7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92"/>
              </w:rPr>
              <w:t>Trust, N.A.</w:t>
            </w:r>
          </w:p>
        </w:tc>
        <w:tc>
          <w:tcPr>
            <w:tcW w:w="200" w:type="dxa"/>
            <w:vAlign w:val="bottom"/>
            <w:tcBorders>
              <w:bottom w:val="single" w:sz="8" w:color="CCEEFF"/>
            </w:tcBorders>
          </w:tcPr>
          <w:p>
            <w:pPr>
              <w:spacing w:after="0"/>
              <w:rPr>
                <w:sz w:val="13"/>
                <w:szCs w:val="13"/>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Tier 1 capital</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9.92%</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capital</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13.29%</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11.97%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53.81%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Tier 1 leverage</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9.49%</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As required by GAAP, the Company’s reportable segments have been determined based upon its internal profitability reporting system, which is organized by strategic business unit. Financial information about the Company’s segments is presented in note 14 of Notes to Financial Statements.</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Net income earned by the Business Banking segment totaled $37 million in the recent quarter, 40% above the $27 million recorded in the second quarter of 2011 and 5% higher than the $35 million earned in the three months ended March 31, 2012. The most significant component of the improvement from the year-earlier quarter was a $9 million decline in the provision for credit losses, due to lower net charge-offs of loans. Other favorable factors included $2 million increases in net interest income and fees earned for providing deposit account services. The higher net interest income resulted from a rise in average outstanding deposit balances of $1.0 billion, including the full-quarter impact of the Wilmington Trust acquisition, partially offset by a 16 basis point narrowing of the net interest margin on deposits. In comparison to the initial 2012 quarter, a $2 million decline in the provision for credit losses, higher fees earned for providing deposit account services and reduced personnel costs were offset, in part, by a $4 million decrease in net interest income, due to a $293 million decline in average outstanding loan balances and a 6 basis point narrowing of the net interest margin on loans. The Business Banking segment’s net contribution totaled $72 million in the first half of 2012, a 37% improvement from the $53 million earned in the corresponding 2011 period. That improvement was attributable to the following factors: a $16 million reduction in the provision for credit losses; higher net interest income of $11 million, the result of higher average outstanding deposit balances of $1.2 billion; increased merchant and credit card revenues of $3 million; and higher fees earned for providing deposit account services totaling $3 million.</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Commercial Banking segment recorded net income of $100 million during the quarter ended June 30, 2012, 5% higher than the $95 million earned in the year-earlier quarter, but 3% lower than the $103 million earned in the immediately preceding quarter. The recent quarter’s improvement in net income as compared with 2011’s second quarter was primarily the result of higher net interest income of $25 million, attributable to increases in average outstanding loan and deposit balances of $2.2 billion and $1.3 billion, respectively, (including the full quarter impact of the Wilmington Trust acquisition) and a 24 basis point widening of the net interest margin on deposits. The higher net interest income was partially offset by: a $7 million increase in the provision for credit losses; a $5 million decline in gains from the sale of previously leased equipment; and a $4 million decrease in credit-related fees. Compared with the initial 2012 quarter, the recent quarter’s decline in net income was the result of a $16 million increase in the provision for credit losses, partially offset by higher net interest income of $8 million, the result of a 12 basis point widening of the net interest margin on loans and higher average loan balances of $577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80" w:right="259" w:bottom="1440" w:gutter="0" w:footer="0" w:header="0"/>
        </w:sectPr>
      </w:pPr>
    </w:p>
    <w:bookmarkStart w:id="95" w:name="page96"/>
    <w:bookmarkEnd w:id="95"/>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 $3 million increase in credit-related fees. Net income for this segment for the six-month periods ended June 30, 2012 and 2011 totaled $203 million and $183 million, respectively. The predominant contributor to the 11% rise in net income was a $51 million increase in net interest income that was largely attributable to higher average outstanding loan and deposit balances of $2.6 billion and $1.6 billion, respectively. Partially offsetting that improvement were an $11 million decrease in fees earned for providing loan syndication services and a $6 million increase in FDIC assessments.</w:t>
      </w:r>
    </w:p>
    <w:p>
      <w:pPr>
        <w:spacing w:after="0" w:line="11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Commercial Real Estate segment contributed net income of $80 million during the three-month period ended June 30, 2012, compared with $65 million in the year-earlier quarter and $69 million in the first quarter of 2012. The 24% increase in net income as compared with 2011’s second quarter was largely due to a $22 million rise in net interest income and an $18 million decline in the provision for credit losses. The increase in net interest income resulted from increases of $1.6 billion and $520 million in average outstanding loan and deposit balances, respectively, (including the full-quarter impact of the Wilmington Trust acquisition) and a 20 basis point widening of the net interest margin on loans. Higher foreclosure-related costs of $16 million, primarily the result of gains realized in the second quarter of 2011 on the sale of other real estate owned, partially offset those favorable factors. Contributing to the improved recent quarter performance as compared with the first 2012 quarter was a $9 million decline in the provision for credit losses, and $5 million increases in each of mortgage banking revenues and net interest income, the latter resulting from an 11 basis point widening of the net interest margin on loans. Net income recorded by the Commercial Real Estate segment totaled $149 million and $114 million for the first six months of 2012 and 2011, respectively. The 31% increase in net income from the 2011 to 2012 period was largely attributable to a $47 million rise in net interest income, resulting from a $2.2 billion increase in average outstanding loan balances and a 13 basis point widening of the net interest margin on loans, and a $32 million decline in the provision for credit losses. Partially offsetting those favorable factors were $14 million increases in each of foreclosure-related costs (reflecting lower gains on sales of other real estate) and FDIC assessments.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Discretionary Portfolio segment incurred a net loss of $15 million in the recent quarter, compared with net income of $58 million in the second quarter of 2011 and a net loss of $8 million in the initial 2012 quarter. Included in this segment’s results for each of those quarters were pre-tax other-than-temporary impairment charges relating to certain privately issued CMOs of $16 million in the recent quarter, $27 million in the year-earlier quarter and $11 million in the first quarter of 2012. Also reflected in the second quarter 2011 results were $111 million of gains realized on the sale of investment securities, predominantly comprised of residential mortgage-backed securities guaranteed by Fannie Mae and Freddie Mac, collateralized debt obligations and capital preferred securities. Excluding those securities gains and losses, this segment incurred a net loss of $5 million in the recent quarter, compared with net income of $8 million in the year-earlier quarter and a net loss of $1 million in the initial 2012 quarter. The recent quarter’s unfavorable performance as compared with the year-earlier quarter was due to: a $15 million increase in intersegment costs related to a higher proportion of residential real estate loans being retained for portfolio rather than being sold; lower net interest income of $4 million, due to an 8 basis point narrowing of this segment’s net interest margin; a $2 million increase in residential mortgage servicing costs; and higher FDIC assessments of $2 million. On the same basis, the unfavorable performance in the second quarter of 2012 in relation to the immediately preceding quarter was primarily due to a $5 million increase in intersegment costs related to a higher proportion of residential real estate loans being retained for portfolio. The Discretionary Portfolio segment incurred a net loss of $23 million for the first six months of 2012, compared with net income of $74 million in the corresponding 2011 period. Adjusted to exclude</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80" w:right="279" w:bottom="1440" w:gutter="0" w:footer="0" w:header="0"/>
        </w:sectPr>
      </w:pPr>
    </w:p>
    <w:bookmarkStart w:id="96" w:name="page97"/>
    <w:bookmarkEnd w:id="9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impact of securities gains and losses in those periods, this segment incurred a net loss of $6 million in the first half of 2012, compared with net income of $11 million in the first six months of 2011. Factors contributing most to that unfavorable performance include: a $20 million rise in intersegment costs related to a higher proportion of residential real estate loans being retained for portfolio; a $6 million decline in net interest income, due to a 6 basis point narrowing of this segment’s net interest margin; a $3 million increase in residential mortgage servicing costs; and a $3 million increase in FDIC assessments. A $5 million reduction in the provision for credit losses partially offset those unfavorable factors.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income from the Residential Mortgage Banking segment totaled $26 million in the recent quarter, up significantly from $6 million earned in the second quarter 2011 and also improved from $24 million in the first quarter of 2012. The most significant factors contributing to the recent quarter’s improvement as compared with the year-earlier quarter were a $36 million rise in revenues from residential mortgage origination and sales activities (including intersegment revenues), due to higher origination volumes and wider margins on loans originated for sale, and an $8 million increase in revenues from servicing those residential real estate loans. Those factors were partially offset by higher personnel costs of $6 million and a $5 million increase in the provision for credit losses. Contributing to the improved recent quarter performance as compared with the first quarter of 2012 was a $15 million rise in residential mortgage origination and sales revenues, reflecting higher origination volumes and wider margins on loans originated for sale, offset, in part, by a $10 million increase in the provision for credit losses. Through June 30, 2012, net income for this segment was $50 million, compared with $11 million in 2011. The most significant contributors to the year-over-year increase in net income were a $59 million rise in revenues from residential mortgage origination and sales activities and a $16 million increase in revenues from servicing residential real estate loans, offset, in part, by a $7 million increase in personnel costs.</w:t>
      </w:r>
    </w:p>
    <w:p>
      <w:pPr>
        <w:spacing w:after="0" w:line="12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Net contribution from the Retail Banking segment totaled $58 million, $55 million and $49 million during the three-month periods ended June 30, 2012, June 30, 2011, and March 31, 2012, respectively. The 6% rise in the recent quarter’s net income as compared with the year-earlier quarter reflects a $15 million increase in net interest income and lower FDIC assessments of $7 million. The improved net interest income was due to a $2.0 billion rise in average outstanding deposit balances, including the full-quarter impact of the Wilmington Trust acquisition, and a 9 basis point widening of the net interest margin on deposits. Partially offsetting the above factors were a $14 million decline in fees earned for providing deposit account services, reflecting regulatory changes that were effective in the fourth quarter of 2011, partially offset by fees from deposits associated with the full-quarter impact of the Wilmington Trust acquisition. As compared with the initial 2012 quarter, the recent quarter’s favorable performance was due to the following: a $4 million reduction in the provision for credit losses; higher net interest income of $3 million, reflecting a $489 million rise in average outstanding deposit balances and a 3 basis point widening of the net interest margin on deposits; higher fees earned for providing deposit account services of $3 million; and a $3 million decline in personnel costs. Year-to-date net income totaled $107 million in each of 2012 and 2011. A $30 million increase in net interest income, reflecting a $2.8 billion rise in average outstanding deposit balances and an 8 basis point widening of the net interest margin on loans, and a $13 million decline in FDIC assessments were offset, in part, by a $20 million decrease in fees earned for providing deposit account services, higher personnel costs of $8 million, and higher levels of other operating expenses.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80" w:right="259" w:bottom="1440" w:gutter="0" w:footer="0" w:header="0"/>
        </w:sectPr>
      </w:pPr>
    </w:p>
    <w:bookmarkStart w:id="97" w:name="page98"/>
    <w:bookmarkEnd w:id="97"/>
    <w:p>
      <w:pPr>
        <w:ind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losses of BLG, merger-related gains and expenses resulting from acquisitions of financial institutions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the CCS and WAS activities obtained in the acquisition of Wilmington Trust on May 16, 2011 and the pre-acquisition trust activities of the Company. Revenues for CCS, WAS and the non-Wilmington Trust-related trust activities in the recent quarter were $50 million, $40 million and $32 million, respectively, compared with $26 million, $18 million and $29 million, respectively, in the year-earlier quarter and $49 million, $35 million and $33 million, respectively, in the first quarter of 2012. Individually and combined the net income of those activities did not exceed 10% of the Company’s net income. The various components of the “All Other” category resulted in net losses totaling $53 million and $65 million in the second and first quarters of 2012, respectively, and net income of $17 million for the quarter ended June 30, 2011. Contributing most to the unfavorable performance in the recent quarter as compared with the year-earlier period were the following factors: the impact of the $65 million non-taxable gain on the Wilmington Trust acquisition recorded in 2011’s second quarter; increased personnel-related and professional services expenses of $27 million and $12 million, respectively (both largely related to the Wilmington Trust acquisition); and the unfavorable impact from the Company’s allocation methodologies for internal transfers for funding charges and credits associated with the earning assets and interest-bearing liabilities of the Company’s reportable segments and the provision for credit losses. Higher trust revenues totaling $49 million in 2012’s second quarter (reflecting the full-quarter impact of the Wilmington Trust acquisition) and higher merger-related expenses of $30 million in the second quarter of 2011 as compared with the current quarter partially offset the unfavorable factors. In comparison to the first quarter of 2012, the improved recent quarter performance was due to a decline in personnel costs largely related to seasonally higher stock-based compensation, payroll-related taxes and employer contributions for retirement savings plan benefits related to incentive compensation payments and unemployment insurance recorded in the first quarter of 2012. The “All Other” category incurred net losses of $118 million and $14 million for the first six months of 2012 and 2011, respectively. The unfavorable performance in the first half of 2012 as compared with the same 2011 period resulted from the following factors: higher expenses relating to the Wilmington Trust acquisition, including increased personnel-related and professional services costs of $90 million and $35 million, respectively; the impact of the $65 million non-taxable gain on the Wilmington Trust acquisition recorded in 2011’s second quarter; and the unfavorable impact from the Company’s allocation methodologies for internal transfers for funding charges and credits associated with the earning assets and interest-bearing liabilities of the Company’s reportable segments and the provision for credit losses. Partially offsetting those unfavorable items were higher trust revenues in 2012 of $134 million, reflecting the full six-month impact of the Wilmington Trust acquisition, and the impact of higher merger-related expenses recorded in the first half of 2011, totaling $41 million, compared with $10 million of similar costs recorded in the corresponding 2012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80"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Recent Accounting Developments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July 2012, the Financial Accounting Standards Board (“FASB”) issued amended accounting guidance relating to testing indefinite-lived intangible assets for impairment. The amendments are similar to the accounting guidance provided in September 2011 relating to the testing of goodwill for impairment. The amendments provide the option to first assess qualitative factors to determine whether the existence of events or circumstances leads to a determination that it is more likely than not that the indefinite-lived intangible asset is impaired. If, after assessing the totality of events and circumstances, an entity determines it is not more likely than not that the indefinite-lived intangible asset is impaired, then the entity is not required to take further action. However, if an entity concludes otherwise, then it is required to determine the fair value of the indefinite-lived intangible asset and perform the quantitative impairment test by comparing the fair value with the carrying amount. The optional guidance is effective for annual and interim impairment tests performed for fiscal years beginning after September 15, 2012, with early adoption permitted. The Company does not expect the guidance to have an impact on its financial position or results of operations.</w:t>
      </w:r>
    </w:p>
    <w:p>
      <w:pPr>
        <w:spacing w:after="0" w:line="1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2011, the FASB issued amended disclosure guidance relating to offsetting assets and liabilities. The amendments require disclosure of gross and net information about instruments and transactions eligible for offset in the statement of financial position and instruments and transactions subject to an agreement similar to a master netting arrangement. The scope of this guidance includes derivatives, sale and repurchase agreements and reverse sale and repurchase agreements, and securities borrowing and securities lending arrangements. The guidance is effective for annual reporting periods beginning on or after January 1, 2013, and interim periods within those annual periods. The new required disclosures should be applied retrospectively for all comparable periods presented. The Company intends to comply with the new disclosure guidance.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2011, the FASB issued amended accounting guidance relating to testing goodwill for impairment. The amendments provide the option to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an entity determines it is not more likely than not that the fair value of a reporting unit is less than its carrying amount, then performing the two-step impairment test is unnecessary. The optional guidance is effective for annual and interim goodwill impairment tests performed for fiscal years beginning after December 15, 2011, with early adoption permitted. The Company did not early adopt the optional accounting guidance for its goodwill impairment test as of October 1, 2011 and does not expect the guidance to have an impact on its financial position or results of operations.</w:t>
      </w:r>
    </w:p>
    <w:p>
      <w:pPr>
        <w:spacing w:after="0" w:line="11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In June 2011, the FASB issued amended presentation guidance relating to comprehensive income. The amendments eliminate the option to present the components of other comprehensive income as part of the statement of changes in shareholders’ equity and now require the presentation of total comprehensive income, the components of net income, and the components of other comprehensive income either in a single continuous statement of comprehensive income or in two separate but consecutive statements. In both options, an entity is required to present each component of net income along with total net income, each component of other comprehensive income along with a total for other comprehensive income, and a total amount for comprehensive income. With either approach, an entity would have been required to present reclassification adjustments for items reclassified from other comprehensive income to net income in the statement(s). In December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99" w:name="page100"/>
    <w:bookmarkEnd w:id="99"/>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2011, the reclassification adjustments guidance was deferred indefinitely. All other presentation guidance is effective for fiscal years, and interim periods within those years, beginning after December 15, 2011 and should be applied retrospectively. The Company has complied with the new presentation guidance using separate but consecutive statements.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the FASB issued amended accounting and disclosure guidance relating to fair value measurements. The amendments were the result of the FASB and the International Accounting Standards Board developing common requirements for measuring fair value and for disclosing information about fair value measurements. The amendments change the wording used to describe several of the requirements for measuring fair value and for disclosing information about fair value measurements, but generally do not result in a change in the application of the existing guidance. The guidance is effective for interim and annual periods beginning after December 15, 2011 and should be applied prospectively. The Company has complied with the amended accounting and disclosure guidance. The adoption of this guidance did not have a significant impact on any of the Company’s fair value measurements. The disclosures relating to fair value measurements can be found in note 12 of Notes to Financial Statements.</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April 2011, the FASB issued amended accounting guidance relating to the assessment of effective control for repurchase agreements. The amendments remove from the assessment of effective control the criterion requiring the transferor to have the ability to repurchase or redeem the financial assets on substantially the agreed terms, even in the event of default by the transferee. The amendments also remove the collateral maintenance implementation guidance related to that criterion. The guidance is effective for the first interim or annual period beginning on or after December 15, 2011 and should be applied prospectively to transactions or modifications of existing transactions that occur on or after the effective date. The adoption of this guidance did not have a significant effect on the Company’s financial position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Future Factors include changes in interest rates, spreads on earning assets and interest-bearing liabilities, and interest rate sensitivity; prepayment speeds, loan originations, credit losses and market values on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100" w:name="page101"/>
    <w:bookmarkEnd w:id="10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monetary policy and capital requirements;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280" w:right="2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Table 1</w:t>
            </w:r>
          </w:p>
        </w:tc>
        <w:tc>
          <w:tcPr>
            <w:tcW w:w="0" w:type="dxa"/>
            <w:vAlign w:val="bottom"/>
          </w:tcPr>
          <w:p>
            <w:pPr>
              <w:spacing w:after="0"/>
              <w:rPr>
                <w:sz w:val="1"/>
                <w:szCs w:val="1"/>
                <w:color w:val="auto"/>
              </w:rPr>
            </w:pPr>
          </w:p>
        </w:tc>
      </w:tr>
      <w:tr>
        <w:trPr>
          <w:trHeight w:val="378"/>
        </w:trPr>
        <w:tc>
          <w:tcPr>
            <w:tcW w:w="5260" w:type="dxa"/>
            <w:vAlign w:val="bottom"/>
            <w:gridSpan w:val="2"/>
          </w:tcPr>
          <w:p>
            <w:pPr>
              <w:spacing w:after="0"/>
              <w:rPr>
                <w:sz w:val="20"/>
                <w:szCs w:val="20"/>
                <w:color w:val="auto"/>
              </w:rPr>
            </w:pPr>
            <w:r>
              <w:rPr>
                <w:rFonts w:ascii="Arial" w:cs="Arial" w:eastAsia="Arial" w:hAnsi="Arial"/>
                <w:sz w:val="18"/>
                <w:szCs w:val="18"/>
                <w:color w:val="auto"/>
              </w:rPr>
              <w:t>QUARTERLY TRENDS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4"/>
          </w:tcPr>
          <w:p>
            <w:pPr>
              <w:jc w:val="right"/>
              <w:ind w:right="840"/>
              <w:spacing w:after="0"/>
              <w:rPr>
                <w:sz w:val="20"/>
                <w:szCs w:val="20"/>
                <w:color w:val="auto"/>
              </w:rPr>
            </w:pPr>
            <w:r>
              <w:rPr>
                <w:rFonts w:ascii="Arial" w:cs="Arial" w:eastAsia="Arial" w:hAnsi="Arial"/>
                <w:sz w:val="14"/>
                <w:szCs w:val="14"/>
                <w:color w:val="auto"/>
              </w:rPr>
              <w:t>2012 Quarters</w:t>
            </w: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color w:val="auto"/>
              </w:rPr>
              <w:t>Fourth</w:t>
            </w:r>
          </w:p>
        </w:tc>
        <w:tc>
          <w:tcPr>
            <w:tcW w:w="2020" w:type="dxa"/>
            <w:vAlign w:val="bottom"/>
            <w:gridSpan w:val="4"/>
          </w:tcPr>
          <w:p>
            <w:pPr>
              <w:jc w:val="right"/>
              <w:ind w:right="820"/>
              <w:spacing w:after="0"/>
              <w:rPr>
                <w:sz w:val="20"/>
                <w:szCs w:val="20"/>
                <w:color w:val="auto"/>
              </w:rPr>
            </w:pPr>
            <w:r>
              <w:rPr>
                <w:rFonts w:ascii="Arial" w:cs="Arial" w:eastAsia="Arial" w:hAnsi="Arial"/>
                <w:sz w:val="14"/>
                <w:szCs w:val="14"/>
                <w:color w:val="auto"/>
              </w:rPr>
              <w:t>2011 Quarters</w:t>
            </w: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color w:val="auto"/>
                <w:w w:val="88"/>
              </w:rPr>
              <w:t>Second</w:t>
            </w:r>
          </w:p>
        </w:tc>
        <w:tc>
          <w:tcPr>
            <w:tcW w:w="6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First</w:t>
            </w:r>
          </w:p>
        </w:tc>
        <w:tc>
          <w:tcPr>
            <w:tcW w:w="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color w:val="auto"/>
              </w:rPr>
              <w:t>Third</w:t>
            </w:r>
          </w:p>
        </w:tc>
        <w:tc>
          <w:tcPr>
            <w:tcW w:w="64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rPr>
              <w:t>Second</w:t>
            </w:r>
          </w:p>
        </w:tc>
        <w:tc>
          <w:tcPr>
            <w:tcW w:w="3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and dividends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i w:val="1"/>
                <w:iCs w:val="1"/>
                <w:color w:val="auto"/>
              </w:rPr>
              <w:t>Amounts in thousands, except per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(taxable-equivalent basis)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744,031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720,800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722,535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726,897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694,721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673,810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89,403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93,706</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97,969</w:t>
            </w: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103,632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102,051</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654,628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627,094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624,566</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623,265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592,670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575,131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provision for credit losses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60,000</w:t>
            </w:r>
          </w:p>
        </w:tc>
        <w:tc>
          <w:tcPr>
            <w:tcW w:w="620" w:type="dxa"/>
            <w:vAlign w:val="bottom"/>
          </w:tcPr>
          <w:p>
            <w:pPr>
              <w:jc w:val="right"/>
              <w:spacing w:after="0"/>
              <w:rPr>
                <w:sz w:val="20"/>
                <w:szCs w:val="20"/>
                <w:color w:val="auto"/>
              </w:rPr>
            </w:pPr>
            <w:r>
              <w:rPr>
                <w:rFonts w:ascii="Arial" w:cs="Arial" w:eastAsia="Arial" w:hAnsi="Arial"/>
                <w:sz w:val="18"/>
                <w:szCs w:val="18"/>
                <w:color w:val="auto"/>
              </w:rPr>
              <w:t>49,000</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74,000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58,000</w:t>
            </w:r>
          </w:p>
        </w:tc>
        <w:tc>
          <w:tcPr>
            <w:tcW w:w="640" w:type="dxa"/>
            <w:vAlign w:val="bottom"/>
          </w:tcPr>
          <w:p>
            <w:pPr>
              <w:jc w:val="right"/>
              <w:spacing w:after="0"/>
              <w:rPr>
                <w:sz w:val="20"/>
                <w:szCs w:val="20"/>
                <w:color w:val="auto"/>
              </w:rPr>
            </w:pPr>
            <w:r>
              <w:rPr>
                <w:rFonts w:ascii="Arial" w:cs="Arial" w:eastAsia="Arial" w:hAnsi="Arial"/>
                <w:sz w:val="18"/>
                <w:szCs w:val="18"/>
                <w:color w:val="auto"/>
              </w:rPr>
              <w:t>63,000</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391,650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376,723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398,454</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368,382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501,656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314,420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other expense</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6"/>
              </w:rPr>
              <w:t>627,392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639,695</w:t>
            </w: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95"/>
              </w:rPr>
              <w:t>739,583</w:t>
            </w: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662,019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576,895</w:t>
            </w: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499,571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358,886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315,122</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209,437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271,628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454,431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Applicable 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118,861</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101,954</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55,162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81,974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125,605</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Taxable-equivalent adjustment</w:t>
            </w:r>
          </w:p>
        </w:tc>
        <w:tc>
          <w:tcPr>
            <w:tcW w:w="2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6,645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3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6,535</w:t>
            </w:r>
          </w:p>
        </w:tc>
        <w:tc>
          <w:tcPr>
            <w:tcW w:w="10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6,468</w:t>
            </w:r>
          </w:p>
        </w:tc>
        <w:tc>
          <w:tcPr>
            <w:tcW w:w="3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233,380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206,463</w:t>
            </w:r>
          </w:p>
        </w:tc>
        <w:tc>
          <w:tcPr>
            <w:tcW w:w="3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147,740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183,108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322,358</w:t>
            </w:r>
          </w:p>
        </w:tc>
        <w:tc>
          <w:tcPr>
            <w:tcW w:w="3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206,273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shareholders-diluted</w:t>
            </w:r>
          </w:p>
        </w:tc>
        <w:tc>
          <w:tcPr>
            <w:tcW w:w="3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214,716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188,241</w:t>
            </w: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129,804</w:t>
            </w:r>
          </w:p>
        </w:tc>
        <w:tc>
          <w:tcPr>
            <w:tcW w:w="100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164,671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297,179</w:t>
            </w: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190,121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Per common share data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Diluted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1.71</w:t>
            </w:r>
          </w:p>
        </w:tc>
        <w:tc>
          <w:tcPr>
            <w:tcW w:w="620" w:type="dxa"/>
            <w:vAlign w:val="bottom"/>
          </w:tcPr>
          <w:p>
            <w:pPr>
              <w:jc w:val="right"/>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Average common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125,488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125,220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124,615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124,575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122,181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119,201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125,897</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125,616</w:t>
            </w:r>
          </w:p>
        </w:tc>
        <w:tc>
          <w:tcPr>
            <w:tcW w:w="3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124,736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124,860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122,796</w:t>
            </w:r>
          </w:p>
        </w:tc>
        <w:tc>
          <w:tcPr>
            <w:tcW w:w="3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119,852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Performance ratios, annualized</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Return 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Average common shareholders’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14.94%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interest margin on average earning assets (taxable-equivalent basis)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5"/>
              </w:rPr>
              <w:t>Nonaccrual loans to total loans and leases, net of unearned discount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operating (tangible) results (a)</w:t>
            </w:r>
          </w:p>
        </w:tc>
        <w:tc>
          <w:tcPr>
            <w:tcW w:w="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operating income (in thousands)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247,433</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218,360</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168,410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209,996</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289,487</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216,360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Diluted net operating income per common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Annualized return 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 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Average tangible common shareholders’ equity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18.54%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16.79%</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12.36%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24.24%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Efficiency ratio (b)</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61.09%</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61.79%</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millions, except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Average balances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(c)</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80,087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78,026</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78,393</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76,908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tangible assets (c)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76,455</w:t>
            </w:r>
          </w:p>
        </w:tc>
        <w:tc>
          <w:tcPr>
            <w:tcW w:w="620" w:type="dxa"/>
            <w:vAlign w:val="bottom"/>
          </w:tcPr>
          <w:p>
            <w:pPr>
              <w:jc w:val="right"/>
              <w:spacing w:after="0"/>
              <w:rPr>
                <w:sz w:val="20"/>
                <w:szCs w:val="20"/>
                <w:color w:val="auto"/>
              </w:rPr>
            </w:pPr>
            <w:r>
              <w:rPr>
                <w:rFonts w:ascii="Arial" w:cs="Arial" w:eastAsia="Arial" w:hAnsi="Arial"/>
                <w:sz w:val="18"/>
                <w:szCs w:val="18"/>
                <w:color w:val="auto"/>
              </w:rPr>
              <w:t>74,381</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74,737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73,239</w:t>
            </w:r>
          </w:p>
        </w:tc>
        <w:tc>
          <w:tcPr>
            <w:tcW w:w="640" w:type="dxa"/>
            <w:vAlign w:val="bottom"/>
          </w:tcPr>
          <w:p>
            <w:pPr>
              <w:jc w:val="right"/>
              <w:spacing w:after="0"/>
              <w:rPr>
                <w:sz w:val="20"/>
                <w:szCs w:val="20"/>
                <w:color w:val="auto"/>
              </w:rPr>
            </w:pPr>
            <w:r>
              <w:rPr>
                <w:rFonts w:ascii="Arial" w:cs="Arial" w:eastAsia="Arial" w:hAnsi="Arial"/>
                <w:sz w:val="18"/>
                <w:szCs w:val="18"/>
                <w:color w:val="auto"/>
              </w:rPr>
              <w:t>68,806</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70,450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68,771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67,215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7,271</w:t>
            </w:r>
          </w:p>
        </w:tc>
        <w:tc>
          <w:tcPr>
            <w:tcW w:w="620" w:type="dxa"/>
            <w:vAlign w:val="bottom"/>
          </w:tcPr>
          <w:p>
            <w:pPr>
              <w:jc w:val="right"/>
              <w:spacing w:after="0"/>
              <w:rPr>
                <w:sz w:val="20"/>
                <w:szCs w:val="20"/>
                <w:color w:val="auto"/>
              </w:rPr>
            </w:pPr>
            <w:r>
              <w:rPr>
                <w:rFonts w:ascii="Arial" w:cs="Arial" w:eastAsia="Arial" w:hAnsi="Arial"/>
                <w:sz w:val="18"/>
                <w:szCs w:val="18"/>
                <w:color w:val="auto"/>
              </w:rPr>
              <w:t>7,507</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7,633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7,005</w:t>
            </w:r>
          </w:p>
        </w:tc>
        <w:tc>
          <w:tcPr>
            <w:tcW w:w="640" w:type="dxa"/>
            <w:vAlign w:val="bottom"/>
          </w:tcPr>
          <w:p>
            <w:pPr>
              <w:jc w:val="right"/>
              <w:spacing w:after="0"/>
              <w:rPr>
                <w:sz w:val="20"/>
                <w:szCs w:val="20"/>
                <w:color w:val="auto"/>
              </w:rPr>
            </w:pPr>
            <w:r>
              <w:rPr>
                <w:rFonts w:ascii="Arial" w:cs="Arial" w:eastAsia="Arial" w:hAnsi="Arial"/>
                <w:sz w:val="18"/>
                <w:szCs w:val="18"/>
                <w:color w:val="auto"/>
              </w:rPr>
              <w:t>6,394</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60,484</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59,077</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55,461</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61,530</w:t>
            </w:r>
          </w:p>
        </w:tc>
        <w:tc>
          <w:tcPr>
            <w:tcW w:w="620" w:type="dxa"/>
            <w:vAlign w:val="bottom"/>
          </w:tcPr>
          <w:p>
            <w:pPr>
              <w:jc w:val="right"/>
              <w:spacing w:after="0"/>
              <w:rPr>
                <w:sz w:val="20"/>
                <w:szCs w:val="20"/>
                <w:color w:val="auto"/>
              </w:rPr>
            </w:pPr>
            <w:r>
              <w:rPr>
                <w:rFonts w:ascii="Arial" w:cs="Arial" w:eastAsia="Arial" w:hAnsi="Arial"/>
                <w:sz w:val="18"/>
                <w:szCs w:val="18"/>
                <w:color w:val="auto"/>
              </w:rPr>
              <w:t>59,291</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59,999</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58,473</w:t>
            </w:r>
          </w:p>
        </w:tc>
        <w:tc>
          <w:tcPr>
            <w:tcW w:w="640" w:type="dxa"/>
            <w:vAlign w:val="bottom"/>
          </w:tcPr>
          <w:p>
            <w:pPr>
              <w:jc w:val="right"/>
              <w:spacing w:after="0"/>
              <w:rPr>
                <w:sz w:val="20"/>
                <w:szCs w:val="20"/>
                <w:color w:val="auto"/>
              </w:rPr>
            </w:pPr>
            <w:r>
              <w:rPr>
                <w:rFonts w:ascii="Arial" w:cs="Arial" w:eastAsia="Arial" w:hAnsi="Arial"/>
                <w:sz w:val="18"/>
                <w:szCs w:val="18"/>
                <w:color w:val="auto"/>
              </w:rPr>
              <w:t>54,457</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shareholders’ equity (c)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8,668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8,549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Tangible common shareholders’ equity (c)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5,036</w:t>
            </w:r>
          </w:p>
        </w:tc>
        <w:tc>
          <w:tcPr>
            <w:tcW w:w="620" w:type="dxa"/>
            <w:vAlign w:val="bottom"/>
          </w:tcPr>
          <w:p>
            <w:pPr>
              <w:jc w:val="right"/>
              <w:spacing w:after="0"/>
              <w:rPr>
                <w:sz w:val="20"/>
                <w:szCs w:val="20"/>
                <w:color w:val="auto"/>
              </w:rPr>
            </w:pPr>
            <w:r>
              <w:rPr>
                <w:rFonts w:ascii="Arial" w:cs="Arial" w:eastAsia="Arial" w:hAnsi="Arial"/>
                <w:sz w:val="18"/>
                <w:szCs w:val="18"/>
                <w:color w:val="auto"/>
              </w:rPr>
              <w:t>4,865</w:t>
            </w:r>
          </w:p>
        </w:tc>
        <w:tc>
          <w:tcPr>
            <w:tcW w:w="3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4,893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4,793</w:t>
            </w:r>
          </w:p>
        </w:tc>
        <w:tc>
          <w:tcPr>
            <w:tcW w:w="640" w:type="dxa"/>
            <w:vAlign w:val="bottom"/>
          </w:tcPr>
          <w:p>
            <w:pPr>
              <w:jc w:val="right"/>
              <w:spacing w:after="0"/>
              <w:rPr>
                <w:sz w:val="20"/>
                <w:szCs w:val="20"/>
                <w:color w:val="auto"/>
              </w:rPr>
            </w:pPr>
            <w:r>
              <w:rPr>
                <w:rFonts w:ascii="Arial" w:cs="Arial" w:eastAsia="Arial" w:hAnsi="Arial"/>
                <w:sz w:val="18"/>
                <w:szCs w:val="18"/>
                <w:color w:val="auto"/>
              </w:rPr>
              <w:t>4,448</w:t>
            </w:r>
          </w:p>
        </w:tc>
        <w:tc>
          <w:tcPr>
            <w:tcW w:w="3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quarter</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Total assets (c)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80,808</w:t>
            </w:r>
          </w:p>
        </w:tc>
        <w:tc>
          <w:tcPr>
            <w:tcW w:w="620" w:type="dxa"/>
            <w:vAlign w:val="bottom"/>
          </w:tcPr>
          <w:p>
            <w:pPr>
              <w:jc w:val="right"/>
              <w:spacing w:after="0"/>
              <w:rPr>
                <w:sz w:val="20"/>
                <w:szCs w:val="20"/>
                <w:color w:val="auto"/>
              </w:rPr>
            </w:pPr>
            <w:r>
              <w:rPr>
                <w:rFonts w:ascii="Arial" w:cs="Arial" w:eastAsia="Arial" w:hAnsi="Arial"/>
                <w:sz w:val="18"/>
                <w:szCs w:val="18"/>
                <w:color w:val="auto"/>
              </w:rPr>
              <w:t>79,187</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77,924</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77,864</w:t>
            </w:r>
          </w:p>
        </w:tc>
        <w:tc>
          <w:tcPr>
            <w:tcW w:w="640" w:type="dxa"/>
            <w:vAlign w:val="bottom"/>
          </w:tcPr>
          <w:p>
            <w:pPr>
              <w:jc w:val="right"/>
              <w:spacing w:after="0"/>
              <w:rPr>
                <w:sz w:val="20"/>
                <w:szCs w:val="20"/>
                <w:color w:val="auto"/>
              </w:rPr>
            </w:pPr>
            <w:r>
              <w:rPr>
                <w:rFonts w:ascii="Arial" w:cs="Arial" w:eastAsia="Arial" w:hAnsi="Arial"/>
                <w:sz w:val="18"/>
                <w:szCs w:val="18"/>
                <w:color w:val="auto"/>
              </w:rPr>
              <w:t>77,727</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tangible assets (c)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77,181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75,548</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74,274</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74,052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Earning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71,065</w:t>
            </w:r>
          </w:p>
        </w:tc>
        <w:tc>
          <w:tcPr>
            <w:tcW w:w="620" w:type="dxa"/>
            <w:vAlign w:val="bottom"/>
          </w:tcPr>
          <w:p>
            <w:pPr>
              <w:jc w:val="right"/>
              <w:spacing w:after="0"/>
              <w:rPr>
                <w:sz w:val="20"/>
                <w:szCs w:val="20"/>
                <w:color w:val="auto"/>
              </w:rPr>
            </w:pPr>
            <w:r>
              <w:rPr>
                <w:rFonts w:ascii="Arial" w:cs="Arial" w:eastAsia="Arial" w:hAnsi="Arial"/>
                <w:sz w:val="18"/>
                <w:szCs w:val="18"/>
                <w:color w:val="auto"/>
              </w:rPr>
              <w:t>69,490</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68,027</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67,926</w:t>
            </w:r>
          </w:p>
        </w:tc>
        <w:tc>
          <w:tcPr>
            <w:tcW w:w="640" w:type="dxa"/>
            <w:vAlign w:val="bottom"/>
          </w:tcPr>
          <w:p>
            <w:pPr>
              <w:jc w:val="right"/>
              <w:spacing w:after="0"/>
              <w:rPr>
                <w:sz w:val="20"/>
                <w:szCs w:val="20"/>
                <w:color w:val="auto"/>
              </w:rPr>
            </w:pPr>
            <w:r>
              <w:rPr>
                <w:rFonts w:ascii="Arial" w:cs="Arial" w:eastAsia="Arial" w:hAnsi="Arial"/>
                <w:sz w:val="18"/>
                <w:szCs w:val="18"/>
                <w:color w:val="auto"/>
              </w:rPr>
              <w:t>67,837</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7,673</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Loans and leases, net of unearned discount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62,851</w:t>
            </w:r>
          </w:p>
        </w:tc>
        <w:tc>
          <w:tcPr>
            <w:tcW w:w="620" w:type="dxa"/>
            <w:vAlign w:val="bottom"/>
          </w:tcPr>
          <w:p>
            <w:pPr>
              <w:jc w:val="right"/>
              <w:spacing w:after="0"/>
              <w:rPr>
                <w:sz w:val="20"/>
                <w:szCs w:val="20"/>
                <w:color w:val="auto"/>
              </w:rPr>
            </w:pPr>
            <w:r>
              <w:rPr>
                <w:rFonts w:ascii="Arial" w:cs="Arial" w:eastAsia="Arial" w:hAnsi="Arial"/>
                <w:sz w:val="18"/>
                <w:szCs w:val="18"/>
                <w:color w:val="auto"/>
              </w:rPr>
              <w:t>60,922</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60,096</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58,401</w:t>
            </w:r>
          </w:p>
        </w:tc>
        <w:tc>
          <w:tcPr>
            <w:tcW w:w="640" w:type="dxa"/>
            <w:vAlign w:val="bottom"/>
          </w:tcPr>
          <w:p>
            <w:pPr>
              <w:jc w:val="right"/>
              <w:spacing w:after="0"/>
              <w:rPr>
                <w:sz w:val="20"/>
                <w:szCs w:val="20"/>
                <w:color w:val="auto"/>
              </w:rPr>
            </w:pPr>
            <w:r>
              <w:rPr>
                <w:rFonts w:ascii="Arial" w:cs="Arial" w:eastAsia="Arial" w:hAnsi="Arial"/>
                <w:sz w:val="18"/>
                <w:szCs w:val="18"/>
                <w:color w:val="auto"/>
              </w:rPr>
              <w:t>58,541</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62,549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60,913</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59,395</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59,229</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Common shareholders’ equity, net of undeclared cumulative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640"/>
              <w:spacing w:after="0"/>
              <w:rPr>
                <w:sz w:val="20"/>
                <w:szCs w:val="20"/>
                <w:color w:val="auto"/>
              </w:rPr>
            </w:pPr>
            <w:r>
              <w:rPr>
                <w:rFonts w:ascii="Arial" w:cs="Arial" w:eastAsia="Arial" w:hAnsi="Arial"/>
                <w:sz w:val="18"/>
                <w:szCs w:val="18"/>
                <w:color w:val="auto"/>
              </w:rPr>
              <w:t>preferred dividends (c)</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8,758</w:t>
            </w:r>
          </w:p>
        </w:tc>
        <w:tc>
          <w:tcPr>
            <w:tcW w:w="620" w:type="dxa"/>
            <w:vAlign w:val="bottom"/>
          </w:tcPr>
          <w:p>
            <w:pPr>
              <w:jc w:val="right"/>
              <w:spacing w:after="0"/>
              <w:rPr>
                <w:sz w:val="20"/>
                <w:szCs w:val="20"/>
                <w:color w:val="auto"/>
              </w:rPr>
            </w:pPr>
            <w:r>
              <w:rPr>
                <w:rFonts w:ascii="Arial" w:cs="Arial" w:eastAsia="Arial" w:hAnsi="Arial"/>
                <w:sz w:val="18"/>
                <w:szCs w:val="18"/>
                <w:color w:val="auto"/>
              </w:rPr>
              <w:t>8,559</w:t>
            </w:r>
          </w:p>
        </w:tc>
        <w:tc>
          <w:tcPr>
            <w:tcW w:w="38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8,403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8,509</w:t>
            </w:r>
          </w:p>
        </w:tc>
        <w:tc>
          <w:tcPr>
            <w:tcW w:w="640" w:type="dxa"/>
            <w:vAlign w:val="bottom"/>
          </w:tcPr>
          <w:p>
            <w:pPr>
              <w:jc w:val="right"/>
              <w:spacing w:after="0"/>
              <w:rPr>
                <w:sz w:val="20"/>
                <w:szCs w:val="20"/>
                <w:color w:val="auto"/>
              </w:rPr>
            </w:pPr>
            <w:r>
              <w:rPr>
                <w:rFonts w:ascii="Arial" w:cs="Arial" w:eastAsia="Arial" w:hAnsi="Arial"/>
                <w:sz w:val="18"/>
                <w:szCs w:val="18"/>
                <w:color w:val="auto"/>
              </w:rPr>
              <w:t>8,380</w:t>
            </w:r>
          </w:p>
        </w:tc>
        <w:tc>
          <w:tcPr>
            <w:tcW w:w="3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7,758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common shareholders’ equity (c)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4,753</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Equity per common share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69.15</w:t>
            </w:r>
          </w:p>
        </w:tc>
        <w:tc>
          <w:tcPr>
            <w:tcW w:w="620" w:type="dxa"/>
            <w:vAlign w:val="bottom"/>
          </w:tcPr>
          <w:p>
            <w:pPr>
              <w:jc w:val="right"/>
              <w:spacing w:after="0"/>
              <w:rPr>
                <w:sz w:val="20"/>
                <w:szCs w:val="20"/>
                <w:color w:val="auto"/>
              </w:rPr>
            </w:pPr>
            <w:r>
              <w:rPr>
                <w:rFonts w:ascii="Arial" w:cs="Arial" w:eastAsia="Arial" w:hAnsi="Arial"/>
                <w:sz w:val="18"/>
                <w:szCs w:val="18"/>
                <w:color w:val="auto"/>
              </w:rPr>
              <w:t>67.64</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66.82</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67.70</w:t>
            </w:r>
          </w:p>
        </w:tc>
        <w:tc>
          <w:tcPr>
            <w:tcW w:w="640" w:type="dxa"/>
            <w:vAlign w:val="bottom"/>
          </w:tcPr>
          <w:p>
            <w:pPr>
              <w:jc w:val="right"/>
              <w:spacing w:after="0"/>
              <w:rPr>
                <w:sz w:val="20"/>
                <w:szCs w:val="20"/>
                <w:color w:val="auto"/>
              </w:rPr>
            </w:pPr>
            <w:r>
              <w:rPr>
                <w:rFonts w:ascii="Arial" w:cs="Arial" w:eastAsia="Arial" w:hAnsi="Arial"/>
                <w:sz w:val="18"/>
                <w:szCs w:val="18"/>
                <w:color w:val="auto"/>
              </w:rPr>
              <w:t>66.71</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Tangible equity per common share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40.52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37.79</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3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Market price per common share</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High</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80.02</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76.92</w:t>
            </w:r>
          </w:p>
        </w:tc>
        <w:tc>
          <w:tcPr>
            <w:tcW w:w="620" w:type="dxa"/>
            <w:vAlign w:val="bottom"/>
          </w:tcPr>
          <w:p>
            <w:pPr>
              <w:jc w:val="right"/>
              <w:spacing w:after="0"/>
              <w:rPr>
                <w:sz w:val="20"/>
                <w:szCs w:val="20"/>
                <w:color w:val="auto"/>
              </w:rPr>
            </w:pPr>
            <w:r>
              <w:rPr>
                <w:rFonts w:ascii="Arial" w:cs="Arial" w:eastAsia="Arial" w:hAnsi="Arial"/>
                <w:sz w:val="18"/>
                <w:szCs w:val="18"/>
                <w:color w:val="auto"/>
              </w:rPr>
              <w:t>76.82</w:t>
            </w:r>
          </w:p>
        </w:tc>
        <w:tc>
          <w:tcPr>
            <w:tcW w:w="3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66.40</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66.41</w:t>
            </w:r>
          </w:p>
        </w:tc>
        <w:tc>
          <w:tcPr>
            <w:tcW w:w="640" w:type="dxa"/>
            <w:vAlign w:val="bottom"/>
          </w:tcPr>
          <w:p>
            <w:pPr>
              <w:jc w:val="right"/>
              <w:spacing w:after="0"/>
              <w:rPr>
                <w:sz w:val="20"/>
                <w:szCs w:val="20"/>
                <w:color w:val="auto"/>
              </w:rPr>
            </w:pPr>
            <w:r>
              <w:rPr>
                <w:rFonts w:ascii="Arial" w:cs="Arial" w:eastAsia="Arial" w:hAnsi="Arial"/>
                <w:sz w:val="18"/>
                <w:szCs w:val="18"/>
                <w:color w:val="auto"/>
              </w:rPr>
              <w:t>83.31</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Closing</w:t>
            </w: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82.57</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86.88</w:t>
            </w: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76.34</w:t>
            </w:r>
          </w:p>
        </w:tc>
        <w:tc>
          <w:tcPr>
            <w:tcW w:w="100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3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460" w:right="80" w:hanging="452"/>
        <w:spacing w:after="0" w:line="253" w:lineRule="auto"/>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amortization and balances related to goodwill and core deposit and other intangible assets and merger-related gains and expenses which, except in the calculation of the efficiency ratio, are net of applicable income tax effects. A reconciliation of net income and net operating income appears in Table 2.</w:t>
      </w:r>
    </w:p>
    <w:p>
      <w:pPr>
        <w:ind w:left="460" w:hanging="452"/>
        <w:spacing w:after="0"/>
        <w:tabs>
          <w:tab w:leader="none" w:pos="460" w:val="left"/>
        </w:tabs>
        <w:numPr>
          <w:ilvl w:val="0"/>
          <w:numId w:val="6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impact of merger-related gains and expenses and net securities transactions.</w:t>
      </w:r>
    </w:p>
    <w:p>
      <w:pPr>
        <w:spacing w:after="0" w:line="9" w:lineRule="exact"/>
        <w:rPr>
          <w:rFonts w:ascii="Arial" w:cs="Arial" w:eastAsia="Arial" w:hAnsi="Arial"/>
          <w:sz w:val="18"/>
          <w:szCs w:val="18"/>
          <w:i w:val="1"/>
          <w:iCs w:val="1"/>
          <w:color w:val="auto"/>
        </w:rPr>
      </w:pPr>
    </w:p>
    <w:p>
      <w:pPr>
        <w:ind w:left="460" w:right="440" w:hanging="452"/>
        <w:spacing w:after="0" w:line="361" w:lineRule="auto"/>
        <w:tabs>
          <w:tab w:leader="none" w:pos="460" w:val="left"/>
        </w:tabs>
        <w:numPr>
          <w:ilvl w:val="0"/>
          <w:numId w:val="65"/>
        </w:numPr>
        <w:rPr>
          <w:rFonts w:ascii="Arial" w:cs="Arial" w:eastAsia="Arial" w:hAnsi="Arial"/>
          <w:sz w:val="15"/>
          <w:szCs w:val="15"/>
          <w:i w:val="1"/>
          <w:iCs w:val="1"/>
          <w:color w:val="auto"/>
        </w:rPr>
      </w:pPr>
      <w:r>
        <w:rPr>
          <w:rFonts w:ascii="Arial" w:cs="Arial" w:eastAsia="Arial" w:hAnsi="Arial"/>
          <w:sz w:val="15"/>
          <w:szCs w:val="15"/>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ectPr>
          <w:pgSz w:w="11900" w:h="16838" w:orient="portrait"/>
          <w:cols w:equalWidth="0" w:num="1">
            <w:col w:w="11420"/>
          </w:cols>
          <w:pgMar w:left="240" w:top="320" w:right="239" w:bottom="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9019"/>
          </w:cols>
          <w:pgMar w:left="1440" w:top="131" w:right="1440" w:bottom="1440" w:gutter="0" w:footer="0" w:header="0"/>
        </w:sectPr>
      </w:pPr>
    </w:p>
    <w:bookmarkStart w:id="103" w:name="page104"/>
    <w:bookmarkEnd w:id="103"/>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Table 2</w:t>
            </w:r>
          </w:p>
        </w:tc>
      </w:tr>
      <w:tr>
        <w:trPr>
          <w:trHeight w:val="378"/>
        </w:trPr>
        <w:tc>
          <w:tcPr>
            <w:tcW w:w="6160" w:type="dxa"/>
            <w:vAlign w:val="bottom"/>
            <w:gridSpan w:val="5"/>
          </w:tcPr>
          <w:p>
            <w:pPr>
              <w:spacing w:after="0"/>
              <w:rPr>
                <w:sz w:val="20"/>
                <w:szCs w:val="20"/>
                <w:color w:val="auto"/>
              </w:rPr>
            </w:pPr>
            <w:r>
              <w:rPr>
                <w:rFonts w:ascii="Arial" w:cs="Arial" w:eastAsia="Arial" w:hAnsi="Arial"/>
                <w:sz w:val="18"/>
                <w:szCs w:val="18"/>
                <w:color w:val="auto"/>
              </w:rPr>
              <w:t>RECONCILIATION OF QUARTERLY GAAP TO NON-GAAP MEASURES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960"/>
              <w:spacing w:after="0"/>
              <w:rPr>
                <w:sz w:val="20"/>
                <w:szCs w:val="20"/>
                <w:color w:val="auto"/>
              </w:rPr>
            </w:pPr>
            <w:r>
              <w:rPr>
                <w:rFonts w:ascii="Arial" w:cs="Arial" w:eastAsia="Arial" w:hAnsi="Arial"/>
                <w:sz w:val="14"/>
                <w:szCs w:val="14"/>
                <w:color w:val="auto"/>
              </w:rPr>
              <w:t>2012 Quarters</w:t>
            </w: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gridSpan w:val="4"/>
          </w:tcPr>
          <w:p>
            <w:pPr>
              <w:jc w:val="right"/>
              <w:ind w:right="940"/>
              <w:spacing w:after="0"/>
              <w:rPr>
                <w:sz w:val="20"/>
                <w:szCs w:val="20"/>
                <w:color w:val="auto"/>
              </w:rPr>
            </w:pPr>
            <w:r>
              <w:rPr>
                <w:rFonts w:ascii="Arial" w:cs="Arial" w:eastAsia="Arial" w:hAnsi="Arial"/>
                <w:sz w:val="14"/>
                <w:szCs w:val="14"/>
                <w:color w:val="auto"/>
              </w:rPr>
              <w:t>2011 Quarters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color w:val="auto"/>
              </w:rPr>
              <w:t>Second</w:t>
            </w:r>
          </w:p>
        </w:tc>
        <w:tc>
          <w:tcPr>
            <w:tcW w:w="7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First</w:t>
            </w:r>
          </w:p>
        </w:tc>
        <w:tc>
          <w:tcPr>
            <w:tcW w:w="380" w:type="dxa"/>
            <w:vAlign w:val="bottom"/>
          </w:tcPr>
          <w:p>
            <w:pPr>
              <w:spacing w:after="0"/>
              <w:rPr>
                <w:sz w:val="12"/>
                <w:szCs w:val="12"/>
                <w:color w:val="auto"/>
              </w:rPr>
            </w:pPr>
          </w:p>
        </w:tc>
        <w:tc>
          <w:tcPr>
            <w:tcW w:w="1140" w:type="dxa"/>
            <w:vAlign w:val="bottom"/>
            <w:tcBorders>
              <w:top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color w:val="auto"/>
              </w:rPr>
              <w:t>Fourth</w:t>
            </w:r>
          </w:p>
        </w:tc>
        <w:tc>
          <w:tcPr>
            <w:tcW w:w="11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color w:val="auto"/>
              </w:rPr>
              <w:t>Third</w:t>
            </w:r>
          </w:p>
        </w:tc>
        <w:tc>
          <w:tcPr>
            <w:tcW w:w="102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color w:val="auto"/>
              </w:rPr>
              <w:t>Second</w:t>
            </w:r>
          </w:p>
        </w:tc>
        <w:tc>
          <w:tcPr>
            <w:tcW w:w="64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First</w:t>
            </w:r>
          </w:p>
        </w:tc>
        <w:tc>
          <w:tcPr>
            <w:tcW w:w="2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statement data</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233,380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206,463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147,740</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183,108</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322,358</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206,273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9,709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10,240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10,476</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Merger-related gain (a)</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(64,930)</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4,344</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1,657</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10,194</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16,266</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23,085</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Net operating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247,433</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218,360</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168,410</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209,996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289,487</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5"/>
              </w:rPr>
              <w:t>216,360</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1.50</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Merger-related gain (a)</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Merger-related expenses (a)</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 net operating earnings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1.82</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1.59</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1.20</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1.67</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627,392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639,695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739,583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662,019</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576,895</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499,571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(15,907)</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(16,774)</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(17,162)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(17,401)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(14,740)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(12,314)</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Merger-related expenses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(7,151)</w:t>
            </w:r>
          </w:p>
        </w:tc>
        <w:tc>
          <w:tcPr>
            <w:tcW w:w="11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(2,728)</w:t>
            </w:r>
          </w:p>
        </w:tc>
        <w:tc>
          <w:tcPr>
            <w:tcW w:w="11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(16,393)</w:t>
            </w: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(26,003)</w:t>
            </w:r>
          </w:p>
        </w:tc>
        <w:tc>
          <w:tcPr>
            <w:tcW w:w="10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(36,996)</w:t>
            </w:r>
          </w:p>
        </w:tc>
        <w:tc>
          <w:tcPr>
            <w:tcW w:w="8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(4,295)</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Noninterest operating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604,334</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620,193</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706,028</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618,615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525,159</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482,962</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Merger-related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3,024</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1,973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189</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Printing, postage and supplies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4,127</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740</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14,195</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24,876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4,062</w:t>
            </w: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7,151</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2,728</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16,393</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26,003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36,996</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Efficiency ratio</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Noninterest operating expense (numerator)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604,334</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620,193</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706,028</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618,615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525,159</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482,962</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Taxable-equivalent net interest income</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654,628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627,094</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624,566</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623,265</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592,670</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575,131</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391,650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376,723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398,454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368,382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501,656</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314,420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Gain (loss) on bank investment securities</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(408)</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110,744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39,353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OTTI losses recognized in earnings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(16,173)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(11,486)</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(24,822)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(9,642)</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(26,530)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(16,041)</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Merger-related gain</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1,062,859</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1,015,258</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1,047,841</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1,001,200</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945,182</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866,239</w:t>
            </w: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Efficiency ratio</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56.86%</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61.09%</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67.38%</w:t>
            </w:r>
          </w:p>
        </w:tc>
        <w:tc>
          <w:tcPr>
            <w:tcW w:w="11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61.79%</w:t>
            </w: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55.56%</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55.75%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i w:val="1"/>
                <w:iCs w:val="1"/>
                <w:color w:val="auto"/>
              </w:rPr>
              <w:t>In millions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Average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80,087</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78,026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78,393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76,908</w:t>
            </w:r>
          </w:p>
        </w:tc>
        <w:tc>
          <w:tcPr>
            <w:tcW w:w="640" w:type="dxa"/>
            <w:vAlign w:val="bottom"/>
          </w:tcPr>
          <w:p>
            <w:pPr>
              <w:jc w:val="right"/>
              <w:spacing w:after="0"/>
              <w:rPr>
                <w:sz w:val="20"/>
                <w:szCs w:val="20"/>
                <w:color w:val="auto"/>
              </w:rPr>
            </w:pPr>
            <w:r>
              <w:rPr>
                <w:rFonts w:ascii="Arial" w:cs="Arial" w:eastAsia="Arial" w:hAnsi="Arial"/>
                <w:sz w:val="18"/>
                <w:szCs w:val="18"/>
                <w:color w:val="auto"/>
              </w:rPr>
              <w:t>72,454</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68,045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Average tangible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76,455</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74,381</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74,737</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73,239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64,423</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common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Average total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9,536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9,376</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9,413</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9,324</w:t>
            </w:r>
          </w:p>
        </w:tc>
        <w:tc>
          <w:tcPr>
            <w:tcW w:w="640" w:type="dxa"/>
            <w:vAlign w:val="bottom"/>
          </w:tcPr>
          <w:p>
            <w:pPr>
              <w:jc w:val="right"/>
              <w:spacing w:after="0"/>
              <w:rPr>
                <w:sz w:val="20"/>
                <w:szCs w:val="20"/>
                <w:color w:val="auto"/>
              </w:rPr>
            </w:pPr>
            <w:r>
              <w:rPr>
                <w:rFonts w:ascii="Arial" w:cs="Arial" w:eastAsia="Arial" w:hAnsi="Arial"/>
                <w:sz w:val="18"/>
                <w:szCs w:val="18"/>
                <w:color w:val="auto"/>
              </w:rPr>
              <w:t>8,812</w:t>
            </w:r>
          </w:p>
        </w:tc>
        <w:tc>
          <w:tcPr>
            <w:tcW w:w="3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8,451</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(868)</w:t>
            </w:r>
          </w:p>
        </w:tc>
        <w:tc>
          <w:tcPr>
            <w:tcW w:w="11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w:t>
            </w:r>
          </w:p>
        </w:tc>
        <w:tc>
          <w:tcPr>
            <w:tcW w:w="11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(864)</w:t>
            </w:r>
          </w:p>
        </w:tc>
        <w:tc>
          <w:tcPr>
            <w:tcW w:w="11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(862)</w:t>
            </w: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(716)</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Average common equity</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8,668</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8,510</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8,549</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8,462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7,708</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(202)</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Average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5,036</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4,865</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4,893</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4,793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4,448</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4,086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end of quarter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80,808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79,187</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77,924</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77,864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67,881</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(3,525)</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(3,525)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(3,525)</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(3,525)</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51</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210"/>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Total tangible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77,181</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75,548</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74,274</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74,201</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74,052</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64,263</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Total common equity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9,630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9,429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9,271</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(868)</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(867)</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(865)</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(863)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(861)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Undeclared dividends - cumulative 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12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2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r>
      <w:tr>
        <w:trPr>
          <w:trHeight w:val="201"/>
        </w:trPr>
        <w:tc>
          <w:tcPr>
            <w:tcW w:w="20" w:type="dxa"/>
            <w:vAlign w:val="bottom"/>
          </w:tcPr>
          <w:p>
            <w:pPr>
              <w:spacing w:after="0"/>
              <w:rPr>
                <w:sz w:val="17"/>
                <w:szCs w:val="17"/>
                <w:color w:val="auto"/>
              </w:rPr>
            </w:pPr>
          </w:p>
        </w:tc>
        <w:tc>
          <w:tcPr>
            <w:tcW w:w="4980" w:type="dxa"/>
            <w:vAlign w:val="bottom"/>
          </w:tcPr>
          <w:p>
            <w:pPr>
              <w:ind w:left="420"/>
              <w:spacing w:after="0" w:line="201" w:lineRule="exact"/>
              <w:rPr>
                <w:sz w:val="20"/>
                <w:szCs w:val="20"/>
                <w:color w:val="auto"/>
              </w:rPr>
            </w:pPr>
            <w:r>
              <w:rPr>
                <w:rFonts w:ascii="Arial" w:cs="Arial" w:eastAsia="Arial" w:hAnsi="Arial"/>
                <w:sz w:val="18"/>
                <w:szCs w:val="18"/>
                <w:color w:val="auto"/>
              </w:rPr>
              <w:t>Common equity, net of undeclared cumulative preferred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dividends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8,758</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8,559</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8,403</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8,509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8,380</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7,758</w:t>
            </w:r>
          </w:p>
        </w:tc>
      </w:tr>
      <w:tr>
        <w:trPr>
          <w:trHeight w:val="211"/>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(3,525)</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(3,525)</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Core deposit and other intangible assets</w:t>
            </w: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(176)</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(193)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(210)</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140" w:type="dxa"/>
            <w:vAlign w:val="bottom"/>
            <w:tcBorders>
              <w:bottom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112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7"/>
        </w:trPr>
        <w:tc>
          <w:tcPr>
            <w:tcW w:w="20" w:type="dxa"/>
            <w:vAlign w:val="bottom"/>
          </w:tcPr>
          <w:p>
            <w:pPr>
              <w:spacing w:after="0"/>
              <w:rPr>
                <w:sz w:val="18"/>
                <w:szCs w:val="18"/>
                <w:color w:val="auto"/>
              </w:rPr>
            </w:pPr>
          </w:p>
        </w:tc>
        <w:tc>
          <w:tcPr>
            <w:tcW w:w="49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tangible common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5,131</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4,920</w:t>
            </w: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4,753</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4,846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4,140</w:t>
            </w:r>
          </w:p>
        </w:tc>
      </w:tr>
    </w:tbl>
    <w:p>
      <w:pPr>
        <w:sectPr>
          <w:pgSz w:w="11900" w:h="16870" w:orient="portrait"/>
          <w:cols w:equalWidth="0" w:num="1">
            <w:col w:w="11420"/>
          </w:cols>
          <w:pgMar w:left="240" w:top="320" w:right="239" w:bottom="0" w:gutter="0" w:footer="0" w:header="0"/>
        </w:sectPr>
      </w:pPr>
    </w:p>
    <w:bookmarkStart w:id="104" w:name="page105"/>
    <w:bookmarkEnd w:id="104"/>
    <w:p>
      <w:pPr>
        <w:ind w:left="460" w:hanging="452"/>
        <w:spacing w:after="0"/>
        <w:tabs>
          <w:tab w:leader="none" w:pos="460"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After any related tax effect.</w:t>
      </w:r>
    </w:p>
    <w:p>
      <w:pPr>
        <w:spacing w:after="0" w:line="158"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219"/>
          </w:cols>
          <w:pgMar w:left="240" w:top="334"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Table 3</w:t>
            </w:r>
          </w:p>
        </w:tc>
      </w:tr>
      <w:tr>
        <w:trPr>
          <w:trHeight w:val="378"/>
        </w:trPr>
        <w:tc>
          <w:tcPr>
            <w:tcW w:w="6940" w:type="dxa"/>
            <w:vAlign w:val="bottom"/>
            <w:gridSpan w:val="11"/>
          </w:tcPr>
          <w:p>
            <w:pPr>
              <w:spacing w:after="0"/>
              <w:rPr>
                <w:sz w:val="20"/>
                <w:szCs w:val="20"/>
                <w:color w:val="auto"/>
              </w:rPr>
            </w:pPr>
            <w:r>
              <w:rPr>
                <w:rFonts w:ascii="Arial" w:cs="Arial" w:eastAsia="Arial" w:hAnsi="Arial"/>
                <w:sz w:val="18"/>
                <w:szCs w:val="18"/>
                <w:color w:val="auto"/>
              </w:rPr>
              <w:t>AVERAGE BALANCE SHEETS AND ANNUALIZED TAXABLE-EQUIVALENT RATES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color w:val="auto"/>
                <w:w w:val="85"/>
              </w:rPr>
              <w:t>2012 Second Quarter</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4"/>
          </w:tcPr>
          <w:p>
            <w:pPr>
              <w:ind w:left="520"/>
              <w:spacing w:after="0"/>
              <w:rPr>
                <w:sz w:val="20"/>
                <w:szCs w:val="20"/>
                <w:color w:val="auto"/>
              </w:rPr>
            </w:pPr>
            <w:r>
              <w:rPr>
                <w:rFonts w:ascii="Arial" w:cs="Arial" w:eastAsia="Arial" w:hAnsi="Arial"/>
                <w:sz w:val="14"/>
                <w:szCs w:val="14"/>
                <w:color w:val="auto"/>
                <w:w w:val="87"/>
              </w:rPr>
              <w:t>2012 First Quarter</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6"/>
          </w:tcPr>
          <w:p>
            <w:pPr>
              <w:jc w:val="right"/>
              <w:ind w:right="640"/>
              <w:spacing w:after="0"/>
              <w:rPr>
                <w:sz w:val="20"/>
                <w:szCs w:val="20"/>
                <w:color w:val="auto"/>
              </w:rPr>
            </w:pPr>
            <w:r>
              <w:rPr>
                <w:rFonts w:ascii="Arial" w:cs="Arial" w:eastAsia="Arial" w:hAnsi="Arial"/>
                <w:sz w:val="14"/>
                <w:szCs w:val="14"/>
                <w:color w:val="auto"/>
              </w:rPr>
              <w:t>2011 Fourth Quarter</w:t>
            </w: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w w:val="95"/>
              </w:rPr>
              <w:t>Average</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4"/>
              </w:rPr>
              <w:t>Average</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Average</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4"/>
              </w:rPr>
              <w:t>Average</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Average</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Average</w:t>
            </w:r>
          </w:p>
        </w:tc>
      </w:tr>
      <w:tr>
        <w:trPr>
          <w:trHeight w:val="159"/>
        </w:trPr>
        <w:tc>
          <w:tcPr>
            <w:tcW w:w="418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420" w:type="dxa"/>
            <w:vAlign w:val="bottom"/>
          </w:tcPr>
          <w:p>
            <w:pPr>
              <w:spacing w:after="0"/>
              <w:rPr>
                <w:sz w:val="13"/>
                <w:szCs w:val="13"/>
                <w:color w:val="auto"/>
              </w:rPr>
            </w:pPr>
          </w:p>
        </w:tc>
        <w:tc>
          <w:tcPr>
            <w:tcW w:w="76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w w:val="94"/>
              </w:rPr>
              <w:t>Balance</w:t>
            </w:r>
          </w:p>
        </w:tc>
        <w:tc>
          <w:tcPr>
            <w:tcW w:w="86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Interest</w:t>
            </w:r>
          </w:p>
        </w:tc>
        <w:tc>
          <w:tcPr>
            <w:tcW w:w="7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Rate</w:t>
            </w:r>
          </w:p>
        </w:tc>
        <w:tc>
          <w:tcPr>
            <w:tcW w:w="7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w w:val="94"/>
              </w:rPr>
              <w:t>Balance</w:t>
            </w:r>
          </w:p>
        </w:tc>
        <w:tc>
          <w:tcPr>
            <w:tcW w:w="8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Interest</w:t>
            </w:r>
          </w:p>
        </w:tc>
        <w:tc>
          <w:tcPr>
            <w:tcW w:w="7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Rate</w:t>
            </w:r>
          </w:p>
        </w:tc>
        <w:tc>
          <w:tcPr>
            <w:tcW w:w="7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w w:val="90"/>
              </w:rPr>
              <w:t>Balance</w:t>
            </w: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Interest</w:t>
            </w:r>
          </w:p>
        </w:tc>
        <w:tc>
          <w:tcPr>
            <w:tcW w:w="66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Rate</w:t>
            </w: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Commercial, financial, etc.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16,104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$149,107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3.72%</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15,732</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145,134</w:t>
            </w: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15,392</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146,768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3.78%</w:t>
            </w: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 commercial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24,737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287,724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24,559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271,539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24,108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269,516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Real estate - consumer</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9,216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102,164</w:t>
            </w:r>
          </w:p>
        </w:tc>
        <w:tc>
          <w:tcPr>
            <w:tcW w:w="460" w:type="dxa"/>
            <w:vAlign w:val="bottom"/>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8,286</w:t>
            </w:r>
          </w:p>
        </w:tc>
        <w:tc>
          <w:tcPr>
            <w:tcW w:w="640" w:type="dxa"/>
            <w:vAlign w:val="bottom"/>
          </w:tcPr>
          <w:p>
            <w:pPr>
              <w:jc w:val="right"/>
              <w:spacing w:after="0"/>
              <w:rPr>
                <w:sz w:val="20"/>
                <w:szCs w:val="20"/>
                <w:color w:val="auto"/>
              </w:rPr>
            </w:pPr>
            <w:r>
              <w:rPr>
                <w:rFonts w:ascii="Arial" w:cs="Arial" w:eastAsia="Arial" w:hAnsi="Arial"/>
                <w:sz w:val="18"/>
                <w:szCs w:val="18"/>
                <w:color w:val="auto"/>
              </w:rPr>
              <w:t>95,308</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540" w:type="dxa"/>
            <w:vAlign w:val="bottom"/>
          </w:tcPr>
          <w:p>
            <w:pPr>
              <w:jc w:val="right"/>
              <w:spacing w:after="0"/>
              <w:rPr>
                <w:sz w:val="20"/>
                <w:szCs w:val="20"/>
                <w:color w:val="auto"/>
              </w:rPr>
            </w:pPr>
            <w:r>
              <w:rPr>
                <w:rFonts w:ascii="Arial" w:cs="Arial" w:eastAsia="Arial" w:hAnsi="Arial"/>
                <w:sz w:val="18"/>
                <w:szCs w:val="18"/>
                <w:color w:val="auto"/>
              </w:rPr>
              <w:t>7,480</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89,185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11,769</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141,031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11,907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142,083</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12,097</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148,538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 loans and leases, net</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83"/>
              </w:rPr>
              <w:t>61,826</w:t>
            </w: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680,026</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8"/>
              </w:rPr>
              <w:t>60,484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654,064</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4.35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59,077</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2"/>
              </w:rPr>
              <w:t>654,007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1,247</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5"/>
              </w:rPr>
              <w:t>Federal funds sold and agreements to resell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42,229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222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2,979</w:t>
            </w: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640" w:type="dxa"/>
            <w:vAlign w:val="bottom"/>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5.45</w:t>
            </w: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3,362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2,279</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19,638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21,467</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21,409</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 investment securities</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7,271</w:t>
            </w: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62,819</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7,507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66,153</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3.54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7,633</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67,000</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earning assets</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70,450</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744,031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68,388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720,800</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68,771</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722,535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200" w:type="dxa"/>
            <w:vAlign w:val="bottom"/>
            <w:shd w:val="clear" w:color="auto" w:fill="CCEEFF"/>
          </w:tcPr>
          <w:p>
            <w:pPr>
              <w:spacing w:after="0"/>
              <w:rPr>
                <w:sz w:val="18"/>
                <w:szCs w:val="18"/>
                <w:color w:val="auto"/>
              </w:rPr>
            </w:pPr>
          </w:p>
        </w:tc>
      </w:tr>
      <w:tr>
        <w:trPr>
          <w:trHeight w:val="221"/>
        </w:trPr>
        <w:tc>
          <w:tcPr>
            <w:tcW w:w="418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(918)</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(919)</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9,205</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9,250</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3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80,087</w:t>
            </w:r>
          </w:p>
        </w:tc>
        <w:tc>
          <w:tcPr>
            <w:tcW w:w="6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78,026</w:t>
            </w:r>
          </w:p>
        </w:tc>
        <w:tc>
          <w:tcPr>
            <w:tcW w:w="6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78,393</w:t>
            </w: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accounts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841</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Savings deposits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33,286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16,940</w:t>
            </w: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32,410</w:t>
            </w:r>
          </w:p>
        </w:tc>
        <w:tc>
          <w:tcPr>
            <w:tcW w:w="640" w:type="dxa"/>
            <w:vAlign w:val="bottom"/>
          </w:tcPr>
          <w:p>
            <w:pPr>
              <w:jc w:val="right"/>
              <w:spacing w:after="0"/>
              <w:rPr>
                <w:sz w:val="20"/>
                <w:szCs w:val="20"/>
                <w:color w:val="auto"/>
              </w:rPr>
            </w:pPr>
            <w:r>
              <w:rPr>
                <w:rFonts w:ascii="Arial" w:cs="Arial" w:eastAsia="Arial" w:hAnsi="Arial"/>
                <w:sz w:val="18"/>
                <w:szCs w:val="18"/>
                <w:color w:val="auto"/>
              </w:rPr>
              <w:t>18,183</w:t>
            </w:r>
          </w:p>
        </w:tc>
        <w:tc>
          <w:tcPr>
            <w:tcW w:w="1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32,179</w:t>
            </w:r>
          </w:p>
        </w:tc>
        <w:tc>
          <w:tcPr>
            <w:tcW w:w="1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21,654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deposits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5,545</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14,949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r>
      <w:tr>
        <w:trPr>
          <w:trHeight w:val="223"/>
        </w:trPr>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Deposits at Cayman Islands office</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457</w:t>
            </w: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496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187</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Total interest-bearing deposits</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40,129</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29,950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39,693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32,188</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39,896</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37,105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r>
      <w:tr>
        <w:trPr>
          <w:trHeight w:val="221"/>
        </w:trPr>
        <w:tc>
          <w:tcPr>
            <w:tcW w:w="418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348</w:t>
            </w: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828</w:t>
            </w:r>
          </w:p>
        </w:tc>
        <w:tc>
          <w:tcPr>
            <w:tcW w:w="64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540" w:type="dxa"/>
            <w:vAlign w:val="bottom"/>
          </w:tcPr>
          <w:p>
            <w:pPr>
              <w:jc w:val="right"/>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r>
      <w:tr>
        <w:trPr>
          <w:trHeight w:val="218"/>
        </w:trPr>
        <w:tc>
          <w:tcPr>
            <w:tcW w:w="20" w:type="dxa"/>
            <w:vAlign w:val="bottom"/>
          </w:tcPr>
          <w:p>
            <w:pPr>
              <w:spacing w:after="0"/>
              <w:rPr>
                <w:sz w:val="18"/>
                <w:szCs w:val="18"/>
                <w:color w:val="auto"/>
              </w:rPr>
            </w:pPr>
          </w:p>
        </w:tc>
        <w:tc>
          <w:tcPr>
            <w:tcW w:w="4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6,102</w:t>
            </w:r>
          </w:p>
        </w:tc>
        <w:tc>
          <w:tcPr>
            <w:tcW w:w="8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59,105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61,215</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6,574</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60,695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40" w:type="dxa"/>
            <w:vAlign w:val="bottom"/>
          </w:tcPr>
          <w:p>
            <w:pPr>
              <w:ind w:left="640"/>
              <w:spacing w:after="0"/>
              <w:rPr>
                <w:sz w:val="20"/>
                <w:szCs w:val="20"/>
                <w:color w:val="auto"/>
              </w:rPr>
            </w:pPr>
            <w:r>
              <w:rPr>
                <w:rFonts w:ascii="Arial" w:cs="Arial" w:eastAsia="Arial" w:hAnsi="Arial"/>
                <w:sz w:val="18"/>
                <w:szCs w:val="18"/>
                <w:b w:val="1"/>
                <w:bCs w:val="1"/>
                <w:color w:val="auto"/>
              </w:rPr>
              <w:t>Total interest-bearing liabilities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47,106</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89,403</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47,028</w:t>
            </w:r>
          </w:p>
        </w:tc>
        <w:tc>
          <w:tcPr>
            <w:tcW w:w="640" w:type="dxa"/>
            <w:vAlign w:val="bottom"/>
          </w:tcPr>
          <w:p>
            <w:pPr>
              <w:jc w:val="right"/>
              <w:spacing w:after="0"/>
              <w:rPr>
                <w:sz w:val="20"/>
                <w:szCs w:val="20"/>
                <w:color w:val="auto"/>
              </w:rPr>
            </w:pPr>
            <w:r>
              <w:rPr>
                <w:rFonts w:ascii="Arial" w:cs="Arial" w:eastAsia="Arial" w:hAnsi="Arial"/>
                <w:sz w:val="18"/>
                <w:szCs w:val="18"/>
                <w:color w:val="auto"/>
              </w:rPr>
              <w:t>93,706</w:t>
            </w:r>
          </w:p>
        </w:tc>
        <w:tc>
          <w:tcPr>
            <w:tcW w:w="18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47,144</w:t>
            </w:r>
          </w:p>
        </w:tc>
        <w:tc>
          <w:tcPr>
            <w:tcW w:w="1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97,969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21,401</w:t>
            </w: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19,598</w:t>
            </w: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20,103</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2,044</w:t>
            </w: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2,024</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1,733</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70,551</w:t>
            </w: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68,650</w:t>
            </w: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68,980</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418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9,536</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9,376</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9,413</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39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Total liabilities and shareholders’ equity</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80,087</w:t>
            </w: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78,026</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78,393</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8"/>
        </w:trPr>
        <w:tc>
          <w:tcPr>
            <w:tcW w:w="4180" w:type="dxa"/>
            <w:vAlign w:val="bottom"/>
            <w:gridSpan w:val="3"/>
          </w:tcPr>
          <w:p>
            <w:pPr>
              <w:spacing w:after="0"/>
              <w:rPr>
                <w:sz w:val="20"/>
                <w:szCs w:val="20"/>
                <w:color w:val="auto"/>
              </w:rPr>
            </w:pPr>
            <w:r>
              <w:rPr>
                <w:rFonts w:ascii="Arial" w:cs="Arial" w:eastAsia="Arial" w:hAnsi="Arial"/>
                <w:sz w:val="18"/>
                <w:szCs w:val="18"/>
                <w:color w:val="auto"/>
              </w:rPr>
              <w:t>Net interest spread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r>
      <w:tr>
        <w:trPr>
          <w:trHeight w:val="218"/>
        </w:trPr>
        <w:tc>
          <w:tcPr>
            <w:tcW w:w="20" w:type="dxa"/>
            <w:vAlign w:val="bottom"/>
          </w:tcPr>
          <w:p>
            <w:pPr>
              <w:spacing w:after="0"/>
              <w:rPr>
                <w:sz w:val="18"/>
                <w:szCs w:val="18"/>
                <w:color w:val="auto"/>
              </w:rPr>
            </w:pPr>
          </w:p>
        </w:tc>
        <w:tc>
          <w:tcPr>
            <w:tcW w:w="4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22"/>
        </w:trPr>
        <w:tc>
          <w:tcPr>
            <w:tcW w:w="418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$654,628</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627,094</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624,566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3.60%</w:t>
            </w:r>
          </w:p>
        </w:tc>
      </w:tr>
      <w:tr>
        <w:trPr>
          <w:trHeight w:val="28"/>
        </w:trPr>
        <w:tc>
          <w:tcPr>
            <w:tcW w:w="240" w:type="dxa"/>
            <w:vAlign w:val="bottom"/>
            <w:gridSpan w:val="2"/>
            <w:shd w:val="clear" w:color="auto" w:fill="000000"/>
          </w:tcPr>
          <w:p>
            <w:pPr>
              <w:spacing w:after="0"/>
              <w:rPr>
                <w:sz w:val="2"/>
                <w:szCs w:val="2"/>
                <w:color w:val="auto"/>
              </w:rPr>
            </w:pPr>
          </w:p>
        </w:tc>
        <w:tc>
          <w:tcPr>
            <w:tcW w:w="39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430"/>
        </w:trPr>
        <w:tc>
          <w:tcPr>
            <w:tcW w:w="240" w:type="dxa"/>
            <w:vAlign w:val="bottom"/>
            <w:gridSpan w:val="2"/>
          </w:tcPr>
          <w:p>
            <w:pPr>
              <w:spacing w:after="0"/>
              <w:rPr>
                <w:sz w:val="20"/>
                <w:szCs w:val="20"/>
                <w:color w:val="auto"/>
              </w:rPr>
            </w:pPr>
            <w:r>
              <w:rPr>
                <w:rFonts w:ascii="Arial" w:cs="Arial" w:eastAsia="Arial" w:hAnsi="Arial"/>
                <w:sz w:val="18"/>
                <w:szCs w:val="18"/>
                <w:i w:val="1"/>
                <w:iCs w:val="1"/>
                <w:color w:val="auto"/>
              </w:rPr>
              <w:t>*</w:t>
            </w:r>
          </w:p>
        </w:tc>
        <w:tc>
          <w:tcPr>
            <w:tcW w:w="3940" w:type="dxa"/>
            <w:vAlign w:val="bottom"/>
          </w:tcPr>
          <w:p>
            <w:pPr>
              <w:ind w:left="160"/>
              <w:spacing w:after="0"/>
              <w:rPr>
                <w:sz w:val="20"/>
                <w:szCs w:val="20"/>
                <w:color w:val="auto"/>
              </w:rPr>
            </w:pPr>
            <w:r>
              <w:rPr>
                <w:rFonts w:ascii="Arial" w:cs="Arial" w:eastAsia="Arial" w:hAnsi="Arial"/>
                <w:sz w:val="18"/>
                <w:szCs w:val="18"/>
                <w:i w:val="1"/>
                <w:iCs w:val="1"/>
                <w:color w:val="auto"/>
              </w:rPr>
              <w:t>Includes nonaccrual loans.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(continued)</w:t>
            </w:r>
          </w:p>
        </w:tc>
      </w:tr>
    </w:tbl>
    <w:p>
      <w:pPr>
        <w:ind w:left="400" w:hanging="392"/>
        <w:spacing w:after="0"/>
        <w:tabs>
          <w:tab w:leader="none" w:pos="40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2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t>M&amp;T BANK CORPORATION AND SUBSIDIARIES</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Table 3 (continued)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AVERAGE BALANCE SHEETS AND ANNUALIZED TAXABLE-EQUIVALENT RATES (continued)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2011 Third Quarter</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60" w:type="dxa"/>
            <w:vAlign w:val="bottom"/>
            <w:gridSpan w:val="4"/>
          </w:tcPr>
          <w:p>
            <w:pPr>
              <w:ind w:left="540"/>
              <w:spacing w:after="0"/>
              <w:rPr>
                <w:sz w:val="20"/>
                <w:szCs w:val="20"/>
                <w:color w:val="auto"/>
              </w:rPr>
            </w:pPr>
            <w:r>
              <w:rPr>
                <w:rFonts w:ascii="Arial" w:cs="Arial" w:eastAsia="Arial" w:hAnsi="Arial"/>
                <w:sz w:val="14"/>
                <w:szCs w:val="14"/>
                <w:color w:val="auto"/>
                <w:w w:val="89"/>
              </w:rPr>
              <w:t>2011 Second Quarter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2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Average balance in millions; interest in thousands</w:t>
            </w:r>
          </w:p>
        </w:tc>
        <w:tc>
          <w:tcPr>
            <w:tcW w:w="600" w:type="dxa"/>
            <w:vAlign w:val="bottom"/>
            <w:gridSpan w:val="3"/>
          </w:tcPr>
          <w:p>
            <w:pPr>
              <w:ind w:left="60"/>
              <w:spacing w:after="0" w:line="149" w:lineRule="exact"/>
              <w:rPr>
                <w:sz w:val="20"/>
                <w:szCs w:val="20"/>
                <w:color w:val="auto"/>
              </w:rPr>
            </w:pPr>
            <w:r>
              <w:rPr>
                <w:rFonts w:ascii="Arial" w:cs="Arial" w:eastAsia="Arial" w:hAnsi="Arial"/>
                <w:sz w:val="14"/>
                <w:szCs w:val="14"/>
                <w:color w:val="auto"/>
                <w:w w:val="99"/>
              </w:rPr>
              <w:t>Average</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w w:val="80"/>
              </w:rPr>
              <w:t>Average</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1"/>
              </w:rPr>
              <w:t>Average</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66"/>
        </w:trPr>
        <w:tc>
          <w:tcPr>
            <w:tcW w:w="6320" w:type="dxa"/>
            <w:vAlign w:val="bottom"/>
            <w:gridSpan w:val="3"/>
            <w:vMerge w:val="continue"/>
          </w:tcPr>
          <w:p>
            <w:pPr>
              <w:spacing w:after="0"/>
              <w:rPr>
                <w:sz w:val="14"/>
                <w:szCs w:val="14"/>
                <w:color w:val="auto"/>
              </w:rPr>
            </w:pPr>
          </w:p>
        </w:tc>
        <w:tc>
          <w:tcPr>
            <w:tcW w:w="60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Balance</w:t>
            </w:r>
          </w:p>
        </w:tc>
        <w:tc>
          <w:tcPr>
            <w:tcW w:w="280" w:type="dxa"/>
            <w:vAlign w:val="bottom"/>
          </w:tcPr>
          <w:p>
            <w:pPr>
              <w:spacing w:after="0"/>
              <w:rPr>
                <w:sz w:val="14"/>
                <w:szCs w:val="14"/>
                <w:color w:val="auto"/>
              </w:rPr>
            </w:pPr>
          </w:p>
        </w:tc>
        <w:tc>
          <w:tcPr>
            <w:tcW w:w="96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Interest</w:t>
            </w:r>
          </w:p>
        </w:tc>
        <w:tc>
          <w:tcPr>
            <w:tcW w:w="840" w:type="dxa"/>
            <w:vAlign w:val="bottom"/>
            <w:gridSpan w:val="2"/>
          </w:tcPr>
          <w:p>
            <w:pPr>
              <w:jc w:val="right"/>
              <w:ind w:right="500"/>
              <w:spacing w:after="0" w:line="146" w:lineRule="exact"/>
              <w:rPr>
                <w:sz w:val="20"/>
                <w:szCs w:val="20"/>
                <w:color w:val="auto"/>
              </w:rPr>
            </w:pPr>
            <w:r>
              <w:rPr>
                <w:rFonts w:ascii="Arial" w:cs="Arial" w:eastAsia="Arial" w:hAnsi="Arial"/>
                <w:sz w:val="14"/>
                <w:szCs w:val="14"/>
                <w:color w:val="auto"/>
              </w:rPr>
              <w:t>Rate</w:t>
            </w:r>
          </w:p>
        </w:tc>
        <w:tc>
          <w:tcPr>
            <w:tcW w:w="840" w:type="dxa"/>
            <w:vAlign w:val="bottom"/>
            <w:gridSpan w:val="2"/>
          </w:tcPr>
          <w:p>
            <w:pPr>
              <w:jc w:val="right"/>
              <w:ind w:right="340"/>
              <w:spacing w:after="0" w:line="146" w:lineRule="exact"/>
              <w:rPr>
                <w:sz w:val="20"/>
                <w:szCs w:val="20"/>
                <w:color w:val="auto"/>
              </w:rPr>
            </w:pPr>
            <w:r>
              <w:rPr>
                <w:rFonts w:ascii="Arial" w:cs="Arial" w:eastAsia="Arial" w:hAnsi="Arial"/>
                <w:sz w:val="14"/>
                <w:szCs w:val="14"/>
                <w:color w:val="auto"/>
                <w:w w:val="94"/>
              </w:rPr>
              <w:t>Balance</w:t>
            </w:r>
          </w:p>
        </w:tc>
        <w:tc>
          <w:tcPr>
            <w:tcW w:w="920" w:type="dxa"/>
            <w:vAlign w:val="bottom"/>
            <w:gridSpan w:val="2"/>
          </w:tcPr>
          <w:p>
            <w:pPr>
              <w:ind w:left="120"/>
              <w:spacing w:after="0" w:line="146" w:lineRule="exact"/>
              <w:rPr>
                <w:sz w:val="20"/>
                <w:szCs w:val="20"/>
                <w:color w:val="auto"/>
              </w:rPr>
            </w:pPr>
            <w:r>
              <w:rPr>
                <w:rFonts w:ascii="Arial" w:cs="Arial" w:eastAsia="Arial" w:hAnsi="Arial"/>
                <w:sz w:val="14"/>
                <w:szCs w:val="14"/>
                <w:color w:val="auto"/>
              </w:rPr>
              <w:t>Interest</w:t>
            </w:r>
          </w:p>
        </w:tc>
        <w:tc>
          <w:tcPr>
            <w:tcW w:w="660" w:type="dxa"/>
            <w:vAlign w:val="bottom"/>
            <w:gridSpan w:val="2"/>
          </w:tcPr>
          <w:p>
            <w:pPr>
              <w:jc w:val="right"/>
              <w:ind w:right="300"/>
              <w:spacing w:after="0" w:line="146" w:lineRule="exact"/>
              <w:rPr>
                <w:sz w:val="20"/>
                <w:szCs w:val="20"/>
                <w:color w:val="auto"/>
              </w:rPr>
            </w:pPr>
            <w:r>
              <w:rPr>
                <w:rFonts w:ascii="Arial" w:cs="Arial" w:eastAsia="Arial" w:hAnsi="Arial"/>
                <w:sz w:val="14"/>
                <w:szCs w:val="14"/>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leases, net of unearned discount*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Commercial, financial, etc.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15,007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$144,677</w:t>
            </w:r>
          </w:p>
        </w:tc>
        <w:tc>
          <w:tcPr>
            <w:tcW w:w="3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3.82%</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14,623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141,723</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 commercial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23,979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277,193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22,471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257,787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Real estate - consumer</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7,002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86,651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6,559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81,943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12,200</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152,301</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11,808</w:t>
            </w: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148,028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Total loans and leases, net</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58,188</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660,822</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4"/>
              </w:rPr>
              <w:t>55,461</w:t>
            </w: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5"/>
              </w:rPr>
              <w:t>629,481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at banks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479</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Federal funds sold and agreements to resell securities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622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Trading account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37,805</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33,227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Obligations of states and political subdivisions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3,424</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5.43</w:t>
            </w:r>
          </w:p>
        </w:tc>
        <w:tc>
          <w:tcPr>
            <w:tcW w:w="3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3,439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2,531</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23,284</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2,708</w:t>
            </w: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27,627</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Total investment securities</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7,005</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64,513</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6,394</w:t>
            </w: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64,293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earning assets</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67,215</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726,897</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63,382</w:t>
            </w: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694,721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gridSpan w:val="3"/>
          </w:tcPr>
          <w:p>
            <w:pPr>
              <w:spacing w:after="0"/>
              <w:rPr>
                <w:sz w:val="20"/>
                <w:szCs w:val="20"/>
                <w:color w:val="auto"/>
              </w:rPr>
            </w:pPr>
            <w:r>
              <w:rPr>
                <w:rFonts w:ascii="Arial" w:cs="Arial" w:eastAsia="Arial" w:hAnsi="Arial"/>
                <w:sz w:val="18"/>
                <w:szCs w:val="18"/>
                <w:color w:val="auto"/>
              </w:rPr>
              <w:t>Allowance for credit losses</w:t>
            </w:r>
          </w:p>
        </w:tc>
        <w:tc>
          <w:tcPr>
            <w:tcW w:w="80" w:type="dxa"/>
            <w:vAlign w:val="bottom"/>
          </w:tcPr>
          <w:p>
            <w:pPr>
              <w:spacing w:after="0"/>
              <w:rPr>
                <w:sz w:val="19"/>
                <w:szCs w:val="19"/>
                <w:color w:val="auto"/>
              </w:rPr>
            </w:pPr>
          </w:p>
        </w:tc>
        <w:tc>
          <w:tcPr>
            <w:tcW w:w="800" w:type="dxa"/>
            <w:vAlign w:val="bottom"/>
            <w:gridSpan w:val="3"/>
          </w:tcPr>
          <w:p>
            <w:pPr>
              <w:jc w:val="right"/>
              <w:ind w:right="153"/>
              <w:spacing w:after="0"/>
              <w:rPr>
                <w:sz w:val="20"/>
                <w:szCs w:val="20"/>
                <w:color w:val="auto"/>
              </w:rPr>
            </w:pPr>
            <w:r>
              <w:rPr>
                <w:rFonts w:ascii="Arial" w:cs="Arial" w:eastAsia="Arial" w:hAnsi="Arial"/>
                <w:sz w:val="18"/>
                <w:szCs w:val="18"/>
                <w:color w:val="auto"/>
              </w:rPr>
              <w:t>(917)</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(913)</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9,324</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8,869</w:t>
            </w:r>
          </w:p>
        </w:tc>
        <w:tc>
          <w:tcPr>
            <w:tcW w:w="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76,908</w:t>
            </w: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72,454</w:t>
            </w:r>
          </w:p>
        </w:tc>
        <w:tc>
          <w:tcPr>
            <w:tcW w:w="6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NOW accounts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420"/>
              <w:spacing w:after="0"/>
              <w:rPr>
                <w:sz w:val="20"/>
                <w:szCs w:val="20"/>
                <w:color w:val="auto"/>
              </w:rPr>
            </w:pPr>
            <w:r>
              <w:rPr>
                <w:rFonts w:ascii="Arial" w:cs="Arial" w:eastAsia="Arial" w:hAnsi="Arial"/>
                <w:sz w:val="18"/>
                <w:szCs w:val="18"/>
                <w:color w:val="auto"/>
              </w:rPr>
              <w:t>Savings deposits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31,654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22,664</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30,043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20,757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17,684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19,310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Deposits at Cayman Islands office</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614</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820</w:t>
            </w: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193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40,251</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38,262</w:t>
            </w: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40,534</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6,829</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62,520</w:t>
            </w: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7,076</w:t>
            </w:r>
          </w:p>
        </w:tc>
        <w:tc>
          <w:tcPr>
            <w:tcW w:w="9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61,370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47,672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103,632</w:t>
            </w:r>
          </w:p>
        </w:tc>
        <w:tc>
          <w:tcPr>
            <w:tcW w:w="3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46,045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102,051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18,222</w:t>
            </w: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16,195</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1,690</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1,402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67,584</w:t>
            </w: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63,642</w:t>
            </w: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9,324</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8,812</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76,908</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72,454</w:t>
            </w:r>
          </w:p>
        </w:tc>
        <w:tc>
          <w:tcPr>
            <w:tcW w:w="6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20" w:type="dxa"/>
            <w:vAlign w:val="bottom"/>
            <w:gridSpan w:val="3"/>
          </w:tcPr>
          <w:p>
            <w:pPr>
              <w:spacing w:after="0"/>
              <w:rPr>
                <w:sz w:val="20"/>
                <w:szCs w:val="20"/>
                <w:color w:val="auto"/>
              </w:rPr>
            </w:pPr>
            <w:r>
              <w:rPr>
                <w:rFonts w:ascii="Arial" w:cs="Arial" w:eastAsia="Arial" w:hAnsi="Arial"/>
                <w:sz w:val="18"/>
                <w:szCs w:val="18"/>
                <w:color w:val="auto"/>
              </w:rPr>
              <w:t>Net interest spread</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Contribution of interest-free funds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3"/>
          </w:tcPr>
          <w:p>
            <w:pPr>
              <w:spacing w:after="0"/>
              <w:rPr>
                <w:sz w:val="20"/>
                <w:szCs w:val="20"/>
                <w:color w:val="auto"/>
              </w:rPr>
            </w:pPr>
            <w:r>
              <w:rPr>
                <w:rFonts w:ascii="Arial" w:cs="Arial" w:eastAsia="Arial" w:hAnsi="Arial"/>
                <w:sz w:val="18"/>
                <w:szCs w:val="18"/>
                <w:color w:val="auto"/>
              </w:rPr>
              <w:t>Net interest income/margin on earning assets</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$623,265</w:t>
            </w:r>
          </w:p>
        </w:tc>
        <w:tc>
          <w:tcPr>
            <w:tcW w:w="3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592,670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8"/>
        </w:trPr>
        <w:tc>
          <w:tcPr>
            <w:tcW w:w="20" w:type="dxa"/>
            <w:vAlign w:val="bottom"/>
            <w:shd w:val="clear" w:color="auto" w:fill="000000"/>
          </w:tcPr>
          <w:p>
            <w:pPr>
              <w:spacing w:after="0"/>
              <w:rPr>
                <w:sz w:val="2"/>
                <w:szCs w:val="2"/>
                <w:color w:val="auto"/>
              </w:rPr>
            </w:pPr>
          </w:p>
        </w:tc>
        <w:tc>
          <w:tcPr>
            <w:tcW w:w="2900" w:type="dxa"/>
            <w:vAlign w:val="bottom"/>
            <w:shd w:val="clear" w:color="auto" w:fill="000000"/>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15"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 for sale securities at amortized cost.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320" w:right="239" w:bottom="1440" w:gutter="0" w:footer="0" w:header="0"/>
        </w:sectPr>
      </w:pPr>
    </w:p>
    <w:bookmarkStart w:id="107" w:name="page108"/>
    <w:bookmarkEnd w:id="107"/>
    <w:p>
      <w:pPr>
        <w:spacing w:after="0"/>
        <w:tabs>
          <w:tab w:leader="none" w:pos="10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25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90" w:lineRule="exact"/>
        <w:rPr>
          <w:sz w:val="20"/>
          <w:szCs w:val="20"/>
          <w:color w:val="auto"/>
        </w:rPr>
      </w:pPr>
    </w:p>
    <w:p>
      <w:pPr>
        <w:ind w:right="140" w:firstLine="464"/>
        <w:spacing w:after="0" w:line="306" w:lineRule="auto"/>
        <w:tabs>
          <w:tab w:leader="none" w:pos="6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Evaluation of disclosure controls and procedures. Based upon their evaluation of the effectiveness of M&amp;T’s disclosure controls and procedures (as defined in Exchange Act rules 13a-15(e) and 15d-15(e)), Robert G. Wilmers, Chairman of the Board and Chief Executive Officer, and René F. Jones, Executive Vice President and Chief Financial Officer, concluded that M&amp;T’s disclosure controls and procedures were effective as of June 30, 2012.</w:t>
      </w:r>
    </w:p>
    <w:p>
      <w:pPr>
        <w:spacing w:after="0" w:line="106" w:lineRule="exact"/>
        <w:rPr>
          <w:rFonts w:ascii="Arial" w:cs="Arial" w:eastAsia="Arial" w:hAnsi="Arial"/>
          <w:sz w:val="16"/>
          <w:szCs w:val="16"/>
          <w:color w:val="auto"/>
        </w:rPr>
      </w:pPr>
    </w:p>
    <w:p>
      <w:pPr>
        <w:ind w:right="80" w:firstLine="464"/>
        <w:spacing w:after="0" w:line="298" w:lineRule="auto"/>
        <w:tabs>
          <w:tab w:leader="none" w:pos="705" w:val="left"/>
        </w:tabs>
        <w:numPr>
          <w:ilvl w:val="0"/>
          <w:numId w:val="70"/>
        </w:numPr>
        <w:rPr>
          <w:rFonts w:ascii="Arial" w:cs="Arial" w:eastAsia="Arial" w:hAnsi="Arial"/>
          <w:sz w:val="16"/>
          <w:szCs w:val="16"/>
          <w:color w:val="auto"/>
        </w:rPr>
      </w:pPr>
      <w:r>
        <w:rPr>
          <w:rFonts w:ascii="Arial" w:cs="Arial" w:eastAsia="Arial" w:hAnsi="Arial"/>
          <w:sz w:val="16"/>
          <w:szCs w:val="16"/>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2012 that have materially affected, or are reasonably likely to materially affect, M&amp;T’s internal control over financial reporting.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or threatened against M&amp;T or its subsidiaries will be material to the Company’s consolidated financial position. On an on-going basis the Company assesses its liabilities and contingencies in connection with such legal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$40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4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There have been no material changes in risk factors relating to M&amp;T to those disclosed in response to Item 1A. to Part I of Form 10-K for the year ended December 31, 2011.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280" w:right="27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2"/>
        </w:trPr>
        <w:tc>
          <w:tcPr>
            <w:tcW w:w="8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546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320" w:type="dxa"/>
            <w:vAlign w:val="bottom"/>
            <w:gridSpan w:val="3"/>
          </w:tcPr>
          <w:p>
            <w:pPr>
              <w:ind w:left="460"/>
              <w:spacing w:after="0"/>
              <w:rPr>
                <w:sz w:val="20"/>
                <w:szCs w:val="20"/>
                <w:color w:val="auto"/>
              </w:rPr>
            </w:pPr>
            <w:r>
              <w:rPr>
                <w:rFonts w:ascii="Arial" w:cs="Arial" w:eastAsia="Arial" w:hAnsi="Arial"/>
                <w:sz w:val="18"/>
                <w:szCs w:val="18"/>
                <w:color w:val="auto"/>
              </w:rPr>
              <w:t>(a)–(b) Not applicable.</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60" w:type="dxa"/>
            <w:vAlign w:val="bottom"/>
            <w:gridSpan w:val="2"/>
          </w:tcPr>
          <w:p>
            <w:pPr>
              <w:ind w:left="460"/>
              <w:spacing w:after="0"/>
              <w:rPr>
                <w:sz w:val="20"/>
                <w:szCs w:val="20"/>
                <w:color w:val="auto"/>
              </w:rPr>
            </w:pPr>
            <w:r>
              <w:rPr>
                <w:rFonts w:ascii="Arial" w:cs="Arial" w:eastAsia="Arial" w:hAnsi="Arial"/>
                <w:sz w:val="18"/>
                <w:szCs w:val="18"/>
                <w:color w:val="auto"/>
              </w:rPr>
              <w:t>(c)</w:t>
            </w:r>
          </w:p>
        </w:tc>
        <w:tc>
          <w:tcPr>
            <w:tcW w:w="5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Issuer Purchases of Equity Securities</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(d) Maximum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(c)Total</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 (or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1"/>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(or Units)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of Shares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Purchased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(or Units)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(a)Total</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as Part of</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that may yet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2"/>
                <w:szCs w:val="12"/>
                <w:color w:val="auto"/>
              </w:rPr>
            </w:pPr>
          </w:p>
        </w:tc>
        <w:tc>
          <w:tcPr>
            <w:tcW w:w="120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4"/>
              </w:rPr>
              <w:t>(b)Average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Publicly</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be Purchased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Announced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4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Units)</w:t>
            </w:r>
          </w:p>
        </w:tc>
        <w:tc>
          <w:tcPr>
            <w:tcW w:w="54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per Share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Plans or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Plans or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546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 (1)</w:t>
            </w:r>
          </w:p>
        </w:tc>
        <w:tc>
          <w:tcPr>
            <w:tcW w:w="540" w:type="dxa"/>
            <w:vAlign w:val="bottom"/>
          </w:tcPr>
          <w:p>
            <w:pPr>
              <w:spacing w:after="0"/>
              <w:rPr>
                <w:sz w:val="14"/>
                <w:szCs w:val="14"/>
                <w:color w:val="auto"/>
              </w:rPr>
            </w:pPr>
          </w:p>
        </w:tc>
        <w:tc>
          <w:tcPr>
            <w:tcW w:w="1200" w:type="dxa"/>
            <w:vAlign w:val="bottom"/>
            <w:gridSpan w:val="3"/>
          </w:tcPr>
          <w:p>
            <w:pPr>
              <w:jc w:val="center"/>
              <w:ind w:right="540"/>
              <w:spacing w:after="0" w:line="148" w:lineRule="exact"/>
              <w:rPr>
                <w:sz w:val="20"/>
                <w:szCs w:val="20"/>
                <w:color w:val="auto"/>
              </w:rPr>
            </w:pPr>
            <w:r>
              <w:rPr>
                <w:rFonts w:ascii="Arial" w:cs="Arial" w:eastAsia="Arial" w:hAnsi="Arial"/>
                <w:sz w:val="14"/>
                <w:szCs w:val="14"/>
                <w:b w:val="1"/>
                <w:bCs w:val="1"/>
                <w:color w:val="auto"/>
                <w:w w:val="91"/>
              </w:rPr>
              <w:t>(or Unit)</w:t>
            </w:r>
          </w:p>
        </w:tc>
        <w:tc>
          <w:tcPr>
            <w:tcW w:w="12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5"/>
              </w:rPr>
              <w:t>Programs</w:t>
            </w:r>
          </w:p>
        </w:tc>
        <w:tc>
          <w:tcPr>
            <w:tcW w:w="9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Programs (2)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1 – April 30, 2012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3,677</w:t>
            </w:r>
          </w:p>
        </w:tc>
        <w:tc>
          <w:tcPr>
            <w:tcW w:w="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87.12</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2,181,500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May 1 – May 31, 2012</w:t>
            </w:r>
          </w:p>
        </w:tc>
        <w:tc>
          <w:tcPr>
            <w:tcW w:w="800" w:type="dxa"/>
            <w:vAlign w:val="bottom"/>
          </w:tcPr>
          <w:p>
            <w:pPr>
              <w:jc w:val="right"/>
              <w:spacing w:after="0"/>
              <w:rPr>
                <w:sz w:val="20"/>
                <w:szCs w:val="20"/>
                <w:color w:val="auto"/>
              </w:rPr>
            </w:pPr>
            <w:r>
              <w:rPr>
                <w:rFonts w:ascii="Arial" w:cs="Arial" w:eastAsia="Arial" w:hAnsi="Arial"/>
                <w:sz w:val="18"/>
                <w:szCs w:val="18"/>
                <w:color w:val="auto"/>
              </w:rPr>
              <w:t>15,295</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86.20</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2,181,500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June 30, 2012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82.57</w:t>
            </w: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gridSpan w:val="2"/>
            <w:vMerge w:val="restart"/>
          </w:tcPr>
          <w:p>
            <w:pPr>
              <w:ind w:left="460"/>
              <w:spacing w:after="0"/>
              <w:rPr>
                <w:sz w:val="20"/>
                <w:szCs w:val="20"/>
                <w:color w:val="auto"/>
              </w:rPr>
            </w:pPr>
            <w:r>
              <w:rPr>
                <w:rFonts w:ascii="Arial" w:cs="Arial" w:eastAsia="Arial" w:hAnsi="Arial"/>
                <w:sz w:val="18"/>
                <w:szCs w:val="18"/>
                <w:color w:val="auto"/>
                <w:w w:val="94"/>
              </w:rPr>
              <w:t>Total</w:t>
            </w:r>
          </w:p>
        </w:tc>
        <w:tc>
          <w:tcPr>
            <w:tcW w:w="5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2"/>
            <w:vMerge w:val="continue"/>
          </w:tcPr>
          <w:p>
            <w:pPr>
              <w:spacing w:after="0"/>
              <w:rPr>
                <w:sz w:val="18"/>
                <w:szCs w:val="18"/>
                <w:color w:val="auto"/>
              </w:rPr>
            </w:pPr>
          </w:p>
        </w:tc>
        <w:tc>
          <w:tcPr>
            <w:tcW w:w="5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19,650</w:t>
            </w:r>
          </w:p>
        </w:tc>
        <w:tc>
          <w:tcPr>
            <w:tcW w:w="7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86.25</w:t>
            </w: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line="303" w:lineRule="auto"/>
        <w:tabs>
          <w:tab w:leader="none" w:pos="460" w:val="left"/>
        </w:tabs>
        <w:numPr>
          <w:ilvl w:val="0"/>
          <w:numId w:val="71"/>
        </w:numPr>
        <w:rPr>
          <w:rFonts w:ascii="Arial" w:cs="Arial" w:eastAsia="Arial" w:hAnsi="Arial"/>
          <w:sz w:val="15"/>
          <w:szCs w:val="15"/>
          <w:i w:val="1"/>
          <w:iCs w:val="1"/>
          <w:color w:val="auto"/>
        </w:rPr>
      </w:pPr>
      <w:r>
        <w:rPr>
          <w:rFonts w:ascii="Arial" w:cs="Arial" w:eastAsia="Arial" w:hAnsi="Arial"/>
          <w:sz w:val="15"/>
          <w:szCs w:val="15"/>
          <w:i w:val="1"/>
          <w:iCs w:val="1"/>
          <w:color w:val="auto"/>
        </w:rPr>
        <w:t>The total number of shares purchased during the periods indicated includes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1" w:lineRule="exact"/>
        <w:rPr>
          <w:rFonts w:ascii="Arial" w:cs="Arial" w:eastAsia="Arial" w:hAnsi="Arial"/>
          <w:sz w:val="15"/>
          <w:szCs w:val="15"/>
          <w:i w:val="1"/>
          <w:iCs w:val="1"/>
          <w:color w:val="auto"/>
        </w:rPr>
      </w:pPr>
    </w:p>
    <w:p>
      <w:pPr>
        <w:ind w:left="460" w:right="200" w:hanging="452"/>
        <w:spacing w:after="0" w:line="261" w:lineRule="auto"/>
        <w:tabs>
          <w:tab w:leader="none" w:pos="460" w:val="left"/>
        </w:tabs>
        <w:numPr>
          <w:ilvl w:val="0"/>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On February 22, 2007, M&amp;T announced a program to purchase up to 5,000,000 shares of its common stock. No shares were purchased under such program during the periods indicated.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Mine Safety Disclosures.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 (None.)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240" w:top="280" w:right="65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2"/>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120" w:type="dxa"/>
            <w:vAlign w:val="bottom"/>
          </w:tcPr>
          <w:p>
            <w:pPr>
              <w:ind w:left="140"/>
              <w:spacing w:after="0"/>
              <w:rPr>
                <w:sz w:val="20"/>
                <w:szCs w:val="20"/>
                <w:color w:val="auto"/>
              </w:rPr>
            </w:pPr>
            <w:r>
              <w:rPr>
                <w:rFonts w:ascii="Arial" w:cs="Arial" w:eastAsia="Arial" w:hAnsi="Arial"/>
                <w:sz w:val="18"/>
                <w:szCs w:val="18"/>
                <w:color w:val="auto"/>
              </w:rPr>
              <w:t>Exhibits.</w:t>
            </w:r>
          </w:p>
        </w:tc>
      </w:tr>
      <w:tr>
        <w:trPr>
          <w:trHeight w:val="297"/>
        </w:trPr>
        <w:tc>
          <w:tcPr>
            <w:tcW w:w="420" w:type="dxa"/>
            <w:vAlign w:val="bottom"/>
          </w:tcPr>
          <w:p>
            <w:pPr>
              <w:spacing w:after="0"/>
              <w:rPr>
                <w:sz w:val="24"/>
                <w:szCs w:val="24"/>
                <w:color w:val="auto"/>
              </w:rPr>
            </w:pPr>
          </w:p>
        </w:tc>
        <w:tc>
          <w:tcPr>
            <w:tcW w:w="10600" w:type="dxa"/>
            <w:vAlign w:val="bottom"/>
            <w:gridSpan w:val="2"/>
          </w:tcPr>
          <w:p>
            <w:pPr>
              <w:ind w:left="40"/>
              <w:spacing w:after="0"/>
              <w:rPr>
                <w:sz w:val="20"/>
                <w:szCs w:val="20"/>
                <w:color w:val="auto"/>
              </w:rPr>
            </w:pPr>
            <w:r>
              <w:rPr>
                <w:rFonts w:ascii="Arial" w:cs="Arial" w:eastAsia="Arial" w:hAnsi="Arial"/>
                <w:sz w:val="18"/>
                <w:szCs w:val="18"/>
                <w:color w:val="auto"/>
              </w:rPr>
              <w:t>The following exhibits are filed as a part of this report.</w:t>
            </w:r>
          </w:p>
        </w:tc>
      </w:tr>
      <w:tr>
        <w:trPr>
          <w:trHeight w:val="342"/>
        </w:trPr>
        <w:tc>
          <w:tcPr>
            <w:tcW w:w="9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120" w:type="dxa"/>
            <w:vAlign w:val="bottom"/>
          </w:tcPr>
          <w:p>
            <w:pPr>
              <w:spacing w:after="0"/>
              <w:rPr>
                <w:sz w:val="24"/>
                <w:szCs w:val="24"/>
                <w:color w:val="auto"/>
              </w:rPr>
            </w:pPr>
          </w:p>
        </w:tc>
      </w:tr>
      <w:tr>
        <w:trPr>
          <w:trHeight w:val="159"/>
        </w:trPr>
        <w:tc>
          <w:tcPr>
            <w:tcW w:w="900" w:type="dxa"/>
            <w:vAlign w:val="bottom"/>
            <w:gridSpan w:val="2"/>
          </w:tcPr>
          <w:p>
            <w:pPr>
              <w:spacing w:after="0" w:line="159" w:lineRule="exact"/>
              <w:rPr>
                <w:sz w:val="20"/>
                <w:szCs w:val="20"/>
                <w:color w:val="auto"/>
              </w:rPr>
            </w:pPr>
            <w:r>
              <w:rPr>
                <w:rFonts w:ascii="Arial" w:cs="Arial" w:eastAsia="Arial" w:hAnsi="Arial"/>
                <w:sz w:val="14"/>
                <w:szCs w:val="14"/>
                <w:color w:val="auto"/>
              </w:rPr>
              <w:t>No.</w:t>
            </w:r>
          </w:p>
        </w:tc>
        <w:tc>
          <w:tcPr>
            <w:tcW w:w="10120" w:type="dxa"/>
            <w:vAlign w:val="bottom"/>
          </w:tcPr>
          <w:p>
            <w:pPr>
              <w:spacing w:after="0"/>
              <w:rPr>
                <w:sz w:val="13"/>
                <w:szCs w:val="13"/>
                <w:color w:val="auto"/>
              </w:rPr>
            </w:pPr>
          </w:p>
        </w:tc>
      </w:tr>
      <w:tr>
        <w:trPr>
          <w:trHeight w:val="329"/>
        </w:trPr>
        <w:tc>
          <w:tcPr>
            <w:tcW w:w="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5"/>
              </w:rPr>
              <w:t>31.1</w:t>
            </w:r>
          </w:p>
        </w:tc>
        <w:tc>
          <w:tcPr>
            <w:tcW w:w="48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420" w:type="dxa"/>
            <w:vAlign w:val="bottom"/>
          </w:tcPr>
          <w:p>
            <w:pPr>
              <w:ind w:left="100"/>
              <w:spacing w:after="0"/>
              <w:rPr>
                <w:sz w:val="20"/>
                <w:szCs w:val="20"/>
                <w:color w:val="auto"/>
              </w:rPr>
            </w:pPr>
            <w:r>
              <w:rPr>
                <w:rFonts w:ascii="Arial" w:cs="Arial" w:eastAsia="Arial" w:hAnsi="Arial"/>
                <w:sz w:val="18"/>
                <w:szCs w:val="18"/>
                <w:color w:val="auto"/>
                <w:w w:val="85"/>
              </w:rPr>
              <w:t>31.2</w:t>
            </w:r>
          </w:p>
        </w:tc>
        <w:tc>
          <w:tcPr>
            <w:tcW w:w="48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420" w:type="dxa"/>
            <w:vAlign w:val="bottom"/>
          </w:tcPr>
          <w:p>
            <w:pPr>
              <w:ind w:left="100"/>
              <w:spacing w:after="0"/>
              <w:rPr>
                <w:sz w:val="20"/>
                <w:szCs w:val="20"/>
                <w:color w:val="auto"/>
              </w:rPr>
            </w:pPr>
            <w:r>
              <w:rPr>
                <w:rFonts w:ascii="Arial" w:cs="Arial" w:eastAsia="Arial" w:hAnsi="Arial"/>
                <w:sz w:val="18"/>
                <w:szCs w:val="18"/>
                <w:color w:val="auto"/>
                <w:w w:val="85"/>
              </w:rPr>
              <w:t>32.1</w:t>
            </w:r>
          </w:p>
        </w:tc>
        <w:tc>
          <w:tcPr>
            <w:tcW w:w="48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420" w:type="dxa"/>
            <w:vAlign w:val="bottom"/>
          </w:tcPr>
          <w:p>
            <w:pPr>
              <w:ind w:left="100"/>
              <w:spacing w:after="0"/>
              <w:rPr>
                <w:sz w:val="20"/>
                <w:szCs w:val="20"/>
                <w:color w:val="auto"/>
              </w:rPr>
            </w:pPr>
            <w:r>
              <w:rPr>
                <w:rFonts w:ascii="Arial" w:cs="Arial" w:eastAsia="Arial" w:hAnsi="Arial"/>
                <w:sz w:val="18"/>
                <w:szCs w:val="18"/>
                <w:color w:val="auto"/>
                <w:w w:val="85"/>
              </w:rPr>
              <w:t>32.2</w:t>
            </w:r>
          </w:p>
        </w:tc>
        <w:tc>
          <w:tcPr>
            <w:tcW w:w="480" w:type="dxa"/>
            <w:vAlign w:val="bottom"/>
          </w:tcPr>
          <w:p>
            <w:pPr>
              <w:spacing w:after="0"/>
              <w:rPr>
                <w:sz w:val="24"/>
                <w:szCs w:val="24"/>
                <w:color w:val="auto"/>
              </w:rPr>
            </w:pPr>
          </w:p>
        </w:tc>
        <w:tc>
          <w:tcPr>
            <w:tcW w:w="10120" w:type="dxa"/>
            <w:vAlign w:val="bottom"/>
          </w:tcPr>
          <w:p>
            <w:pPr>
              <w:ind w:left="30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30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68" w:lineRule="auto"/>
        <w:tabs>
          <w:tab w:leader="none" w:pos="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M&amp;T BANK CORPORATION</w:t>
      </w:r>
    </w:p>
    <w:p>
      <w:pPr>
        <w:spacing w:after="0" w:line="225" w:lineRule="exact"/>
        <w:rPr>
          <w:sz w:val="20"/>
          <w:szCs w:val="20"/>
          <w:color w:val="auto"/>
        </w:rPr>
      </w:pPr>
    </w:p>
    <w:p>
      <w:pPr>
        <w:spacing w:after="0"/>
        <w:tabs>
          <w:tab w:leader="none" w:pos="5900" w:val="left"/>
          <w:tab w:leader="none" w:pos="6600" w:val="left"/>
        </w:tabs>
        <w:rPr>
          <w:sz w:val="20"/>
          <w:szCs w:val="20"/>
          <w:color w:val="auto"/>
        </w:rPr>
      </w:pPr>
      <w:r>
        <w:rPr>
          <w:rFonts w:ascii="Arial" w:cs="Arial" w:eastAsia="Arial" w:hAnsi="Arial"/>
          <w:sz w:val="18"/>
          <w:szCs w:val="18"/>
          <w:color w:val="auto"/>
        </w:rPr>
        <w:t>Date: August 8, 2012</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280" w:right="4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40" w:type="dxa"/>
            <w:vAlign w:val="bottom"/>
          </w:tcPr>
          <w:p>
            <w:pPr>
              <w:ind w:left="4080"/>
              <w:spacing w:after="0"/>
              <w:rPr>
                <w:sz w:val="20"/>
                <w:szCs w:val="20"/>
                <w:color w:val="auto"/>
              </w:rPr>
            </w:pPr>
            <w:r>
              <w:rPr>
                <w:rFonts w:ascii="Arial" w:cs="Arial" w:eastAsia="Arial" w:hAnsi="Arial"/>
                <w:sz w:val="18"/>
                <w:szCs w:val="18"/>
                <w:color w:val="auto"/>
              </w:rPr>
              <w:t>EXHIBIT INDEX</w:t>
            </w:r>
          </w:p>
        </w:tc>
      </w:tr>
      <w:tr>
        <w:trPr>
          <w:trHeight w:val="342"/>
        </w:trPr>
        <w:tc>
          <w:tcPr>
            <w:tcW w:w="98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040" w:type="dxa"/>
            <w:vAlign w:val="bottom"/>
          </w:tcPr>
          <w:p>
            <w:pPr>
              <w:spacing w:after="0"/>
              <w:rPr>
                <w:sz w:val="24"/>
                <w:szCs w:val="24"/>
                <w:color w:val="auto"/>
              </w:rPr>
            </w:pPr>
          </w:p>
        </w:tc>
      </w:tr>
      <w:tr>
        <w:trPr>
          <w:trHeight w:val="159"/>
        </w:trPr>
        <w:tc>
          <w:tcPr>
            <w:tcW w:w="980" w:type="dxa"/>
            <w:vAlign w:val="bottom"/>
            <w:gridSpan w:val="2"/>
          </w:tcPr>
          <w:p>
            <w:pPr>
              <w:spacing w:after="0" w:line="159" w:lineRule="exact"/>
              <w:rPr>
                <w:sz w:val="20"/>
                <w:szCs w:val="20"/>
                <w:color w:val="auto"/>
              </w:rPr>
            </w:pPr>
            <w:r>
              <w:rPr>
                <w:rFonts w:ascii="Arial" w:cs="Arial" w:eastAsia="Arial" w:hAnsi="Arial"/>
                <w:sz w:val="14"/>
                <w:szCs w:val="14"/>
                <w:color w:val="auto"/>
              </w:rPr>
              <w:t>No.</w:t>
            </w:r>
          </w:p>
        </w:tc>
        <w:tc>
          <w:tcPr>
            <w:tcW w:w="10040" w:type="dxa"/>
            <w:vAlign w:val="bottom"/>
          </w:tcPr>
          <w:p>
            <w:pPr>
              <w:spacing w:after="0"/>
              <w:rPr>
                <w:sz w:val="13"/>
                <w:szCs w:val="13"/>
                <w:color w:val="auto"/>
              </w:rPr>
            </w:pPr>
          </w:p>
        </w:tc>
      </w:tr>
      <w:tr>
        <w:trPr>
          <w:trHeight w:val="329"/>
        </w:trPr>
        <w:tc>
          <w:tcPr>
            <w:tcW w:w="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5"/>
              </w:rPr>
              <w:t>31.1</w:t>
            </w:r>
          </w:p>
        </w:tc>
        <w:tc>
          <w:tcPr>
            <w:tcW w:w="56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under Section 302 of the Sarbanes-Oxley Act of 2002. Filed herewith.</w:t>
            </w:r>
          </w:p>
        </w:tc>
      </w:tr>
      <w:tr>
        <w:trPr>
          <w:trHeight w:val="324"/>
        </w:trPr>
        <w:tc>
          <w:tcPr>
            <w:tcW w:w="420" w:type="dxa"/>
            <w:vAlign w:val="bottom"/>
          </w:tcPr>
          <w:p>
            <w:pPr>
              <w:ind w:left="100"/>
              <w:spacing w:after="0"/>
              <w:rPr>
                <w:sz w:val="20"/>
                <w:szCs w:val="20"/>
                <w:color w:val="auto"/>
              </w:rPr>
            </w:pPr>
            <w:r>
              <w:rPr>
                <w:rFonts w:ascii="Arial" w:cs="Arial" w:eastAsia="Arial" w:hAnsi="Arial"/>
                <w:sz w:val="18"/>
                <w:szCs w:val="18"/>
                <w:color w:val="auto"/>
                <w:w w:val="85"/>
              </w:rPr>
              <w:t>31.2</w:t>
            </w:r>
          </w:p>
        </w:tc>
        <w:tc>
          <w:tcPr>
            <w:tcW w:w="56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under Section 302 of the Sarbanes-Oxley Act of 2002. Filed herewith.</w:t>
            </w:r>
          </w:p>
        </w:tc>
      </w:tr>
      <w:tr>
        <w:trPr>
          <w:trHeight w:val="324"/>
        </w:trPr>
        <w:tc>
          <w:tcPr>
            <w:tcW w:w="420" w:type="dxa"/>
            <w:vAlign w:val="bottom"/>
          </w:tcPr>
          <w:p>
            <w:pPr>
              <w:ind w:left="100"/>
              <w:spacing w:after="0"/>
              <w:rPr>
                <w:sz w:val="20"/>
                <w:szCs w:val="20"/>
                <w:color w:val="auto"/>
              </w:rPr>
            </w:pPr>
            <w:r>
              <w:rPr>
                <w:rFonts w:ascii="Arial" w:cs="Arial" w:eastAsia="Arial" w:hAnsi="Arial"/>
                <w:sz w:val="18"/>
                <w:szCs w:val="18"/>
                <w:color w:val="auto"/>
                <w:w w:val="85"/>
              </w:rPr>
              <w:t>32.1</w:t>
            </w:r>
          </w:p>
        </w:tc>
        <w:tc>
          <w:tcPr>
            <w:tcW w:w="56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Certification of Chief Executive Officer under 18 U.S.C. §1350 pursuant to Section 906 of the Sarbanes-Oxley Act of 2002. Filed herewith.</w:t>
            </w:r>
          </w:p>
        </w:tc>
      </w:tr>
      <w:tr>
        <w:trPr>
          <w:trHeight w:val="324"/>
        </w:trPr>
        <w:tc>
          <w:tcPr>
            <w:tcW w:w="420" w:type="dxa"/>
            <w:vAlign w:val="bottom"/>
          </w:tcPr>
          <w:p>
            <w:pPr>
              <w:ind w:left="100"/>
              <w:spacing w:after="0"/>
              <w:rPr>
                <w:sz w:val="20"/>
                <w:szCs w:val="20"/>
                <w:color w:val="auto"/>
              </w:rPr>
            </w:pPr>
            <w:r>
              <w:rPr>
                <w:rFonts w:ascii="Arial" w:cs="Arial" w:eastAsia="Arial" w:hAnsi="Arial"/>
                <w:sz w:val="18"/>
                <w:szCs w:val="18"/>
                <w:color w:val="auto"/>
                <w:w w:val="85"/>
              </w:rPr>
              <w:t>32.2</w:t>
            </w:r>
          </w:p>
        </w:tc>
        <w:tc>
          <w:tcPr>
            <w:tcW w:w="560" w:type="dxa"/>
            <w:vAlign w:val="bottom"/>
          </w:tcPr>
          <w:p>
            <w:pPr>
              <w:spacing w:after="0"/>
              <w:rPr>
                <w:sz w:val="24"/>
                <w:szCs w:val="24"/>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Certification of Chief Financial Officer under 18 U.S.C. §1350 pursuant to Section 906 of the Sarbanes-Oxley Act of 2002. Filed herewith.</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tcPr>
          <w:p>
            <w:pPr>
              <w:ind w:left="220"/>
              <w:spacing w:after="0"/>
              <w:rPr>
                <w:sz w:val="20"/>
                <w:szCs w:val="20"/>
                <w:color w:val="auto"/>
              </w:rPr>
            </w:pPr>
            <w:r>
              <w:rPr>
                <w:rFonts w:ascii="Arial" w:cs="Arial" w:eastAsia="Arial" w:hAnsi="Arial"/>
                <w:sz w:val="18"/>
                <w:szCs w:val="18"/>
                <w:color w:val="auto"/>
              </w:rPr>
              <w:t>XBRL Taxonomy Definition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68" w:lineRule="auto"/>
        <w:tabs>
          <w:tab w:leader="none" w:pos="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is furnished and not filed for purposes of Sections 11 and 12 of the Securities Act of 1933 and Section 18 of the Securities Exchange Act of 1934.</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280"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G. Wilmers, certify that:</w:t>
      </w:r>
    </w:p>
    <w:p>
      <w:pPr>
        <w:spacing w:after="0" w:line="90"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René F. Jones, certify that:</w:t>
      </w:r>
    </w:p>
    <w:p>
      <w:pPr>
        <w:spacing w:after="0" w:line="9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M&amp;T Bank Corporation;</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460" w:right="24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20" w:hanging="452"/>
        <w:spacing w:after="0" w:line="332"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80" w:hanging="452"/>
        <w:spacing w:after="0" w:line="259"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sz w:val="20"/>
          <w:szCs w:val="20"/>
          <w:color w:val="auto"/>
        </w:rPr>
      </w:pPr>
    </w:p>
    <w:p>
      <w:pPr>
        <w:ind w:left="460" w:right="460" w:hanging="452"/>
        <w:spacing w:after="0" w:line="332"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460" w:right="34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5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3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UNDER 18 U.S.C. §1350</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 Robert G. Wilmers, Chairman of the Board and Chief Executive Officer of M&amp;T Bank Corporation, certify, pursuant to Section 906 of the Sarbanes-Oxley Act of 2002, 18 U.S.C. Section 1350, that:</w:t>
      </w:r>
    </w:p>
    <w:p>
      <w:pPr>
        <w:spacing w:after="0" w:line="51" w:lineRule="exact"/>
        <w:rPr>
          <w:sz w:val="20"/>
          <w:szCs w:val="20"/>
          <w:color w:val="auto"/>
        </w:rPr>
      </w:pPr>
    </w:p>
    <w:p>
      <w:pPr>
        <w:ind w:left="900" w:right="20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2012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Wilmers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UNDER 18 U.S.C. §1350</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 René F. Jones, Executive Vice President and Chief Financial Officer of M&amp;T Bank Corporation, certify, pursuant to Section 906 of the Sarbanes-Oxley Act of 2002, 18 U.S.C. Section 1350, that:</w:t>
      </w:r>
    </w:p>
    <w:p>
      <w:pPr>
        <w:spacing w:after="0" w:line="51" w:lineRule="exact"/>
        <w:rPr>
          <w:sz w:val="20"/>
          <w:szCs w:val="20"/>
          <w:color w:val="auto"/>
        </w:rPr>
      </w:pPr>
    </w:p>
    <w:p>
      <w:pPr>
        <w:ind w:left="900" w:right="20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Quarterly Report on Form 10-Q of M&amp;T Bank Corporation for the quarterly period ended June 30, 2012 (the “Report”)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M&amp;T Bank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 foregoing certification is being furnished solely pursuant to 18 U.S.C. §1350 and is not being filed as part of the Report or as a separate disclosure document.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René F.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8, 2012</w:t>
      </w:r>
    </w:p>
    <w:p>
      <w:pPr>
        <w:spacing w:after="0" w:line="165"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2"/>
    </w:lvl>
  </w:abstractNum>
  <w:abstractNum w:abstractNumId="4">
    <w:nsid w:val="725A06FB"/>
    <w:multiLevelType w:val="hybridMultilevel"/>
    <w:lvl w:ilvl="0">
      <w:lvlJc w:val="left"/>
      <w:lvlText w:val="%1."/>
      <w:numFmt w:val="decimal"/>
      <w:start w:val="2"/>
    </w:lvl>
  </w:abstractNum>
  <w:abstractNum w:abstractNumId="5">
    <w:nsid w:val="2CD89A32"/>
    <w:multiLevelType w:val="hybridMultilevel"/>
    <w:lvl w:ilvl="0">
      <w:lvlJc w:val="left"/>
      <w:lvlText w:val="%1."/>
      <w:numFmt w:val="decimal"/>
      <w:start w:val="2"/>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decimal"/>
      <w:start w:val="3"/>
    </w:lvl>
  </w:abstractNum>
  <w:abstractNum w:abstractNumId="8">
    <w:nsid w:val="4B588F54"/>
    <w:multiLevelType w:val="hybridMultilevel"/>
    <w:lvl w:ilvl="0">
      <w:lvlJc w:val="left"/>
      <w:lvlText w:val="%1."/>
      <w:numFmt w:val="decimal"/>
      <w:start w:val="3"/>
    </w:lvl>
  </w:abstractNum>
  <w:abstractNum w:abstractNumId="9">
    <w:nsid w:val="542289EC"/>
    <w:multiLevelType w:val="hybridMultilevel"/>
    <w:lvl w:ilvl="0">
      <w:lvlJc w:val="left"/>
      <w:lvlText w:val="%1."/>
      <w:numFmt w:val="decimal"/>
      <w:start w:val="3"/>
    </w:lvl>
  </w:abstractNum>
  <w:abstractNum w:abstractNumId="10">
    <w:nsid w:val="6DE91B18"/>
    <w:multiLevelType w:val="hybridMultilevel"/>
    <w:lvl w:ilvl="0">
      <w:lvlJc w:val="left"/>
      <w:lvlText w:val="%1."/>
      <w:numFmt w:val="decimal"/>
      <w:start w:val="3"/>
    </w:lvl>
  </w:abstractNum>
  <w:abstractNum w:abstractNumId="11">
    <w:nsid w:val="38437FDB"/>
    <w:multiLevelType w:val="hybridMultilevel"/>
    <w:lvl w:ilvl="0">
      <w:lvlJc w:val="left"/>
      <w:lvlText w:val="%1."/>
      <w:numFmt w:val="decimal"/>
      <w:start w:val="3"/>
    </w:lvl>
  </w:abstractNum>
  <w:abstractNum w:abstractNumId="12">
    <w:nsid w:val="7644A45C"/>
    <w:multiLevelType w:val="hybridMultilevel"/>
    <w:lvl w:ilvl="0">
      <w:lvlJc w:val="left"/>
      <w:lvlText w:val="%1."/>
      <w:numFmt w:val="decimal"/>
      <w:start w:val="4"/>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decimal"/>
      <w:start w:val="4"/>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Letter"/>
      <w:start w:val="1"/>
    </w:lvl>
  </w:abstractNum>
  <w:abstractNum w:abstractNumId="18">
    <w:nsid w:val="1BA026FA"/>
    <w:multiLevelType w:val="hybridMultilevel"/>
    <w:lvl w:ilvl="0">
      <w:lvlJc w:val="left"/>
      <w:lvlText w:val="(%1)"/>
      <w:numFmt w:val="lowerLetter"/>
      <w:start w:val="1"/>
    </w:lvl>
  </w:abstractNum>
  <w:abstractNum w:abstractNumId="19">
    <w:nsid w:val="79A1DEAA"/>
    <w:multiLevelType w:val="hybridMultilevel"/>
    <w:lvl w:ilvl="0">
      <w:lvlJc w:val="left"/>
      <w:lvlText w:val="(%1)"/>
      <w:numFmt w:val="lowerLetter"/>
      <w:start w:val="1"/>
    </w:lvl>
  </w:abstractNum>
  <w:abstractNum w:abstractNumId="20">
    <w:nsid w:val="75C6C33A"/>
    <w:multiLevelType w:val="hybridMultilevel"/>
    <w:lvl w:ilvl="0">
      <w:lvlJc w:val="left"/>
      <w:lvlText w:val="%1."/>
      <w:numFmt w:val="decimal"/>
      <w:start w:val="5"/>
    </w:lvl>
  </w:abstractNum>
  <w:abstractNum w:abstractNumId="21">
    <w:nsid w:val="12E685FB"/>
    <w:multiLevelType w:val="hybridMultilevel"/>
    <w:lvl w:ilvl="0">
      <w:lvlJc w:val="left"/>
      <w:lvlText w:val="%1."/>
      <w:numFmt w:val="decimal"/>
      <w:start w:val="5"/>
    </w:lvl>
  </w:abstractNum>
  <w:abstractNum w:abstractNumId="22">
    <w:nsid w:val="70C6A529"/>
    <w:multiLevelType w:val="hybridMultilevel"/>
    <w:lvl w:ilvl="0">
      <w:lvlJc w:val="left"/>
      <w:lvlText w:val="%1."/>
      <w:numFmt w:val="decimal"/>
      <w:start w:val="6"/>
    </w:lvl>
  </w:abstractNum>
  <w:abstractNum w:abstractNumId="23">
    <w:nsid w:val="520EEDD1"/>
    <w:multiLevelType w:val="hybridMultilevel"/>
    <w:lvl w:ilvl="0">
      <w:lvlJc w:val="left"/>
      <w:lvlText w:val="(%1)"/>
      <w:numFmt w:val="lowerLetter"/>
      <w:start w:val="1"/>
    </w:lvl>
  </w:abstractNum>
  <w:abstractNum w:abstractNumId="24">
    <w:nsid w:val="374A3FE6"/>
    <w:multiLevelType w:val="hybridMultilevel"/>
    <w:lvl w:ilvl="0">
      <w:lvlJc w:val="left"/>
      <w:lvlText w:val="%1."/>
      <w:numFmt w:val="decimal"/>
      <w:start w:val="6"/>
    </w:lvl>
  </w:abstractNum>
  <w:abstractNum w:abstractNumId="25">
    <w:nsid w:val="4F4EF005"/>
    <w:multiLevelType w:val="hybridMultilevel"/>
    <w:lvl w:ilvl="0">
      <w:lvlJc w:val="left"/>
      <w:lvlText w:val="%1."/>
      <w:numFmt w:val="decimal"/>
      <w:start w:val="7"/>
    </w:lvl>
  </w:abstractNum>
  <w:abstractNum w:abstractNumId="26">
    <w:nsid w:val="23F9C13C"/>
    <w:multiLevelType w:val="hybridMultilevel"/>
    <w:lvl w:ilvl="0">
      <w:lvlJc w:val="left"/>
      <w:lvlText w:val="%1."/>
      <w:numFmt w:val="decimal"/>
      <w:start w:val="8"/>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decimal"/>
      <w:start w:val="9"/>
    </w:lvl>
  </w:abstractNum>
  <w:abstractNum w:abstractNumId="29">
    <w:nsid w:val="39386575"/>
    <w:multiLevelType w:val="hybridMultilevel"/>
    <w:lvl w:ilvl="0">
      <w:lvlJc w:val="left"/>
      <w:lvlText w:val="%1."/>
      <w:numFmt w:val="decimal"/>
      <w:start w:val="9"/>
    </w:lvl>
  </w:abstractNum>
  <w:abstractNum w:abstractNumId="30">
    <w:nsid w:val="1CF10FD8"/>
    <w:multiLevelType w:val="hybridMultilevel"/>
    <w:lvl w:ilvl="0">
      <w:lvlJc w:val="left"/>
      <w:lvlText w:val="%1."/>
      <w:numFmt w:val="decimal"/>
      <w:start w:val="10"/>
    </w:lvl>
  </w:abstractNum>
  <w:abstractNum w:abstractNumId="31">
    <w:nsid w:val="180115BE"/>
    <w:multiLevelType w:val="hybridMultilevel"/>
    <w:lvl w:ilvl="0">
      <w:lvlJc w:val="left"/>
      <w:lvlText w:val="(%1)"/>
      <w:numFmt w:val="lowerLetter"/>
      <w:start w:val="1"/>
    </w:lvl>
  </w:abstractNum>
  <w:abstractNum w:abstractNumId="32">
    <w:nsid w:val="235BA861"/>
    <w:multiLevelType w:val="hybridMultilevel"/>
    <w:lvl w:ilvl="0">
      <w:lvlJc w:val="left"/>
      <w:lvlText w:val="%1."/>
      <w:numFmt w:val="decimal"/>
      <w:start w:val="10"/>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decimal"/>
      <w:start w:val="10"/>
    </w:lvl>
  </w:abstractNum>
  <w:abstractNum w:abstractNumId="35">
    <w:nsid w:val="15B5AF5C"/>
    <w:multiLevelType w:val="hybridMultilevel"/>
    <w:lvl w:ilvl="0">
      <w:lvlJc w:val="left"/>
      <w:lvlText w:val="%1."/>
      <w:numFmt w:val="decimal"/>
      <w:start w:val="10"/>
    </w:lvl>
  </w:abstractNum>
  <w:abstractNum w:abstractNumId="36">
    <w:nsid w:val="741226BB"/>
    <w:multiLevelType w:val="hybridMultilevel"/>
    <w:lvl w:ilvl="0">
      <w:lvlJc w:val="left"/>
      <w:lvlText w:val="%1."/>
      <w:numFmt w:val="decimal"/>
      <w:start w:val="11"/>
    </w:lvl>
  </w:abstractNum>
  <w:abstractNum w:abstractNumId="37">
    <w:nsid w:val="D34B6A8"/>
    <w:multiLevelType w:val="hybridMultilevel"/>
    <w:lvl w:ilvl="0">
      <w:lvlJc w:val="left"/>
      <w:lvlText w:val="%1."/>
      <w:numFmt w:val="decimal"/>
      <w:start w:val="11"/>
    </w:lvl>
  </w:abstractNum>
  <w:abstractNum w:abstractNumId="38">
    <w:nsid w:val="10233C99"/>
    <w:multiLevelType w:val="hybridMultilevel"/>
    <w:lvl w:ilvl="0">
      <w:lvlJc w:val="left"/>
      <w:lvlText w:val="%1."/>
      <w:numFmt w:val="decimal"/>
      <w:start w:val="12"/>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1."/>
      <w:numFmt w:val="decimal"/>
      <w:start w:val="2"/>
    </w:lvl>
  </w:abstractNum>
  <w:abstractNum w:abstractNumId="41">
    <w:nsid w:val="7E0C57B1"/>
    <w:multiLevelType w:val="hybridMultilevel"/>
    <w:lvl w:ilvl="0">
      <w:lvlJc w:val="left"/>
      <w:lvlText w:val="%1."/>
      <w:numFmt w:val="decimal"/>
      <w:start w:val="12"/>
    </w:lvl>
  </w:abstractNum>
  <w:abstractNum w:abstractNumId="42">
    <w:nsid w:val="77AE35EB"/>
    <w:multiLevelType w:val="hybridMultilevel"/>
    <w:lvl w:ilvl="0">
      <w:lvlJc w:val="left"/>
      <w:lvlText w:val="%1."/>
      <w:numFmt w:val="decimal"/>
      <w:start w:val="12"/>
    </w:lvl>
  </w:abstractNum>
  <w:abstractNum w:abstractNumId="43">
    <w:nsid w:val="579BE4F1"/>
    <w:multiLevelType w:val="hybridMultilevel"/>
    <w:lvl w:ilvl="0">
      <w:lvlJc w:val="left"/>
      <w:lvlText w:val="%1."/>
      <w:numFmt w:val="decimal"/>
      <w:start w:val="12"/>
    </w:lvl>
  </w:abstractNum>
  <w:abstractNum w:abstractNumId="44">
    <w:nsid w:val="310C50B3"/>
    <w:multiLevelType w:val="hybridMultilevel"/>
    <w:lvl w:ilvl="0">
      <w:lvlJc w:val="left"/>
      <w:lvlText w:val="(%1)"/>
      <w:numFmt w:val="lowerLetter"/>
      <w:start w:val="1"/>
    </w:lvl>
  </w:abstractNum>
  <w:abstractNum w:abstractNumId="45">
    <w:nsid w:val="5FF87E05"/>
    <w:multiLevelType w:val="hybridMultilevel"/>
    <w:lvl w:ilvl="0">
      <w:lvlJc w:val="left"/>
      <w:lvlText w:val="%1."/>
      <w:numFmt w:val="decimal"/>
      <w:start w:val="12"/>
    </w:lvl>
  </w:abstractNum>
  <w:abstractNum w:abstractNumId="46">
    <w:nsid w:val="2F305DEF"/>
    <w:multiLevelType w:val="hybridMultilevel"/>
    <w:lvl w:ilvl="0">
      <w:lvlJc w:val="left"/>
      <w:lvlText w:val="%1."/>
      <w:numFmt w:val="decimal"/>
      <w:start w:val="12"/>
    </w:lvl>
  </w:abstractNum>
  <w:abstractNum w:abstractNumId="47">
    <w:nsid w:val="25A70BF7"/>
    <w:multiLevelType w:val="hybridMultilevel"/>
    <w:lvl w:ilvl="0">
      <w:lvlJc w:val="left"/>
      <w:lvlText w:val="%1."/>
      <w:numFmt w:val="decimal"/>
      <w:start w:val="12"/>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decimal"/>
      <w:start w:val="12"/>
    </w:lvl>
  </w:abstractNum>
  <w:abstractNum w:abstractNumId="50">
    <w:nsid w:val="1F48EAA1"/>
    <w:multiLevelType w:val="hybridMultilevel"/>
    <w:lvl w:ilvl="0">
      <w:lvlJc w:val="left"/>
      <w:lvlText w:val="%1."/>
      <w:numFmt w:val="decimal"/>
      <w:start w:val="12"/>
    </w:lvl>
  </w:abstractNum>
  <w:abstractNum w:abstractNumId="51">
    <w:nsid w:val="1381823A"/>
    <w:multiLevelType w:val="hybridMultilevel"/>
    <w:lvl w:ilvl="0">
      <w:lvlJc w:val="left"/>
      <w:lvlText w:val="(%1)"/>
      <w:numFmt w:val="lowerLetter"/>
      <w:start w:val="1"/>
    </w:lvl>
  </w:abstractNum>
  <w:abstractNum w:abstractNumId="52">
    <w:nsid w:val="5DB70AE5"/>
    <w:multiLevelType w:val="hybridMultilevel"/>
    <w:lvl w:ilvl="0">
      <w:lvlJc w:val="left"/>
      <w:lvlText w:val="%1."/>
      <w:numFmt w:val="decimal"/>
      <w:start w:val="12"/>
    </w:lvl>
  </w:abstractNum>
  <w:abstractNum w:abstractNumId="53">
    <w:nsid w:val="100F8FCA"/>
    <w:multiLevelType w:val="hybridMultilevel"/>
    <w:lvl w:ilvl="0">
      <w:lvlJc w:val="left"/>
      <w:lvlText w:val="%1."/>
      <w:numFmt w:val="decimal"/>
      <w:start w:val="12"/>
    </w:lvl>
  </w:abstractNum>
  <w:abstractNum w:abstractNumId="54">
    <w:nsid w:val="6590700B"/>
    <w:multiLevelType w:val="hybridMultilevel"/>
    <w:lvl w:ilvl="0">
      <w:lvlJc w:val="left"/>
      <w:lvlText w:val="%1."/>
      <w:numFmt w:val="decimal"/>
      <w:start w:val="13"/>
    </w:lvl>
  </w:abstractNum>
  <w:abstractNum w:abstractNumId="55">
    <w:nsid w:val="15014ACB"/>
    <w:multiLevelType w:val="hybridMultilevel"/>
    <w:lvl w:ilvl="0">
      <w:lvlJc w:val="left"/>
      <w:lvlText w:val="%1."/>
      <w:numFmt w:val="decimal"/>
      <w:start w:val="13"/>
    </w:lvl>
  </w:abstractNum>
  <w:abstractNum w:abstractNumId="56">
    <w:nsid w:val="5F5E7FD0"/>
    <w:multiLevelType w:val="hybridMultilevel"/>
    <w:lvl w:ilvl="0">
      <w:lvlJc w:val="left"/>
      <w:lvlText w:val="%1."/>
      <w:numFmt w:val="decimal"/>
      <w:start w:val="14"/>
    </w:lvl>
  </w:abstractNum>
  <w:abstractNum w:abstractNumId="57">
    <w:nsid w:val="98A3148"/>
    <w:multiLevelType w:val="hybridMultilevel"/>
    <w:lvl w:ilvl="0">
      <w:lvlJc w:val="left"/>
      <w:lvlText w:val="(%1)"/>
      <w:numFmt w:val="lowerLetter"/>
      <w:start w:val="1"/>
    </w:lvl>
  </w:abstractNum>
  <w:abstractNum w:abstractNumId="58">
    <w:nsid w:val="799D0247"/>
    <w:multiLevelType w:val="hybridMultilevel"/>
    <w:lvl w:ilvl="0">
      <w:lvlJc w:val="left"/>
      <w:lvlText w:val="%1."/>
      <w:numFmt w:val="decimal"/>
      <w:start w:val="15"/>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lowerLetter"/>
      <w:start w:val="1"/>
    </w:lvl>
  </w:abstractNum>
  <w:abstractNum w:abstractNumId="62">
    <w:nsid w:val="1EBA5D23"/>
    <w:multiLevelType w:val="hybridMultilevel"/>
    <w:lvl w:ilvl="0">
      <w:lvlJc w:val="left"/>
      <w:lvlText w:val="(%1)"/>
      <w:numFmt w:val="lowerLetter"/>
      <w:start w:val="1"/>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lowerLetter"/>
      <w:start w:val="1"/>
    </w:lvl>
  </w:abstractNum>
  <w:abstractNum w:abstractNumId="65">
    <w:nsid w:val="540A471C"/>
    <w:multiLevelType w:val="hybridMultilevel"/>
    <w:lvl w:ilvl="0">
      <w:lvlJc w:val="left"/>
      <w:lvlText w:val="(%1)"/>
      <w:numFmt w:val="lowerLetter"/>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lowerLetter"/>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1."/>
      <w:numFmt w:val="decimal"/>
      <w:start w:val="1"/>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decimal"/>
      <w:start w:val="5"/>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1"/>
    </w:lvl>
  </w:abstractNum>
  <w:abstractNum w:abstractNumId="78">
    <w:nsid w:val="60B6DF70"/>
    <w:multiLevelType w:val="hybridMultilevel"/>
    <w:lvl w:ilvl="0">
      <w:lvlJc w:val="left"/>
      <w:lvlText w:val="%1)"/>
      <w:numFmt w:val="lowerLetter"/>
      <w:start w:val="1"/>
    </w:lvl>
  </w:abstractNum>
  <w:abstractNum w:abstractNumId="79">
    <w:nsid w:val="6A5EE64"/>
    <w:multiLevelType w:val="hybridMultilevel"/>
    <w:lvl w:ilvl="0">
      <w:lvlJc w:val="left"/>
      <w:lvlText w:val="%1."/>
      <w:numFmt w:val="decimal"/>
      <w:start w:val="5"/>
    </w:lvl>
  </w:abstractNum>
  <w:abstractNum w:abstractNumId="80">
    <w:nsid w:val="14330624"/>
    <w:multiLevelType w:val="hybridMultilevel"/>
    <w:lvl w:ilvl="0">
      <w:lvlJc w:val="left"/>
      <w:lvlText w:val="%1)"/>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2019-12-09T06:12:46Z</dcterms:created>
  <dcterms:modified xsi:type="dcterms:W3CDTF">2019-12-09T06:12:46Z</dcterms:modified>
</cp:coreProperties>
</file>