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7"/>
              </w:rPr>
              <w:t>One M &amp; T Plaza</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Buffalo, New York</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(716) 842-5445</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8180" w:space="240"/>
            <w:col w:w="160" w:space="80"/>
            <w:col w:w="260" w:space="180"/>
            <w:col w:w="160" w:space="80"/>
            <w:col w:w="208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July 24, 2015: 133,238,280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June 30,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60" w:type="dxa"/>
            <w:vAlign w:val="bottom"/>
            <w:tcBorders>
              <w:bottom w:val="single" w:sz="8" w:color="auto"/>
            </w:tcBorders>
            <w:gridSpan w:val="12"/>
          </w:tcPr>
          <w:p>
            <w:pPr>
              <w:spacing w:after="0"/>
              <w:rPr>
                <w:sz w:val="20"/>
                <w:szCs w:val="20"/>
                <w:color w:val="auto"/>
              </w:rPr>
            </w:pPr>
            <w:r>
              <w:rPr>
                <w:rFonts w:ascii="Arial" w:cs="Arial" w:eastAsia="Arial" w:hAnsi="Arial"/>
                <w:sz w:val="14"/>
                <w:szCs w:val="14"/>
                <w:color w:val="auto"/>
                <w:w w:val="94"/>
              </w:rPr>
              <w:t>Table of Contents of Information Required in Report</w:t>
            </w:r>
          </w:p>
        </w:tc>
        <w:tc>
          <w:tcPr>
            <w:tcW w:w="7940" w:type="dxa"/>
            <w:vAlign w:val="bottom"/>
            <w:gridSpan w:val="11"/>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64"/>
        </w:trPr>
        <w:tc>
          <w:tcPr>
            <w:tcW w:w="110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320" w:type="dxa"/>
            <w:vAlign w:val="bottom"/>
          </w:tcPr>
          <w:p>
            <w:pPr>
              <w:spacing w:after="0"/>
              <w:rPr>
                <w:sz w:val="22"/>
                <w:szCs w:val="22"/>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2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 - June 30, 2015 and December 31, 2014</w:t>
              </w:r>
            </w:hyperlink>
          </w:p>
        </w:tc>
        <w:tc>
          <w:tcPr>
            <w:tcW w:w="398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six months ended June 30, 2015 and 2014</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COMPREHENSIVE INCOME – Three and six months ended June 30, 2015 and 2014</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tcBorders>
              <w:top w:val="single" w:sz="8" w:color="0000EE"/>
            </w:tcBorders>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Six months ended June 30, 2015 and 2014</w:t>
              </w:r>
            </w:hyperlink>
          </w:p>
        </w:tc>
        <w:tc>
          <w:tcPr>
            <w:tcW w:w="78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SHAREHOLDERS’ EQUITY - Six months ended June 30, 2015 and 2014</w:t>
              </w:r>
            </w:hyperlink>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78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8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Controls and Procedures.</w:t>
              </w:r>
            </w:hyperlink>
          </w:p>
        </w:tc>
        <w:tc>
          <w:tcPr>
            <w:tcW w:w="796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304"/>
        </w:trPr>
        <w:tc>
          <w:tcPr>
            <w:tcW w:w="244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05">
              <w:r>
                <w:rPr>
                  <w:rFonts w:ascii="Arial" w:cs="Arial" w:eastAsia="Arial" w:hAnsi="Arial"/>
                  <w:sz w:val="18"/>
                  <w:szCs w:val="18"/>
                  <w:color w:val="0000EE"/>
                  <w:w w:val="95"/>
                </w:rPr>
                <w:t>Part II. OTHER INFORMATION</w:t>
              </w:r>
            </w:hyperlink>
          </w:p>
        </w:tc>
        <w:tc>
          <w:tcPr>
            <w:tcW w:w="8560" w:type="dxa"/>
            <w:vAlign w:val="bottom"/>
            <w:gridSpan w:val="17"/>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780" w:type="dxa"/>
            <w:vAlign w:val="bottom"/>
            <w:gridSpan w:val="2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4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Unregistered Sales of Equity Securities and Use of Proceeds.</w:t>
              </w:r>
            </w:hyperlink>
          </w:p>
        </w:tc>
        <w:tc>
          <w:tcPr>
            <w:tcW w:w="538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Defaults Upon Senior Securities.</w:t>
              </w:r>
            </w:hyperlink>
          </w:p>
        </w:tc>
        <w:tc>
          <w:tcPr>
            <w:tcW w:w="740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Mine Safety Disclosures.</w:t>
              </w:r>
            </w:hyperlink>
          </w:p>
        </w:tc>
        <w:tc>
          <w:tcPr>
            <w:tcW w:w="796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9780" w:type="dxa"/>
            <w:vAlign w:val="bottom"/>
            <w:gridSpan w:val="2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Exhibits.</w:t>
              </w:r>
            </w:hyperlink>
          </w:p>
        </w:tc>
        <w:tc>
          <w:tcPr>
            <w:tcW w:w="842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1220" w:type="dxa"/>
            <w:vAlign w:val="bottom"/>
            <w:gridSpan w:val="2"/>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SIGNATURES</w:t>
              </w:r>
            </w:hyperlink>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60" w:type="dxa"/>
            <w:vAlign w:val="bottom"/>
            <w:gridSpan w:val="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2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EXHIBIT INDEX</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85"/>
        </w:trPr>
        <w:tc>
          <w:tcPr>
            <w:tcW w:w="1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720" w:type="dxa"/>
            <w:vAlign w:val="bottom"/>
            <w:gridSpan w:val="9"/>
          </w:tcPr>
          <w:p>
            <w:pPr>
              <w:ind w:left="1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June 30,</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90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2"/>
              </w:rPr>
              <w:t>Cash and due</w:t>
            </w:r>
          </w:p>
        </w:tc>
        <w:tc>
          <w:tcPr>
            <w:tcW w:w="68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from banks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1,347,858</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1,289,965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Interest-bearing deposits at banks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4,045,852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6,470,867</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funds sold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83,392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Trading account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277,009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308,175</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rPr>
                <w:sz w:val="17"/>
                <w:szCs w:val="17"/>
                <w:color w:val="auto"/>
              </w:rPr>
            </w:pPr>
          </w:p>
        </w:tc>
        <w:tc>
          <w:tcPr>
            <w:tcW w:w="79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Investment securities (includes pledged securities that can be sold or repledged of $1,615,114 at June 30,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2015; $1,631,267 at December 31, 2014)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94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Available for sale (cost: $11,093,093 at June 30, 2015;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940" w:type="dxa"/>
            <w:vAlign w:val="bottom"/>
            <w:gridSpan w:val="2"/>
          </w:tcPr>
          <w:p>
            <w:pPr>
              <w:ind w:left="700"/>
              <w:spacing w:after="0"/>
              <w:rPr>
                <w:sz w:val="20"/>
                <w:szCs w:val="20"/>
                <w:color w:val="auto"/>
              </w:rPr>
            </w:pPr>
            <w:r>
              <w:rPr>
                <w:rFonts w:ascii="Arial" w:cs="Arial" w:eastAsia="Arial" w:hAnsi="Arial"/>
                <w:sz w:val="18"/>
                <w:szCs w:val="18"/>
                <w:color w:val="auto"/>
              </w:rPr>
              <w:t>$8,919,324 at December 31, 2014)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11,250,877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9,156,932</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rPr>
                <w:sz w:val="17"/>
                <w:szCs w:val="17"/>
                <w:color w:val="auto"/>
              </w:rPr>
            </w:pPr>
          </w:p>
        </w:tc>
        <w:tc>
          <w:tcPr>
            <w:tcW w:w="794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Held to maturity (fair value: $3,175,847 at June 30, 2015;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7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$3,538,282 at December 31, 2014)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3,164,585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3,507,868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rPr>
              <w:t>Other (fair value: $336,175 at June 30, 2015; $328,742 at December 31, 2014)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336,175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328,742</w:t>
            </w:r>
          </w:p>
        </w:tc>
        <w:tc>
          <w:tcPr>
            <w:tcW w:w="0" w:type="dxa"/>
            <w:vAlign w:val="bottom"/>
          </w:tcPr>
          <w:p>
            <w:pPr>
              <w:spacing w:after="0"/>
              <w:rPr>
                <w:sz w:val="1"/>
                <w:szCs w:val="1"/>
                <w:color w:val="auto"/>
              </w:rPr>
            </w:pPr>
          </w:p>
        </w:tc>
      </w:tr>
      <w:tr>
        <w:trPr>
          <w:trHeight w:val="75"/>
        </w:trPr>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investment securities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14,751,637</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12,993,542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4"/>
                <w:szCs w:val="24"/>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Loans and leases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68,358,516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66,899,369</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Unearned discount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(227,264)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(230,413)</w:t>
            </w: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4"/>
                <w:szCs w:val="24"/>
                <w:color w:val="auto"/>
              </w:rPr>
            </w:pPr>
          </w:p>
        </w:tc>
        <w:tc>
          <w:tcPr>
            <w:tcW w:w="7940" w:type="dxa"/>
            <w:vAlign w:val="bottom"/>
            <w:gridSpan w:val="2"/>
          </w:tcPr>
          <w:p>
            <w:pPr>
              <w:ind w:left="880"/>
              <w:spacing w:after="0"/>
              <w:rPr>
                <w:sz w:val="20"/>
                <w:szCs w:val="20"/>
                <w:color w:val="auto"/>
              </w:rPr>
            </w:pPr>
            <w:r>
              <w:rPr>
                <w:rFonts w:ascii="Arial" w:cs="Arial" w:eastAsia="Arial" w:hAnsi="Arial"/>
                <w:sz w:val="18"/>
                <w:szCs w:val="18"/>
                <w:color w:val="auto"/>
              </w:rPr>
              <w:t>Loans and leases, net of unearned discount</w:t>
            </w: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68,131,252</w:t>
            </w:r>
          </w:p>
        </w:tc>
        <w:tc>
          <w:tcPr>
            <w:tcW w:w="20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66,668,956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Allowance for credit losses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(929,987)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(919,562)</w:t>
            </w: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4"/>
                <w:szCs w:val="24"/>
                <w:color w:val="auto"/>
              </w:rPr>
            </w:pPr>
          </w:p>
        </w:tc>
        <w:tc>
          <w:tcPr>
            <w:tcW w:w="7940" w:type="dxa"/>
            <w:vAlign w:val="bottom"/>
            <w:gridSpan w:val="2"/>
          </w:tcPr>
          <w:p>
            <w:pPr>
              <w:ind w:left="880"/>
              <w:spacing w:after="0"/>
              <w:rPr>
                <w:sz w:val="20"/>
                <w:szCs w:val="20"/>
                <w:color w:val="auto"/>
              </w:rPr>
            </w:pPr>
            <w:r>
              <w:rPr>
                <w:rFonts w:ascii="Arial" w:cs="Arial" w:eastAsia="Arial" w:hAnsi="Arial"/>
                <w:sz w:val="18"/>
                <w:szCs w:val="18"/>
                <w:color w:val="auto"/>
              </w:rPr>
              <w:t>Loans and leases, net</w:t>
            </w: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67,201,265</w:t>
            </w:r>
          </w:p>
        </w:tc>
        <w:tc>
          <w:tcPr>
            <w:tcW w:w="200" w:type="dxa"/>
            <w:vAlign w:val="bottom"/>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65,749,394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Premises and equipment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590,567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612,984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3,513,325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3,524,625</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Core deposit and other intangible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22,269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Accrued interest and 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5,327,294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5,617,564</w:t>
            </w:r>
          </w:p>
        </w:tc>
        <w:tc>
          <w:tcPr>
            <w:tcW w:w="0" w:type="dxa"/>
            <w:vAlign w:val="bottom"/>
          </w:tcPr>
          <w:p>
            <w:pPr>
              <w:spacing w:after="0"/>
              <w:rPr>
                <w:sz w:val="1"/>
                <w:szCs w:val="1"/>
                <w:color w:val="auto"/>
              </w:rPr>
            </w:pPr>
          </w:p>
        </w:tc>
      </w:tr>
      <w:tr>
        <w:trPr>
          <w:trHeight w:val="75"/>
        </w:trPr>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97,080,076</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96,685,535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140" w:type="dxa"/>
            <w:vAlign w:val="bottom"/>
          </w:tcPr>
          <w:p>
            <w:pPr>
              <w:spacing w:after="0"/>
              <w:rPr>
                <w:sz w:val="20"/>
                <w:szCs w:val="20"/>
                <w:color w:val="auto"/>
              </w:rPr>
            </w:pPr>
            <w:r>
              <w:rPr>
                <w:rFonts w:ascii="Arial" w:cs="Arial" w:eastAsia="Arial" w:hAnsi="Arial"/>
                <w:sz w:val="18"/>
                <w:szCs w:val="18"/>
                <w:color w:val="auto"/>
              </w:rPr>
              <w:t>Liabilities</w:t>
            </w: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Noninterest-bearing deposits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27,674,588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26,947,880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 accounts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2,579,307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2,307,815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Savings deposits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39,306,647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41,085,803</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2,901,636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3,063,973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Deposits at Cayman Islands office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167,441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176,582</w:t>
            </w:r>
          </w:p>
        </w:tc>
        <w:tc>
          <w:tcPr>
            <w:tcW w:w="0" w:type="dxa"/>
            <w:vAlign w:val="bottom"/>
          </w:tcPr>
          <w:p>
            <w:pPr>
              <w:spacing w:after="0"/>
              <w:rPr>
                <w:sz w:val="1"/>
                <w:szCs w:val="1"/>
                <w:color w:val="auto"/>
              </w:rPr>
            </w:pPr>
          </w:p>
        </w:tc>
      </w:tr>
      <w:tr>
        <w:trPr>
          <w:trHeight w:val="75"/>
        </w:trPr>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deposits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72,629,619</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73,582,053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4"/>
                <w:szCs w:val="24"/>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Federal funds purchased and agreements to repurchase securities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153,299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192,676</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interest and other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1,453,249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1,567,951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Long-term borrowings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10,175,912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9,006,959</w:t>
            </w:r>
          </w:p>
        </w:tc>
        <w:tc>
          <w:tcPr>
            <w:tcW w:w="0" w:type="dxa"/>
            <w:vAlign w:val="bottom"/>
          </w:tcPr>
          <w:p>
            <w:pPr>
              <w:spacing w:after="0"/>
              <w:rPr>
                <w:sz w:val="1"/>
                <w:szCs w:val="1"/>
                <w:color w:val="auto"/>
              </w:rPr>
            </w:pPr>
          </w:p>
        </w:tc>
      </w:tr>
      <w:tr>
        <w:trPr>
          <w:trHeight w:val="75"/>
        </w:trPr>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84,412,079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84,349,639</w:t>
            </w: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0"/>
                <w:szCs w:val="20"/>
                <w:color w:val="auto"/>
              </w:rPr>
            </w:pPr>
            <w:r>
              <w:rPr>
                <w:rFonts w:ascii="Arial" w:cs="Arial" w:eastAsia="Arial" w:hAnsi="Arial"/>
                <w:sz w:val="18"/>
                <w:szCs w:val="18"/>
                <w:color w:val="auto"/>
              </w:rPr>
              <w:t>Shareholders’</w:t>
            </w: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Preferred stock, $1.00 par, 1,000,000 shares authorized; Issued and outstanding:</w:t>
            </w: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rPr>
              <w:t>equity</w:t>
            </w: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Liquidation preference of $1,000 per share: 731,500 shares at June 30, 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and December 31, 2014; Liquidation preference of $10,000 per share: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50,000 shares at June 30, 2015 and December 31, 2014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1,231,500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1,231,500</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rPr>
                <w:sz w:val="17"/>
                <w:szCs w:val="17"/>
                <w:color w:val="auto"/>
              </w:rPr>
            </w:pPr>
          </w:p>
        </w:tc>
        <w:tc>
          <w:tcPr>
            <w:tcW w:w="79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$.50 par, 250,000,000 shares authorized, 133,062,420 shares issued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 June 30, 2015; 132,312,931 shares issued at December 31, 2014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66,531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66,157</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9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Common stock issuable, 36,511 shares at June 30, 2015;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41,330 shares at December 31, 2014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2,332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3,477,611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3,409,506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8,107,525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7,807,119</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(217,502)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(180,994)</w:t>
            </w: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4"/>
                <w:szCs w:val="24"/>
                <w:color w:val="auto"/>
              </w:rPr>
            </w:pPr>
          </w:p>
        </w:tc>
        <w:tc>
          <w:tcPr>
            <w:tcW w:w="7940" w:type="dxa"/>
            <w:vAlign w:val="bottom"/>
            <w:gridSpan w:val="2"/>
          </w:tcPr>
          <w:p>
            <w:pPr>
              <w:ind w:left="88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12,667,997</w:t>
            </w:r>
          </w:p>
        </w:tc>
        <w:tc>
          <w:tcPr>
            <w:tcW w:w="200" w:type="dxa"/>
            <w:vAlign w:val="bottom"/>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12,335,896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97,080,076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96,685,535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40" w:type="dxa"/>
            <w:vAlign w:val="bottom"/>
          </w:tcPr>
          <w:p>
            <w:pPr>
              <w:spacing w:after="0"/>
              <w:rPr>
                <w:sz w:val="14"/>
                <w:szCs w:val="14"/>
                <w:color w:val="auto"/>
              </w:rPr>
            </w:pPr>
          </w:p>
        </w:tc>
        <w:tc>
          <w:tcPr>
            <w:tcW w:w="1920" w:type="dxa"/>
            <w:vAlign w:val="bottom"/>
            <w:gridSpan w:val="5"/>
          </w:tcPr>
          <w:p>
            <w:pPr>
              <w:jc w:val="right"/>
              <w:ind w:right="240"/>
              <w:spacing w:after="0"/>
              <w:rPr>
                <w:sz w:val="20"/>
                <w:szCs w:val="20"/>
                <w:color w:val="auto"/>
              </w:rPr>
            </w:pPr>
            <w:r>
              <w:rPr>
                <w:rFonts w:ascii="Arial" w:cs="Arial" w:eastAsia="Arial" w:hAnsi="Arial"/>
                <w:sz w:val="14"/>
                <w:szCs w:val="14"/>
                <w:color w:val="auto"/>
                <w:w w:val="90"/>
              </w:rPr>
              <w:t>Three months ended June 30</w:t>
            </w:r>
          </w:p>
        </w:tc>
        <w:tc>
          <w:tcPr>
            <w:tcW w:w="100" w:type="dxa"/>
            <w:vAlign w:val="bottom"/>
          </w:tcPr>
          <w:p>
            <w:pPr>
              <w:spacing w:after="0"/>
              <w:rPr>
                <w:sz w:val="14"/>
                <w:szCs w:val="14"/>
                <w:color w:val="auto"/>
              </w:rPr>
            </w:pPr>
          </w:p>
        </w:tc>
        <w:tc>
          <w:tcPr>
            <w:tcW w:w="1840" w:type="dxa"/>
            <w:vAlign w:val="bottom"/>
            <w:gridSpan w:val="4"/>
          </w:tcPr>
          <w:p>
            <w:pPr>
              <w:jc w:val="right"/>
              <w:ind w:right="260"/>
              <w:spacing w:after="0"/>
              <w:rPr>
                <w:sz w:val="20"/>
                <w:szCs w:val="20"/>
                <w:color w:val="auto"/>
              </w:rPr>
            </w:pPr>
            <w:r>
              <w:rPr>
                <w:rFonts w:ascii="Arial" w:cs="Arial" w:eastAsia="Arial" w:hAnsi="Arial"/>
                <w:sz w:val="14"/>
                <w:szCs w:val="14"/>
                <w:color w:val="auto"/>
                <w:w w:val="94"/>
              </w:rPr>
              <w:t>Six months ended June 30</w:t>
            </w:r>
          </w:p>
        </w:tc>
        <w:tc>
          <w:tcPr>
            <w:tcW w:w="0" w:type="dxa"/>
            <w:vAlign w:val="bottom"/>
          </w:tcPr>
          <w:p>
            <w:pPr>
              <w:spacing w:after="0"/>
              <w:rPr>
                <w:sz w:val="1"/>
                <w:szCs w:val="1"/>
                <w:color w:val="auto"/>
              </w:rPr>
            </w:pPr>
          </w:p>
        </w:tc>
      </w:tr>
      <w:tr>
        <w:trPr>
          <w:trHeight w:val="167"/>
        </w:trPr>
        <w:tc>
          <w:tcPr>
            <w:tcW w:w="65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73"/>
              </w:rPr>
              <w:t>Loans</w:t>
            </w:r>
          </w:p>
        </w:tc>
        <w:tc>
          <w:tcPr>
            <w:tcW w:w="47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and leases, including fees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662,633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645,029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1,309,812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1,290,251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Investment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Fully taxable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93,144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179,101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Exempt from federal taxes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1,062</w:t>
            </w:r>
          </w:p>
        </w:tc>
        <w:tc>
          <w:tcPr>
            <w:tcW w:w="760" w:type="dxa"/>
            <w:vAlign w:val="bottom"/>
          </w:tcPr>
          <w:p>
            <w:pPr>
              <w:jc w:val="right"/>
              <w:spacing w:after="0"/>
              <w:rPr>
                <w:sz w:val="20"/>
                <w:szCs w:val="20"/>
                <w:color w:val="auto"/>
              </w:rPr>
            </w:pPr>
            <w:r>
              <w:rPr>
                <w:rFonts w:ascii="Arial" w:cs="Arial" w:eastAsia="Arial" w:hAnsi="Arial"/>
                <w:sz w:val="18"/>
                <w:szCs w:val="18"/>
                <w:color w:val="auto"/>
              </w:rPr>
              <w:t>1,293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2,380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Deposits at banks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interest income</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760,354</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734,290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1,498,441</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1,457,242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320" w:type="dxa"/>
            <w:vAlign w:val="bottom"/>
            <w:gridSpan w:val="2"/>
          </w:tcPr>
          <w:p>
            <w:pPr>
              <w:spacing w:after="0"/>
              <w:rPr>
                <w:sz w:val="20"/>
                <w:szCs w:val="20"/>
                <w:color w:val="auto"/>
              </w:rPr>
            </w:pPr>
            <w:r>
              <w:rPr>
                <w:rFonts w:ascii="Arial" w:cs="Arial" w:eastAsia="Arial" w:hAnsi="Arial"/>
                <w:sz w:val="18"/>
                <w:szCs w:val="18"/>
                <w:color w:val="auto"/>
                <w:w w:val="97"/>
              </w:rPr>
              <w:t>Interest expense</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NOW accounts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660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Savings deposits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20,580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Time deposits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3,690</w:t>
            </w:r>
          </w:p>
        </w:tc>
        <w:tc>
          <w:tcPr>
            <w:tcW w:w="760" w:type="dxa"/>
            <w:vAlign w:val="bottom"/>
          </w:tcPr>
          <w:p>
            <w:pPr>
              <w:jc w:val="right"/>
              <w:spacing w:after="0"/>
              <w:rPr>
                <w:sz w:val="20"/>
                <w:szCs w:val="20"/>
                <w:color w:val="auto"/>
              </w:rPr>
            </w:pPr>
            <w:r>
              <w:rPr>
                <w:rFonts w:ascii="Arial" w:cs="Arial" w:eastAsia="Arial" w:hAnsi="Arial"/>
                <w:sz w:val="18"/>
                <w:szCs w:val="18"/>
                <w:color w:val="auto"/>
              </w:rPr>
              <w:t>3,855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7,430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Deposits at Cayman Islands office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Short-term borrowings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borrowings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62,640</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126,688</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tcPr>
          <w:p>
            <w:pPr>
              <w:ind w:left="380"/>
              <w:spacing w:after="0"/>
              <w:rPr>
                <w:sz w:val="20"/>
                <w:szCs w:val="20"/>
                <w:color w:val="auto"/>
              </w:rPr>
            </w:pPr>
            <w:r>
              <w:rPr>
                <w:rFonts w:ascii="Arial" w:cs="Arial" w:eastAsia="Arial" w:hAnsi="Arial"/>
                <w:sz w:val="18"/>
                <w:szCs w:val="18"/>
                <w:color w:val="auto"/>
              </w:rPr>
              <w:t>Total interest expense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77,226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65,176</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155,725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131,695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Net interest income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683,128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669,114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1,342,716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1,325,547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Provision for credit losses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68,000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interest income after provision for credit losses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653,128</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639,114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1,274,716</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1,263,547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3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Mortgage banking revenues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102,602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95,656</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204,203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 charges on deposit accounts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105,257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207,601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Trust income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118,598</w:t>
            </w:r>
          </w:p>
        </w:tc>
        <w:tc>
          <w:tcPr>
            <w:tcW w:w="760" w:type="dxa"/>
            <w:vAlign w:val="bottom"/>
          </w:tcPr>
          <w:p>
            <w:pPr>
              <w:jc w:val="right"/>
              <w:spacing w:after="0"/>
              <w:rPr>
                <w:sz w:val="20"/>
                <w:szCs w:val="20"/>
                <w:color w:val="auto"/>
              </w:rPr>
            </w:pPr>
            <w:r>
              <w:rPr>
                <w:rFonts w:ascii="Arial" w:cs="Arial" w:eastAsia="Arial" w:hAnsi="Arial"/>
                <w:sz w:val="18"/>
                <w:szCs w:val="18"/>
                <w:color w:val="auto"/>
              </w:rPr>
              <w:t>129,893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242,332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Brokerage services income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17,487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Trading account and foreign exchange gains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6,046</w:t>
            </w:r>
          </w:p>
        </w:tc>
        <w:tc>
          <w:tcPr>
            <w:tcW w:w="760" w:type="dxa"/>
            <w:vAlign w:val="bottom"/>
          </w:tcPr>
          <w:p>
            <w:pPr>
              <w:jc w:val="right"/>
              <w:spacing w:after="0"/>
              <w:rPr>
                <w:sz w:val="20"/>
                <w:szCs w:val="20"/>
                <w:color w:val="auto"/>
              </w:rPr>
            </w:pPr>
            <w:r>
              <w:rPr>
                <w:rFonts w:ascii="Arial" w:cs="Arial" w:eastAsia="Arial" w:hAnsi="Arial"/>
                <w:sz w:val="18"/>
                <w:szCs w:val="18"/>
                <w:color w:val="auto"/>
              </w:rPr>
              <w:t>8,042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12,277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bank investment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Equity in earnings of Bayview Lending Group LLC</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(3,131)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(4,055)</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(7,322)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revenues from operations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150,804</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245,925</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tcPr>
          <w:p>
            <w:pPr>
              <w:ind w:left="380"/>
              <w:spacing w:after="0"/>
              <w:rPr>
                <w:sz w:val="20"/>
                <w:szCs w:val="20"/>
                <w:color w:val="auto"/>
              </w:rPr>
            </w:pPr>
            <w:r>
              <w:rPr>
                <w:rFonts w:ascii="Arial" w:cs="Arial" w:eastAsia="Arial" w:hAnsi="Arial"/>
                <w:sz w:val="18"/>
                <w:szCs w:val="18"/>
                <w:color w:val="auto"/>
              </w:rPr>
              <w:t>Total other income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497,027</w:t>
            </w:r>
          </w:p>
        </w:tc>
        <w:tc>
          <w:tcPr>
            <w:tcW w:w="760" w:type="dxa"/>
            <w:vAlign w:val="bottom"/>
          </w:tcPr>
          <w:p>
            <w:pPr>
              <w:jc w:val="right"/>
              <w:spacing w:after="0"/>
              <w:rPr>
                <w:sz w:val="20"/>
                <w:szCs w:val="20"/>
                <w:color w:val="auto"/>
              </w:rPr>
            </w:pPr>
            <w:r>
              <w:rPr>
                <w:rFonts w:ascii="Arial" w:cs="Arial" w:eastAsia="Arial" w:hAnsi="Arial"/>
                <w:sz w:val="18"/>
                <w:szCs w:val="18"/>
                <w:color w:val="auto"/>
              </w:rPr>
              <w:t>456,412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937,230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876,519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Salaries and employee benefits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361,657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751,550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Equipment and net occupancy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66,852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68,084</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133,322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Printing, postage and supplies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18,895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Amortization of core deposit and other intangible assets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5,965</w:t>
            </w:r>
          </w:p>
        </w:tc>
        <w:tc>
          <w:tcPr>
            <w:tcW w:w="760" w:type="dxa"/>
            <w:vAlign w:val="bottom"/>
          </w:tcPr>
          <w:p>
            <w:pPr>
              <w:jc w:val="right"/>
              <w:spacing w:after="0"/>
              <w:rPr>
                <w:sz w:val="20"/>
                <w:szCs w:val="20"/>
                <w:color w:val="auto"/>
              </w:rPr>
            </w:pPr>
            <w:r>
              <w:rPr>
                <w:rFonts w:ascii="Arial" w:cs="Arial" w:eastAsia="Arial" w:hAnsi="Arial"/>
                <w:sz w:val="18"/>
                <w:szCs w:val="18"/>
                <w:color w:val="auto"/>
              </w:rPr>
              <w:t>9,234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12,758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FDIC assessments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10,801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242,048</w:t>
            </w:r>
          </w:p>
        </w:tc>
        <w:tc>
          <w:tcPr>
            <w:tcW w:w="760" w:type="dxa"/>
            <w:vAlign w:val="bottom"/>
          </w:tcPr>
          <w:p>
            <w:pPr>
              <w:jc w:val="right"/>
              <w:spacing w:after="0"/>
              <w:rPr>
                <w:sz w:val="20"/>
                <w:szCs w:val="20"/>
                <w:color w:val="auto"/>
              </w:rPr>
            </w:pPr>
            <w:r>
              <w:rPr>
                <w:rFonts w:ascii="Arial" w:cs="Arial" w:eastAsia="Arial" w:hAnsi="Arial"/>
                <w:sz w:val="18"/>
                <w:szCs w:val="18"/>
                <w:color w:val="auto"/>
              </w:rPr>
              <w:t>226,294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445,017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437,529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other expense</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696,628</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667,660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1,383,003</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1,357,894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Income before taxes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453,527</w:t>
            </w:r>
          </w:p>
        </w:tc>
        <w:tc>
          <w:tcPr>
            <w:tcW w:w="760" w:type="dxa"/>
            <w:vAlign w:val="bottom"/>
          </w:tcPr>
          <w:p>
            <w:pPr>
              <w:jc w:val="right"/>
              <w:spacing w:after="0"/>
              <w:rPr>
                <w:sz w:val="20"/>
                <w:szCs w:val="20"/>
                <w:color w:val="auto"/>
              </w:rPr>
            </w:pPr>
            <w:r>
              <w:rPr>
                <w:rFonts w:ascii="Arial" w:cs="Arial" w:eastAsia="Arial" w:hAnsi="Arial"/>
                <w:sz w:val="18"/>
                <w:szCs w:val="18"/>
                <w:color w:val="auto"/>
              </w:rPr>
              <w:t>427,866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828,943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166,839</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300,642</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i w:val="1"/>
                <w:iCs w:val="1"/>
                <w:color w:val="auto"/>
              </w:rPr>
              <w:t>Net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286,688</w:t>
            </w:r>
          </w:p>
        </w:tc>
        <w:tc>
          <w:tcPr>
            <w:tcW w:w="760" w:type="dxa"/>
            <w:vAlign w:val="bottom"/>
          </w:tcPr>
          <w:p>
            <w:pPr>
              <w:jc w:val="right"/>
              <w:spacing w:after="0"/>
              <w:rPr>
                <w:sz w:val="20"/>
                <w:szCs w:val="20"/>
                <w:color w:val="auto"/>
              </w:rPr>
            </w:pPr>
            <w:r>
              <w:rPr>
                <w:rFonts w:ascii="Arial" w:cs="Arial" w:eastAsia="Arial" w:hAnsi="Arial"/>
                <w:sz w:val="18"/>
                <w:szCs w:val="18"/>
                <w:color w:val="auto"/>
              </w:rPr>
              <w:t>284,336</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528,301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513,353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available to common shareholders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20" w:type="dxa"/>
            <w:vAlign w:val="bottom"/>
          </w:tcPr>
          <w:p>
            <w:pPr>
              <w:ind w:left="38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263,471</w:t>
            </w:r>
          </w:p>
        </w:tc>
        <w:tc>
          <w:tcPr>
            <w:tcW w:w="760" w:type="dxa"/>
            <w:vAlign w:val="bottom"/>
          </w:tcPr>
          <w:p>
            <w:pPr>
              <w:jc w:val="right"/>
              <w:spacing w:after="0"/>
              <w:rPr>
                <w:sz w:val="20"/>
                <w:szCs w:val="20"/>
                <w:color w:val="auto"/>
              </w:rPr>
            </w:pPr>
            <w:r>
              <w:rPr>
                <w:rFonts w:ascii="Arial" w:cs="Arial" w:eastAsia="Arial" w:hAnsi="Arial"/>
                <w:sz w:val="18"/>
                <w:szCs w:val="18"/>
                <w:color w:val="auto"/>
              </w:rPr>
              <w:t>260,680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482,295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263,481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482,313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Net income per common share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dividends per common share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Average common shares outstanding</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132,356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132,203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133,116</w:t>
            </w:r>
          </w:p>
        </w:tc>
        <w:tc>
          <w:tcPr>
            <w:tcW w:w="760" w:type="dxa"/>
            <w:vAlign w:val="bottom"/>
          </w:tcPr>
          <w:p>
            <w:pPr>
              <w:jc w:val="right"/>
              <w:spacing w:after="0"/>
              <w:rPr>
                <w:sz w:val="20"/>
                <w:szCs w:val="20"/>
                <w:color w:val="auto"/>
              </w:rPr>
            </w:pPr>
            <w:r>
              <w:rPr>
                <w:rFonts w:ascii="Arial" w:cs="Arial" w:eastAsia="Arial" w:hAnsi="Arial"/>
                <w:sz w:val="18"/>
                <w:szCs w:val="18"/>
                <w:color w:val="auto"/>
              </w:rPr>
              <w:t>131,828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132,944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131,479</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900" w:type="dxa"/>
            <w:vAlign w:val="bottom"/>
            <w:gridSpan w:val="5"/>
          </w:tcPr>
          <w:p>
            <w:pPr>
              <w:jc w:val="right"/>
              <w:ind w:right="240"/>
              <w:spacing w:after="0"/>
              <w:rPr>
                <w:sz w:val="20"/>
                <w:szCs w:val="20"/>
                <w:color w:val="auto"/>
              </w:rPr>
            </w:pPr>
            <w:r>
              <w:rPr>
                <w:rFonts w:ascii="Arial" w:cs="Arial" w:eastAsia="Arial" w:hAnsi="Arial"/>
                <w:sz w:val="14"/>
                <w:szCs w:val="14"/>
                <w:color w:val="auto"/>
                <w:w w:val="89"/>
              </w:rPr>
              <w:t>Three months ended June 30</w:t>
            </w:r>
          </w:p>
        </w:tc>
        <w:tc>
          <w:tcPr>
            <w:tcW w:w="1680" w:type="dxa"/>
            <w:vAlign w:val="bottom"/>
            <w:gridSpan w:val="4"/>
          </w:tcPr>
          <w:p>
            <w:pPr>
              <w:jc w:val="right"/>
              <w:ind w:right="140"/>
              <w:spacing w:after="0"/>
              <w:rPr>
                <w:sz w:val="20"/>
                <w:szCs w:val="20"/>
                <w:color w:val="auto"/>
              </w:rPr>
            </w:pPr>
            <w:r>
              <w:rPr>
                <w:rFonts w:ascii="Arial" w:cs="Arial" w:eastAsia="Arial" w:hAnsi="Arial"/>
                <w:sz w:val="14"/>
                <w:szCs w:val="14"/>
                <w:color w:val="auto"/>
                <w:w w:val="91"/>
              </w:rPr>
              <w:t>Six months ended June 30</w:t>
            </w:r>
          </w:p>
        </w:tc>
        <w:tc>
          <w:tcPr>
            <w:tcW w:w="0" w:type="dxa"/>
            <w:vAlign w:val="bottom"/>
          </w:tcPr>
          <w:p>
            <w:pPr>
              <w:spacing w:after="0"/>
              <w:rPr>
                <w:sz w:val="1"/>
                <w:szCs w:val="1"/>
                <w:color w:val="auto"/>
              </w:rPr>
            </w:pPr>
          </w:p>
        </w:tc>
      </w:tr>
      <w:tr>
        <w:trPr>
          <w:trHeight w:val="167"/>
        </w:trPr>
        <w:tc>
          <w:tcPr>
            <w:tcW w:w="7820" w:type="dxa"/>
            <w:vAlign w:val="bottom"/>
            <w:gridSpan w:val="2"/>
            <w:vMerge w:val="continue"/>
          </w:tcPr>
          <w:p>
            <w:pPr>
              <w:spacing w:after="0"/>
              <w:rPr>
                <w:sz w:val="14"/>
                <w:szCs w:val="14"/>
                <w:color w:val="auto"/>
              </w:rPr>
            </w:pPr>
          </w:p>
        </w:tc>
        <w:tc>
          <w:tcPr>
            <w:tcW w:w="760" w:type="dxa"/>
            <w:vAlign w:val="bottom"/>
            <w:gridSpan w:val="2"/>
          </w:tcPr>
          <w:p>
            <w:pPr>
              <w:jc w:val="right"/>
              <w:ind w:right="156"/>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1"/>
              </w:rPr>
              <w:t>Net income</w:t>
            </w:r>
          </w:p>
        </w:tc>
        <w:tc>
          <w:tcPr>
            <w:tcW w:w="70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$ 286,688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284,336</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$528,301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513,353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 and reclassification adjustments: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gains (losses) on investment securities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(72,618)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64,652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(47,279)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102,866</w:t>
            </w:r>
          </w:p>
        </w:tc>
        <w:tc>
          <w:tcPr>
            <w:tcW w:w="0" w:type="dxa"/>
            <w:vAlign w:val="bottom"/>
          </w:tcPr>
          <w:p>
            <w:pPr>
              <w:spacing w:after="0"/>
              <w:rPr>
                <w:sz w:val="1"/>
                <w:szCs w:val="1"/>
                <w:color w:val="auto"/>
              </w:rPr>
            </w:pP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Unrealized gains (losses) on cash flow hedges</w:t>
            </w: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(24)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(711)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847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Defined benefit plans liability adjustment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5,765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10,442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75"/>
        </w:trPr>
        <w:tc>
          <w:tcPr>
            <w:tcW w:w="760" w:type="dxa"/>
            <w:vAlign w:val="bottom"/>
          </w:tcPr>
          <w:p>
            <w:pPr>
              <w:spacing w:after="0"/>
              <w:rPr>
                <w:sz w:val="6"/>
                <w:szCs w:val="6"/>
                <w:color w:val="auto"/>
              </w:rPr>
            </w:pPr>
          </w:p>
        </w:tc>
        <w:tc>
          <w:tcPr>
            <w:tcW w:w="70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720"/>
              <w:spacing w:after="0"/>
              <w:rPr>
                <w:sz w:val="20"/>
                <w:szCs w:val="20"/>
                <w:color w:val="auto"/>
              </w:rPr>
            </w:pPr>
            <w:r>
              <w:rPr>
                <w:rFonts w:ascii="Arial" w:cs="Arial" w:eastAsia="Arial" w:hAnsi="Arial"/>
                <w:sz w:val="18"/>
                <w:szCs w:val="18"/>
                <w:i w:val="1"/>
                <w:iCs w:val="1"/>
                <w:color w:val="auto"/>
              </w:rPr>
              <w:t>Total other comprehensive income (loss)</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(65,011)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65,569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104,467</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20" w:type="dxa"/>
            <w:vAlign w:val="bottom"/>
            <w:gridSpan w:val="2"/>
          </w:tcPr>
          <w:p>
            <w:pPr>
              <w:ind w:left="720"/>
              <w:spacing w:after="0"/>
              <w:rPr>
                <w:sz w:val="20"/>
                <w:szCs w:val="20"/>
                <w:color w:val="auto"/>
              </w:rPr>
            </w:pPr>
            <w:r>
              <w:rPr>
                <w:rFonts w:ascii="Arial" w:cs="Arial" w:eastAsia="Arial" w:hAnsi="Arial"/>
                <w:sz w:val="18"/>
                <w:szCs w:val="18"/>
                <w:i w:val="1"/>
                <w:iCs w:val="1"/>
                <w:color w:val="auto"/>
              </w:rPr>
              <w:t>Total comprehensive income</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$ 221,677</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349,905</w:t>
            </w: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491,793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617,820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320"/>
              <w:spacing w:after="0"/>
              <w:rPr>
                <w:sz w:val="20"/>
                <w:szCs w:val="20"/>
                <w:color w:val="auto"/>
              </w:rPr>
            </w:pPr>
            <w:r>
              <w:rPr>
                <w:rFonts w:ascii="Arial" w:cs="Arial" w:eastAsia="Arial" w:hAnsi="Arial"/>
                <w:sz w:val="14"/>
                <w:szCs w:val="14"/>
                <w:color w:val="auto"/>
                <w:w w:val="96"/>
              </w:rPr>
              <w:t>Six months ended June 30</w:t>
            </w:r>
          </w:p>
        </w:tc>
        <w:tc>
          <w:tcPr>
            <w:tcW w:w="0" w:type="dxa"/>
            <w:vAlign w:val="bottom"/>
          </w:tcPr>
          <w:p>
            <w:pPr>
              <w:spacing w:after="0"/>
              <w:rPr>
                <w:sz w:val="1"/>
                <w:szCs w:val="1"/>
                <w:color w:val="auto"/>
              </w:rPr>
            </w:pPr>
          </w:p>
        </w:tc>
      </w:tr>
      <w:tr>
        <w:trPr>
          <w:trHeight w:val="167"/>
        </w:trPr>
        <w:tc>
          <w:tcPr>
            <w:tcW w:w="2060" w:type="dxa"/>
            <w:vAlign w:val="bottom"/>
            <w:gridSpan w:val="3"/>
            <w:vMerge w:val="continue"/>
          </w:tcPr>
          <w:p>
            <w:pPr>
              <w:spacing w:after="0"/>
              <w:rPr>
                <w:sz w:val="14"/>
                <w:szCs w:val="14"/>
                <w:color w:val="auto"/>
              </w:rPr>
            </w:pPr>
          </w:p>
        </w:tc>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1"/>
              </w:rPr>
              <w:t>Cash flows</w:t>
            </w:r>
          </w:p>
        </w:tc>
        <w:tc>
          <w:tcPr>
            <w:tcW w:w="130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from</w:t>
            </w:r>
          </w:p>
        </w:tc>
        <w:tc>
          <w:tcPr>
            <w:tcW w:w="66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528,301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Provision for credit losses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920"/>
              <w:spacing w:after="0"/>
              <w:rPr>
                <w:sz w:val="20"/>
                <w:szCs w:val="20"/>
                <w:color w:val="auto"/>
              </w:rPr>
            </w:pPr>
            <w:r>
              <w:rPr>
                <w:rFonts w:ascii="Arial" w:cs="Arial" w:eastAsia="Arial" w:hAnsi="Arial"/>
                <w:sz w:val="18"/>
                <w:szCs w:val="18"/>
                <w:color w:val="auto"/>
              </w:rPr>
              <w:t>Depreciation and amortization of premises and equipment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48,199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Amortization of capitalized servicing rights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920"/>
              <w:spacing w:after="0"/>
              <w:rPr>
                <w:sz w:val="20"/>
                <w:szCs w:val="20"/>
                <w:color w:val="auto"/>
              </w:rPr>
            </w:pPr>
            <w:r>
              <w:rPr>
                <w:rFonts w:ascii="Arial" w:cs="Arial" w:eastAsia="Arial" w:hAnsi="Arial"/>
                <w:sz w:val="18"/>
                <w:szCs w:val="18"/>
                <w:color w:val="auto"/>
              </w:rPr>
              <w:t>Amortization of core deposit and other intangible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12,758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Provision for deferred income taxes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920"/>
              <w:spacing w:after="0"/>
              <w:rPr>
                <w:sz w:val="20"/>
                <w:szCs w:val="20"/>
                <w:color w:val="auto"/>
              </w:rPr>
            </w:pPr>
            <w:r>
              <w:rPr>
                <w:rFonts w:ascii="Arial" w:cs="Arial" w:eastAsia="Arial" w:hAnsi="Arial"/>
                <w:sz w:val="18"/>
                <w:szCs w:val="18"/>
                <w:color w:val="auto"/>
              </w:rPr>
              <w:t>Asset write-downs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gain on sales of 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(48,637)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920"/>
              <w:spacing w:after="0"/>
              <w:rPr>
                <w:sz w:val="20"/>
                <w:szCs w:val="20"/>
                <w:color w:val="auto"/>
              </w:rPr>
            </w:pPr>
            <w:r>
              <w:rPr>
                <w:rFonts w:ascii="Arial" w:cs="Arial" w:eastAsia="Arial" w:hAnsi="Arial"/>
                <w:sz w:val="18"/>
                <w:szCs w:val="18"/>
                <w:color w:val="auto"/>
              </w:rPr>
              <w:t>Net change in accrued interest receivable, payable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change in other accrued income and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(39,503)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920"/>
              <w:spacing w:after="0"/>
              <w:rPr>
                <w:sz w:val="20"/>
                <w:szCs w:val="20"/>
                <w:color w:val="auto"/>
              </w:rPr>
            </w:pPr>
            <w:r>
              <w:rPr>
                <w:rFonts w:ascii="Arial" w:cs="Arial" w:eastAsia="Arial" w:hAnsi="Arial"/>
                <w:sz w:val="18"/>
                <w:szCs w:val="18"/>
                <w:color w:val="auto"/>
              </w:rPr>
              <w:t>Net change in loans originated for sale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(77,677)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change in trading account assets and liabilities</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60" w:type="dxa"/>
            <w:vAlign w:val="bottom"/>
          </w:tcPr>
          <w:p>
            <w:pPr>
              <w:ind w:left="92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558,083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469,504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6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Available for sale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Available for sale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859,904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Held to maturity</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351,110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Available for sale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(3,013,384)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(3,609,758)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Held to maturity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(7,686)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loans and leases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(1,465,261)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Net (increase) decrease in interest-bearing deposits at banks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2,425,015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(1,381,392)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(23,395)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Net (increase) decrease in loan servicing advances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317,276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Net cash used by investing activities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(554,581)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(5,312,936)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6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deposits</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(951,347)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Net decrease in short-term borrowings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(39,377)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borrowings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1,500,000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Payments on long-term borrowings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(323,025)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preferred stock</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Dividends paid - common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(187,278)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 preferred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(40,635)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15,661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54,927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(used) by financing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5,087,934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(22,499)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1,373,357</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1,350,858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1,917,436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Supplemental</w:t>
            </w:r>
          </w:p>
        </w:tc>
        <w:tc>
          <w:tcPr>
            <w:tcW w:w="6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disclosure of cash</w:t>
            </w:r>
          </w:p>
        </w:tc>
        <w:tc>
          <w:tcPr>
            <w:tcW w:w="6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flow information</w:t>
            </w: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received during the period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1,478,848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Interest paid during the period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149,255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 during the period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198,028</w:t>
            </w:r>
          </w:p>
        </w:tc>
        <w:tc>
          <w:tcPr>
            <w:tcW w:w="0" w:type="dxa"/>
            <w:vAlign w:val="bottom"/>
          </w:tcPr>
          <w:p>
            <w:pPr>
              <w:spacing w:after="0"/>
              <w:rPr>
                <w:sz w:val="1"/>
                <w:szCs w:val="1"/>
                <w:color w:val="auto"/>
              </w:rPr>
            </w:pPr>
          </w:p>
        </w:tc>
      </w:tr>
      <w:tr>
        <w:trPr>
          <w:trHeight w:val="20"/>
        </w:trPr>
        <w:tc>
          <w:tcPr>
            <w:tcW w:w="2060" w:type="dxa"/>
            <w:vAlign w:val="bottom"/>
            <w:gridSpan w:val="3"/>
            <w:vMerge w:val="restart"/>
          </w:tcPr>
          <w:p>
            <w:pPr>
              <w:spacing w:after="0"/>
              <w:rPr>
                <w:sz w:val="20"/>
                <w:szCs w:val="20"/>
                <w:color w:val="auto"/>
              </w:rPr>
            </w:pPr>
            <w:r>
              <w:rPr>
                <w:rFonts w:ascii="Arial" w:cs="Arial" w:eastAsia="Arial" w:hAnsi="Arial"/>
                <w:sz w:val="18"/>
                <w:szCs w:val="18"/>
                <w:color w:val="auto"/>
                <w:w w:val="98"/>
              </w:rPr>
              <w:t>Supplemental schedule of</w:t>
            </w:r>
          </w:p>
        </w:tc>
        <w:tc>
          <w:tcPr>
            <w:tcW w:w="6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60" w:type="dxa"/>
            <w:vAlign w:val="bottom"/>
            <w:gridSpan w:val="3"/>
            <w:vMerge w:val="continue"/>
          </w:tcPr>
          <w:p>
            <w:pPr>
              <w:spacing w:after="0"/>
              <w:rPr>
                <w:sz w:val="22"/>
                <w:szCs w:val="22"/>
                <w:color w:val="auto"/>
              </w:rPr>
            </w:pPr>
          </w:p>
        </w:tc>
        <w:tc>
          <w:tcPr>
            <w:tcW w:w="6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noncash investing and</w:t>
            </w:r>
          </w:p>
        </w:tc>
        <w:tc>
          <w:tcPr>
            <w:tcW w:w="6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6660" w:type="dxa"/>
            <w:vAlign w:val="bottom"/>
          </w:tcPr>
          <w:p>
            <w:pPr>
              <w:ind w:left="200"/>
              <w:spacing w:after="0"/>
              <w:rPr>
                <w:sz w:val="20"/>
                <w:szCs w:val="20"/>
                <w:color w:val="auto"/>
              </w:rPr>
            </w:pPr>
            <w:r>
              <w:rPr>
                <w:rFonts w:ascii="Arial" w:cs="Arial" w:eastAsia="Arial" w:hAnsi="Arial"/>
                <w:sz w:val="18"/>
                <w:szCs w:val="18"/>
                <w:color w:val="auto"/>
              </w:rPr>
              <w:t>Securitization of residential mortgage loans allocated to</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Available-for-sale investment securities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Capitalized servicing rights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acquired in settlement of loans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734"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Common</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Additional</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Preferred</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stock</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paid-in</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Retained</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income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stock</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stock</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issuable</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capital</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earnings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(loss), net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3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Balance - January 1,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881,500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65,258</w:t>
            </w:r>
          </w:p>
        </w:tc>
        <w:tc>
          <w:tcPr>
            <w:tcW w:w="540" w:type="dxa"/>
            <w:vAlign w:val="bottom"/>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3,232,014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7,188,004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(64,159)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11,305,532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513,353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104,467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(35,117)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Series E preferred stock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w w:val="92"/>
              </w:rPr>
              <w:t>Exercise of 379,376 Series A stock warrants into 149,834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of common stock</w:t>
            </w:r>
          </w:p>
        </w:tc>
        <w:tc>
          <w:tcPr>
            <w:tcW w:w="100" w:type="dxa"/>
            <w:vAlign w:val="bottom"/>
          </w:tcPr>
          <w:p>
            <w:pPr>
              <w:spacing w:after="0"/>
              <w:rPr>
                <w:sz w:val="20"/>
                <w:szCs w:val="20"/>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Compensation expense, net</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23,250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Exercises of stock options,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84,002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Stock purchase plan</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9,545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Directors’ stock plan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ind w:left="52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Common stock cash dividends - $1.40 per share</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(185,105)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(185,105)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74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30,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1,231,500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65,956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3,347,314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7,481,077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40,308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12,168,755</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2015</w:t>
            </w: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760" w:type="dxa"/>
            <w:vAlign w:val="bottom"/>
            <w:gridSpan w:val="2"/>
            <w:vMerge w:val="continue"/>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1,231,500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66,157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3,409,506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7,807,119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(180,994)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12,335,896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528,301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(36,508)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(40,635)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w w:val="99"/>
              </w:rPr>
              <w:t>Exercise of 2,315 Series A stock warrants into 904 shares of</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Compensation expense, net</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20,966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Exercises of stock options,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34,937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Stock purchase plan</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10,301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Directors’ stock plan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ind w:left="52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Common stock cash dividends - $1.40 per share</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(187,209)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(187,209)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74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1,231,500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66,531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3,477,611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8,107,525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(217,502)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12,667,997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2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2014 Annual Report. Additionally, effective January 1, 2015 the Company made an accounting policy election in accordance with amended accounting guidance issued by the Financial Accounting Standards Board in January 2014 to account for investments in qualified affordable housing projects using the proportional amortization method. Under the proportional amortization method, the Company amortizes the initial cost of the investment in proportion to the tax credits and other tax benefits received and recognizes the net investment performance in the income statement as a component of income tax expense. The adoption of the amended guidance did not have a significant effect on the Company’s financial position or results of operations, but did result in the restatement of the consolidated statement of income for the three months and six months ended June 30, 2014 to remove $14 million and $26 million, respectively, of losses associated with qualified affordable housing projects from “other costs of operations” and include the amortization of the initial cost of the investment in income tax expense. The cumulative effect adjustment associated with adopting the amended guidance was not material as of the beginning of any period presented in these consolidated financial statements. See note 11 for information regarding the Company’s investments in qualified affordable housing projects.</w:t>
      </w:r>
    </w:p>
    <w:p>
      <w:pPr>
        <w:spacing w:after="0" w:line="18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the opinion of management, all adjustments necessary for a fair presentation have been made and, except as described above, were all of a normal recurring nature.</w:t>
      </w:r>
    </w:p>
    <w:p>
      <w:pPr>
        <w:spacing w:after="0" w:line="31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June 30</w:t>
      </w:r>
      <w:r>
        <w:rPr>
          <w:rFonts w:ascii="Arial" w:cs="Arial" w:eastAsia="Arial" w:hAnsi="Arial"/>
          <w:sz w:val="18"/>
          <w:szCs w:val="18"/>
          <w:b w:val="1"/>
          <w:bCs w:val="1"/>
          <w:color w:val="auto"/>
        </w:rPr>
        <w:t>,</w:t>
      </w:r>
      <w:r>
        <w:rPr>
          <w:rFonts w:ascii="Arial" w:cs="Arial" w:eastAsia="Arial" w:hAnsi="Arial"/>
          <w:sz w:val="18"/>
          <w:szCs w:val="18"/>
          <w:color w:val="auto"/>
        </w:rPr>
        <w:t xml:space="preserve"> 2015, total consideration to be paid was valued at approximately $5.5 billion.</w:t>
      </w:r>
    </w:p>
    <w:p>
      <w:pPr>
        <w:spacing w:after="0" w:line="19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At June 30, 2015, Hudson City had $35.4 billion of assets, including $19.9 billion of loans and $8.1 billion of investment securities, and $30.6 billion of liabilities, including $18.2 billion of deposits. The merger has received the approval of the common shareholders of M&amp;T and Hudson City. However, the merger is subject to a number of other conditions, including regulatory approvals.</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June 17, 2013, M&amp;T and Manufacturers and Traders Trust Company (“M&amp;T Bank”), M&amp;T’s principal banking subsidiary, entered into a written agreement with the Federal Reserve Bank of New York (“Federal Reserve Bank”). Under the terms of the agreement, M&amp;T and M&amp;T Bank are required to submit to the Federal Reserve Bank a revised compliance risk management program designed to ensure compliance with the Bank Secrecy Act and anti-money-laundering laws and regulations and to take certain other steps to enhance their compliance practices. The Company commenced a major initiative, including the hiring of outside consulting firms, intended to fully address the Federal Reserve Bank’s concerns. On April 3, 2015, M&amp;T was advised that the Federal Reserve Board intends to act on the M&amp;T and Hudson City merger application no later than September 30, 2015. As a result, M&amp;T and Hudson City extended the date after which either party may elect to terminate the merger agreement if the merger has not yet been completed from April 30, 2015 to October 31, 2015. Nevertheless, there can be no assurances that the merger will be completed by that date.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Gross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Amortized</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unrealized</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cost</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gains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7,387</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10,637,736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174,277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40,121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10,771,892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28,381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22,518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83,660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16,777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11,093,093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216,819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11,250,877</w:t>
            </w:r>
          </w:p>
        </w:tc>
        <w:tc>
          <w:tcPr>
            <w:tcW w:w="0" w:type="dxa"/>
            <w:vAlign w:val="bottom"/>
          </w:tcPr>
          <w:p>
            <w:pPr>
              <w:spacing w:after="0"/>
              <w:rPr>
                <w:sz w:val="1"/>
                <w:szCs w:val="1"/>
                <w:color w:val="auto"/>
              </w:rPr>
            </w:pP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2,828,638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54,355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2,872,850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191,910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1,868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36,011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3,164,585</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57,807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46,545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3,175,847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336,175</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14,593,853</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274,626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105,580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14,762,899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161,408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8,027</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8,507,571</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223,889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8,731,123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30,073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21,276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73,901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11,020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83,757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8,919,324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258,851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9,156,932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148,961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3,149,320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78,485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3,220,805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201,733</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44,576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3,507,868</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82,179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51,765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3,538,282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328,742</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12,755,934</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341,030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73,008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13,023,956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were no significant gross realized gains or losses from the sale of investment securities for the three-month and six-month periods ended June 30, 2015 and 2014,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2015, the amortized cost and estimated fair value of debt securities by contractual maturity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Amortized</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color w:val="auto"/>
              </w:rPr>
              <w:t>cost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3"/>
          </w:tcPr>
          <w:p>
            <w:pPr>
              <w:jc w:val="right"/>
              <w:ind w:right="53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10,418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197,809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2,619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160,762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371,608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10,637,825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10,771,980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11,009,433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11,150,639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160" w:type="dxa"/>
            <w:vAlign w:val="bottom"/>
          </w:tcPr>
          <w:p>
            <w:pPr>
              <w:spacing w:after="0"/>
              <w:rPr>
                <w:sz w:val="5"/>
                <w:szCs w:val="5"/>
                <w:color w:val="auto"/>
              </w:rPr>
            </w:pPr>
          </w:p>
        </w:tc>
        <w:tc>
          <w:tcPr>
            <w:tcW w:w="4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28,570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83,513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24,839</w:t>
            </w:r>
          </w:p>
        </w:tc>
        <w:tc>
          <w:tcPr>
            <w:tcW w:w="860" w:type="dxa"/>
            <w:vAlign w:val="bottom"/>
          </w:tcPr>
          <w:p>
            <w:pPr>
              <w:jc w:val="right"/>
              <w:spacing w:after="0"/>
              <w:rPr>
                <w:sz w:val="20"/>
                <w:szCs w:val="20"/>
                <w:color w:val="auto"/>
              </w:rPr>
            </w:pPr>
            <w:r>
              <w:rPr>
                <w:rFonts w:ascii="Arial" w:cs="Arial" w:eastAsia="Arial" w:hAnsi="Arial"/>
                <w:sz w:val="18"/>
                <w:szCs w:val="18"/>
                <w:color w:val="auto"/>
              </w:rPr>
              <w:t>25,119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144,037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3,020,548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3,164,585</w:t>
            </w:r>
          </w:p>
        </w:tc>
        <w:tc>
          <w:tcPr>
            <w:tcW w:w="860" w:type="dxa"/>
            <w:vAlign w:val="bottom"/>
          </w:tcPr>
          <w:p>
            <w:pPr>
              <w:jc w:val="right"/>
              <w:spacing w:after="0"/>
              <w:rPr>
                <w:sz w:val="20"/>
                <w:szCs w:val="20"/>
                <w:color w:val="auto"/>
              </w:rPr>
            </w:pPr>
            <w:r>
              <w:rPr>
                <w:rFonts w:ascii="Arial" w:cs="Arial" w:eastAsia="Arial" w:hAnsi="Arial"/>
                <w:sz w:val="18"/>
                <w:szCs w:val="18"/>
                <w:color w:val="auto"/>
              </w:rPr>
              <w:t>3,175,847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260" w:type="dxa"/>
            <w:vAlign w:val="bottom"/>
            <w:gridSpan w:val="2"/>
          </w:tcPr>
          <w:p>
            <w:pPr>
              <w:jc w:val="right"/>
              <w:ind w:right="2917"/>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 summary of investment securities that as of June 30, 2015 and December 31, 2014 had been in a continuous unrealized loss position for less than twelve months and those that had been in a continuous unrealized loss position for twelve months or longer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440"/>
              <w:spacing w:after="0"/>
              <w:rPr>
                <w:sz w:val="20"/>
                <w:szCs w:val="20"/>
                <w:color w:val="auto"/>
              </w:rPr>
            </w:pPr>
            <w:r>
              <w:rPr>
                <w:rFonts w:ascii="Arial" w:cs="Arial" w:eastAsia="Arial" w:hAnsi="Arial"/>
                <w:sz w:val="14"/>
                <w:szCs w:val="14"/>
                <w:color w:val="auto"/>
              </w:rPr>
              <w:t>Less than 12 months</w:t>
            </w:r>
          </w:p>
        </w:tc>
        <w:tc>
          <w:tcPr>
            <w:tcW w:w="1600" w:type="dxa"/>
            <w:vAlign w:val="bottom"/>
            <w:gridSpan w:val="4"/>
          </w:tcPr>
          <w:p>
            <w:pPr>
              <w:jc w:val="right"/>
              <w:ind w:right="3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9"/>
              </w:rPr>
              <w:t>Unrealized</w:t>
            </w: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Fair value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losses</w:t>
            </w: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Fair value</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1,403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1,527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2,688,635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(39,970)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6,231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2,444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13,142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93,061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Equity securities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2,704,945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(40,163)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103,542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(18,872)</w:t>
            </w:r>
          </w:p>
        </w:tc>
        <w:tc>
          <w:tcPr>
            <w:tcW w:w="0" w:type="dxa"/>
            <w:vAlign w:val="bottom"/>
          </w:tcPr>
          <w:p>
            <w:pPr>
              <w:spacing w:after="0"/>
              <w:rPr>
                <w:sz w:val="1"/>
                <w:szCs w:val="1"/>
                <w:color w:val="auto"/>
              </w:rPr>
            </w:pPr>
          </w:p>
        </w:tc>
      </w:tr>
      <w:tr>
        <w:trPr>
          <w:trHeight w:val="291"/>
        </w:trPr>
        <w:tc>
          <w:tcPr>
            <w:tcW w:w="446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3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38,431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383,167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249,870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127,482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(36,011)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421,598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379,641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(43,492)</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3,126,543</w:t>
            </w:r>
          </w:p>
        </w:tc>
        <w:tc>
          <w:tcPr>
            <w:tcW w:w="2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(43,216)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483,183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44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1,785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39,001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5,555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2,108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(696)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5,512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92,661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Equity securities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2,138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(1,164)</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65,554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103,914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(18,584)</w:t>
            </w:r>
          </w:p>
        </w:tc>
        <w:tc>
          <w:tcPr>
            <w:tcW w:w="0" w:type="dxa"/>
            <w:vAlign w:val="bottom"/>
          </w:tcPr>
          <w:p>
            <w:pPr>
              <w:spacing w:after="0"/>
              <w:rPr>
                <w:sz w:val="1"/>
                <w:szCs w:val="1"/>
                <w:color w:val="auto"/>
              </w:rPr>
            </w:pPr>
          </w:p>
        </w:tc>
      </w:tr>
      <w:tr>
        <w:trPr>
          <w:trHeight w:val="291"/>
        </w:trPr>
        <w:tc>
          <w:tcPr>
            <w:tcW w:w="446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3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29,886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137,413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446,780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127,512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(44,576)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167,299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574,560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(51,220)</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232,853</w:t>
            </w:r>
          </w:p>
        </w:tc>
        <w:tc>
          <w:tcPr>
            <w:tcW w:w="2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(3,204)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678,474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580" w:type="dxa"/>
            <w:vAlign w:val="bottom"/>
            <w:gridSpan w:val="2"/>
          </w:tcPr>
          <w:p>
            <w:pPr>
              <w:jc w:val="right"/>
              <w:ind w:right="205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owned 383 individual investment securities with aggregate gross unrealized losses of $106 million at June 30, 2015. Based on a review of each of the securities in the investment securities portfolio at June 30, 2015, the Company concluded that it expected to recover the amortized cost basis of its investment. As of June 30, 2015, the Company does not intend to sell nor is it anticipated that it would be required to sell any of its impaired investment securities at a loss. At June 30, 2015, the Company has not identified events or changes in circumstances which may have a significant adverse effect on the fair value of the $336 million of cost method investment securities.</w:t>
      </w:r>
    </w:p>
    <w:p>
      <w:pPr>
        <w:spacing w:after="0" w:line="33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and included in the consolidated balance sheet follow:</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June 30,</w:t>
            </w:r>
          </w:p>
        </w:tc>
        <w:tc>
          <w:tcPr>
            <w:tcW w:w="1340" w:type="dxa"/>
            <w:vAlign w:val="bottom"/>
            <w:gridSpan w:val="3"/>
          </w:tcPr>
          <w:p>
            <w:pPr>
              <w:ind w:left="420"/>
              <w:spacing w:after="0"/>
              <w:rPr>
                <w:sz w:val="20"/>
                <w:szCs w:val="20"/>
                <w:color w:val="auto"/>
              </w:rPr>
            </w:pPr>
            <w:r>
              <w:rPr>
                <w:rFonts w:ascii="Arial" w:cs="Arial" w:eastAsia="Arial" w:hAnsi="Arial"/>
                <w:sz w:val="14"/>
                <w:szCs w:val="14"/>
                <w:color w:val="auto"/>
              </w:rPr>
              <w:t>December 31,</w:t>
            </w:r>
          </w:p>
        </w:tc>
      </w:tr>
      <w:tr>
        <w:trPr>
          <w:trHeight w:val="167"/>
        </w:trPr>
        <w:tc>
          <w:tcPr>
            <w:tcW w:w="4720" w:type="dxa"/>
            <w:vAlign w:val="bottom"/>
          </w:tcPr>
          <w:p>
            <w:pPr>
              <w:spacing w:after="0"/>
              <w:rPr>
                <w:sz w:val="14"/>
                <w:szCs w:val="14"/>
                <w:color w:val="auto"/>
              </w:rPr>
            </w:pPr>
          </w:p>
        </w:tc>
        <w:tc>
          <w:tcPr>
            <w:tcW w:w="2620" w:type="dxa"/>
            <w:vAlign w:val="bottom"/>
            <w:gridSpan w:val="2"/>
          </w:tcPr>
          <w:p>
            <w:pPr>
              <w:jc w:val="right"/>
              <w:ind w:right="208"/>
              <w:spacing w:after="0"/>
              <w:rPr>
                <w:sz w:val="20"/>
                <w:szCs w:val="20"/>
                <w:color w:val="auto"/>
              </w:rPr>
            </w:pPr>
            <w:r>
              <w:rPr>
                <w:rFonts w:ascii="Arial" w:cs="Arial" w:eastAsia="Arial" w:hAnsi="Arial"/>
                <w:sz w:val="14"/>
                <w:szCs w:val="14"/>
                <w:color w:val="auto"/>
              </w:rPr>
              <w:t>2015</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60" w:type="dxa"/>
            <w:vAlign w:val="bottom"/>
            <w:tcBorders>
              <w:top w:val="single" w:sz="8" w:color="auto"/>
            </w:tcBorders>
            <w:gridSpan w:val="3"/>
          </w:tcPr>
          <w:p>
            <w:pPr>
              <w:jc w:val="right"/>
              <w:ind w:right="6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$2,631,165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3,070,268</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Carrying amount:</w:t>
            </w:r>
          </w:p>
        </w:tc>
        <w:tc>
          <w:tcPr>
            <w:tcW w:w="1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191,721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247,820</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775,816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961,828</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407,774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453,360</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Consumer</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844,068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933,537</w:t>
            </w:r>
          </w:p>
        </w:tc>
        <w:tc>
          <w:tcPr>
            <w:tcW w:w="100" w:type="dxa"/>
            <w:vAlign w:val="bottom"/>
          </w:tcPr>
          <w:p>
            <w:pPr>
              <w:spacing w:after="0"/>
              <w:rPr>
                <w:sz w:val="18"/>
                <w:szCs w:val="18"/>
                <w:color w:val="auto"/>
              </w:rPr>
            </w:pPr>
          </w:p>
        </w:tc>
      </w:tr>
      <w:tr>
        <w:trPr>
          <w:trHeight w:val="75"/>
        </w:trPr>
        <w:tc>
          <w:tcPr>
            <w:tcW w:w="4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7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2,219,379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2,596,545</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Purchased impaired loans included in the table above totaled $169 million at June 30, 2015 and $198 million at December 31, 2014, representing less than 1% of the Company’s assets as of each date. A summary of changes in the accretable yield for acquired loans for the three months and six months ended June 30, 2015 and 2014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3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2015</w:t>
            </w:r>
          </w:p>
        </w:tc>
        <w:tc>
          <w:tcPr>
            <w:tcW w:w="1720" w:type="dxa"/>
            <w:vAlign w:val="bottom"/>
            <w:gridSpan w:val="4"/>
          </w:tcPr>
          <w:p>
            <w:pPr>
              <w:jc w:val="right"/>
              <w:ind w:right="60"/>
              <w:spacing w:after="0"/>
              <w:rPr>
                <w:sz w:val="20"/>
                <w:szCs w:val="20"/>
                <w:color w:val="auto"/>
              </w:rPr>
            </w:pPr>
            <w:r>
              <w:rPr>
                <w:rFonts w:ascii="Arial" w:cs="Arial" w:eastAsia="Arial" w:hAnsi="Arial"/>
                <w:sz w:val="14"/>
                <w:szCs w:val="14"/>
                <w:color w:val="auto"/>
                <w:w w:val="89"/>
              </w:rPr>
              <w:t>Three months ended June 30</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89"/>
              </w:rPr>
              <w:t>2014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3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w w:val="83"/>
              </w:rPr>
              <w:t>Purchased</w:t>
            </w:r>
          </w:p>
        </w:tc>
        <w:tc>
          <w:tcPr>
            <w:tcW w:w="640" w:type="dxa"/>
            <w:vAlign w:val="bottom"/>
            <w:tcBorders>
              <w:top w:val="single" w:sz="8" w:color="auto"/>
            </w:tcBorders>
          </w:tcPr>
          <w:p>
            <w:pPr>
              <w:jc w:val="right"/>
              <w:ind w:right="78"/>
              <w:spacing w:after="0" w:line="123"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80"/>
              <w:spacing w:after="0" w:line="123" w:lineRule="exact"/>
              <w:rPr>
                <w:sz w:val="20"/>
                <w:szCs w:val="20"/>
                <w:color w:val="auto"/>
              </w:rPr>
            </w:pPr>
            <w:r>
              <w:rPr>
                <w:rFonts w:ascii="Arial" w:cs="Arial" w:eastAsia="Arial" w:hAnsi="Arial"/>
                <w:sz w:val="14"/>
                <w:szCs w:val="14"/>
                <w:color w:val="auto"/>
                <w:w w:val="86"/>
              </w:rPr>
              <w:t>Purchased</w:t>
            </w: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88"/>
              <w:spacing w:after="0" w:line="123"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impaired</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acquired</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impaired</w:t>
            </w:r>
          </w:p>
        </w:tc>
        <w:tc>
          <w:tcPr>
            <w:tcW w:w="3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acquired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460"/>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$71,422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357,895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$30,939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income</w:t>
            </w:r>
          </w:p>
        </w:tc>
        <w:tc>
          <w:tcPr>
            <w:tcW w:w="3380" w:type="dxa"/>
            <w:vAlign w:val="bottom"/>
            <w:gridSpan w:val="3"/>
          </w:tcPr>
          <w:p>
            <w:pPr>
              <w:jc w:val="right"/>
              <w:ind w:right="360"/>
              <w:spacing w:after="0"/>
              <w:rPr>
                <w:sz w:val="20"/>
                <w:szCs w:val="20"/>
                <w:color w:val="auto"/>
              </w:rPr>
            </w:pPr>
            <w:r>
              <w:rPr>
                <w:rFonts w:ascii="Arial" w:cs="Arial" w:eastAsia="Arial" w:hAnsi="Arial"/>
                <w:sz w:val="18"/>
                <w:szCs w:val="18"/>
                <w:color w:val="auto"/>
              </w:rPr>
              <w:t>(5,772)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(40,024)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(5,106)</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3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11,974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26,840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(a)</w:t>
            </w:r>
          </w:p>
        </w:tc>
        <w:tc>
          <w:tcPr>
            <w:tcW w:w="23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278</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77,624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344,989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26,082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380" w:type="dxa"/>
            <w:vAlign w:val="bottom"/>
            <w:gridSpan w:val="3"/>
          </w:tcPr>
          <w:p>
            <w:pPr>
              <w:jc w:val="right"/>
              <w:ind w:right="2260"/>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gridSpan w:val="7"/>
          </w:tcPr>
          <w:p>
            <w:pPr>
              <w:jc w:val="center"/>
              <w:ind w:right="80"/>
              <w:spacing w:after="0"/>
              <w:rPr>
                <w:sz w:val="20"/>
                <w:szCs w:val="20"/>
                <w:color w:val="auto"/>
              </w:rPr>
            </w:pPr>
            <w:r>
              <w:rPr>
                <w:rFonts w:ascii="Arial" w:cs="Arial" w:eastAsia="Arial" w:hAnsi="Arial"/>
                <w:sz w:val="14"/>
                <w:szCs w:val="14"/>
                <w:color w:val="auto"/>
                <w:w w:val="91"/>
              </w:rPr>
              <w:t>Six months ended 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2015</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92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86"/>
              </w:rPr>
              <w:t>Purchased</w:t>
            </w:r>
          </w:p>
        </w:tc>
        <w:tc>
          <w:tcPr>
            <w:tcW w:w="600" w:type="dxa"/>
            <w:vAlign w:val="bottom"/>
          </w:tcPr>
          <w:p>
            <w:pPr>
              <w:jc w:val="right"/>
              <w:ind w:right="77"/>
              <w:spacing w:after="0" w:line="123"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0"/>
                <w:szCs w:val="10"/>
                <w:color w:val="auto"/>
              </w:rPr>
            </w:pPr>
          </w:p>
        </w:tc>
        <w:tc>
          <w:tcPr>
            <w:tcW w:w="920" w:type="dxa"/>
            <w:vAlign w:val="bottom"/>
            <w:gridSpan w:val="3"/>
          </w:tcPr>
          <w:p>
            <w:pPr>
              <w:jc w:val="center"/>
              <w:ind w:right="280"/>
              <w:spacing w:after="0" w:line="123" w:lineRule="exact"/>
              <w:rPr>
                <w:sz w:val="20"/>
                <w:szCs w:val="20"/>
                <w:color w:val="auto"/>
              </w:rPr>
            </w:pPr>
            <w:r>
              <w:rPr>
                <w:rFonts w:ascii="Arial" w:cs="Arial" w:eastAsia="Arial" w:hAnsi="Arial"/>
                <w:sz w:val="14"/>
                <w:szCs w:val="14"/>
                <w:color w:val="auto"/>
                <w:w w:val="89"/>
              </w:rPr>
              <w:t>Purchased</w:t>
            </w:r>
          </w:p>
        </w:tc>
        <w:tc>
          <w:tcPr>
            <w:tcW w:w="600" w:type="dxa"/>
            <w:vAlign w:val="bottom"/>
          </w:tcPr>
          <w:p>
            <w:pPr>
              <w:jc w:val="right"/>
              <w:ind w:right="75"/>
              <w:spacing w:after="0" w:line="123"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impaired</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acquired</w:t>
            </w:r>
          </w:p>
        </w:tc>
        <w:tc>
          <w:tcPr>
            <w:tcW w:w="92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impaired</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acquired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jc w:val="center"/>
              <w:ind w:right="320"/>
              <w:spacing w:after="0" w:line="142" w:lineRule="exact"/>
              <w:rPr>
                <w:sz w:val="20"/>
                <w:szCs w:val="20"/>
                <w:color w:val="auto"/>
              </w:rPr>
            </w:pPr>
            <w:r>
              <w:rPr>
                <w:rFonts w:ascii="Arial" w:cs="Arial" w:eastAsia="Arial" w:hAnsi="Arial"/>
                <w:sz w:val="14"/>
                <w:szCs w:val="14"/>
                <w:color w:val="auto"/>
                <w:w w:val="92"/>
              </w:rPr>
              <w:t>(in thousands)</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1"/>
              </w:rPr>
              <w:t>$ 76,518</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397,379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$ 37,230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 income</w:t>
            </w:r>
          </w:p>
        </w:tc>
        <w:tc>
          <w:tcPr>
            <w:tcW w:w="880" w:type="dxa"/>
            <w:vAlign w:val="bottom"/>
            <w:gridSpan w:val="2"/>
          </w:tcPr>
          <w:p>
            <w:pPr>
              <w:jc w:val="right"/>
              <w:ind w:right="88"/>
              <w:spacing w:after="0"/>
              <w:rPr>
                <w:sz w:val="20"/>
                <w:szCs w:val="20"/>
                <w:color w:val="auto"/>
              </w:rPr>
            </w:pPr>
            <w:r>
              <w:rPr>
                <w:rFonts w:ascii="Arial" w:cs="Arial" w:eastAsia="Arial" w:hAnsi="Arial"/>
                <w:sz w:val="18"/>
                <w:szCs w:val="18"/>
                <w:color w:val="auto"/>
              </w:rPr>
              <w:t>(10,978)</w:t>
            </w:r>
          </w:p>
        </w:tc>
        <w:tc>
          <w:tcPr>
            <w:tcW w:w="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(81,301)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(11,434)</w:t>
            </w:r>
          </w:p>
        </w:tc>
        <w:tc>
          <w:tcPr>
            <w:tcW w:w="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(96,085)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12,084</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27,023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w:t>
            </w: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1,888</w:t>
            </w: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1"/>
              </w:rPr>
              <w:t>$ 77,624</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344,989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$ 26,082</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450,970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25"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 summary of current, past due and nonaccrual loans as of June 30, 2015 and December 31, 2014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5"/>
          </w:tcPr>
          <w:p>
            <w:pPr>
              <w:ind w:left="400"/>
              <w:spacing w:after="0"/>
              <w:rPr>
                <w:sz w:val="20"/>
                <w:szCs w:val="20"/>
                <w:color w:val="auto"/>
              </w:rPr>
            </w:pPr>
            <w:r>
              <w:rPr>
                <w:rFonts w:ascii="Arial" w:cs="Arial" w:eastAsia="Arial" w:hAnsi="Arial"/>
                <w:sz w:val="14"/>
                <w:szCs w:val="14"/>
                <w:color w:val="auto"/>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5"/>
          </w:tcPr>
          <w:p>
            <w:pPr>
              <w:jc w:val="right"/>
              <w:ind w:right="640"/>
              <w:spacing w:after="0" w:line="149" w:lineRule="exact"/>
              <w:rPr>
                <w:sz w:val="20"/>
                <w:szCs w:val="20"/>
                <w:color w:val="auto"/>
              </w:rPr>
            </w:pPr>
            <w:r>
              <w:rPr>
                <w:rFonts w:ascii="Arial" w:cs="Arial" w:eastAsia="Arial" w:hAnsi="Arial"/>
                <w:sz w:val="14"/>
                <w:szCs w:val="14"/>
                <w:color w:val="auto"/>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4"/>
                <w:szCs w:val="14"/>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color w:val="auto"/>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87"/>
              </w:rPr>
              <w:t>Days</w:t>
            </w:r>
          </w:p>
        </w:tc>
        <w:tc>
          <w:tcPr>
            <w:tcW w:w="700" w:type="dxa"/>
            <w:vAlign w:val="bottom"/>
            <w:tcBorders>
              <w:top w:val="single" w:sz="8" w:color="auto"/>
            </w:tcBorders>
            <w:gridSpan w:val="2"/>
          </w:tcPr>
          <w:p>
            <w:pPr>
              <w:ind w:left="180"/>
              <w:spacing w:after="0" w:line="123" w:lineRule="exact"/>
              <w:rPr>
                <w:sz w:val="20"/>
                <w:szCs w:val="20"/>
                <w:color w:val="auto"/>
              </w:rPr>
            </w:pPr>
            <w:r>
              <w:rPr>
                <w:rFonts w:ascii="Arial" w:cs="Arial" w:eastAsia="Arial" w:hAnsi="Arial"/>
                <w:sz w:val="14"/>
                <w:szCs w:val="14"/>
                <w:color w:val="auto"/>
              </w:rPr>
              <w:t>Non-</w:t>
            </w: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past due</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acquired</w:t>
            </w:r>
          </w:p>
        </w:tc>
        <w:tc>
          <w:tcPr>
            <w:tcW w:w="16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$19,852,368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36,637</w:t>
            </w:r>
          </w:p>
        </w:tc>
        <w:tc>
          <w:tcPr>
            <w:tcW w:w="660" w:type="dxa"/>
            <w:vAlign w:val="bottom"/>
          </w:tcPr>
          <w:p>
            <w:pPr>
              <w:jc w:val="right"/>
              <w:spacing w:after="0"/>
              <w:rPr>
                <w:sz w:val="20"/>
                <w:szCs w:val="20"/>
                <w:color w:val="auto"/>
              </w:rPr>
            </w:pPr>
            <w:r>
              <w:rPr>
                <w:rFonts w:ascii="Arial" w:cs="Arial" w:eastAsia="Arial" w:hAnsi="Arial"/>
                <w:sz w:val="18"/>
                <w:szCs w:val="18"/>
                <w:color w:val="auto"/>
              </w:rPr>
              <w:t>4,777</w:t>
            </w:r>
          </w:p>
        </w:tc>
        <w:tc>
          <w:tcPr>
            <w:tcW w:w="4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1,628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5,273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210,345</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$20,111,028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22,487,721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156,567</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17,079</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17,919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52,115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167,520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22,898,921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1,666,183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6,603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73,628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3,642,229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43,683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6,112</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2,834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20,059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21,149</w:t>
            </w:r>
          </w:p>
        </w:tc>
        <w:tc>
          <w:tcPr>
            <w:tcW w:w="900" w:type="dxa"/>
            <w:vAlign w:val="bottom"/>
          </w:tcPr>
          <w:p>
            <w:pPr>
              <w:jc w:val="right"/>
              <w:spacing w:after="0"/>
              <w:rPr>
                <w:sz w:val="20"/>
                <w:szCs w:val="20"/>
                <w:color w:val="auto"/>
              </w:rPr>
            </w:pPr>
            <w:r>
              <w:rPr>
                <w:rFonts w:ascii="Arial" w:cs="Arial" w:eastAsia="Arial" w:hAnsi="Arial"/>
                <w:sz w:val="18"/>
                <w:szCs w:val="18"/>
                <w:color w:val="auto"/>
              </w:rPr>
              <w:t>3,736,066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7,525,761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197,893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207,195</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18,972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15,804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164,721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234,859</w:t>
            </w:r>
          </w:p>
        </w:tc>
        <w:tc>
          <w:tcPr>
            <w:tcW w:w="640" w:type="dxa"/>
            <w:vAlign w:val="bottom"/>
          </w:tcPr>
          <w:p>
            <w:pPr>
              <w:jc w:val="right"/>
              <w:spacing w:after="0"/>
              <w:rPr>
                <w:sz w:val="20"/>
                <w:szCs w:val="20"/>
                <w:color w:val="auto"/>
              </w:rPr>
            </w:pPr>
            <w:r>
              <w:rPr>
                <w:rFonts w:ascii="Arial" w:cs="Arial" w:eastAsia="Arial" w:hAnsi="Arial"/>
                <w:sz w:val="18"/>
                <w:szCs w:val="18"/>
                <w:color w:val="auto"/>
              </w:rPr>
              <w:t>11,152</w:t>
            </w:r>
          </w:p>
        </w:tc>
        <w:tc>
          <w:tcPr>
            <w:tcW w:w="20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68,185</w:t>
            </w:r>
          </w:p>
        </w:tc>
        <w:tc>
          <w:tcPr>
            <w:tcW w:w="900" w:type="dxa"/>
            <w:vAlign w:val="bottom"/>
          </w:tcPr>
          <w:p>
            <w:pPr>
              <w:jc w:val="right"/>
              <w:spacing w:after="0"/>
              <w:rPr>
                <w:sz w:val="20"/>
                <w:szCs w:val="20"/>
                <w:color w:val="auto"/>
              </w:rPr>
            </w:pPr>
            <w:r>
              <w:rPr>
                <w:rFonts w:ascii="Arial" w:cs="Arial" w:eastAsia="Arial" w:hAnsi="Arial"/>
                <w:sz w:val="18"/>
                <w:szCs w:val="18"/>
                <w:color w:val="auto"/>
              </w:rPr>
              <w:t>314,196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5,765,082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31,446</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12,371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2,361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78,250</w:t>
            </w:r>
          </w:p>
        </w:tc>
        <w:tc>
          <w:tcPr>
            <w:tcW w:w="900" w:type="dxa"/>
            <w:vAlign w:val="bottom"/>
          </w:tcPr>
          <w:p>
            <w:pPr>
              <w:jc w:val="right"/>
              <w:spacing w:after="0"/>
              <w:rPr>
                <w:sz w:val="20"/>
                <w:szCs w:val="20"/>
                <w:color w:val="auto"/>
              </w:rPr>
            </w:pPr>
            <w:r>
              <w:rPr>
                <w:rFonts w:ascii="Arial" w:cs="Arial" w:eastAsia="Arial" w:hAnsi="Arial"/>
                <w:sz w:val="18"/>
                <w:szCs w:val="18"/>
                <w:color w:val="auto"/>
              </w:rPr>
              <w:t>5,889,510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2,134,000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29,906</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2,996,396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31,591</w:t>
            </w:r>
          </w:p>
        </w:tc>
        <w:tc>
          <w:tcPr>
            <w:tcW w:w="660" w:type="dxa"/>
            <w:vAlign w:val="bottom"/>
          </w:tcPr>
          <w:p>
            <w:pPr>
              <w:jc w:val="right"/>
              <w:spacing w:after="0"/>
              <w:rPr>
                <w:sz w:val="20"/>
                <w:szCs w:val="20"/>
                <w:color w:val="auto"/>
              </w:rPr>
            </w:pPr>
            <w:r>
              <w:rPr>
                <w:rFonts w:ascii="Arial" w:cs="Arial" w:eastAsia="Arial" w:hAnsi="Arial"/>
                <w:sz w:val="18"/>
                <w:szCs w:val="18"/>
                <w:color w:val="auto"/>
              </w:rPr>
              <w:t>3,405</w:t>
            </w:r>
          </w:p>
        </w:tc>
        <w:tc>
          <w:tcPr>
            <w:tcW w:w="4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18,264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14,966</w:t>
            </w:r>
          </w:p>
        </w:tc>
        <w:tc>
          <w:tcPr>
            <w:tcW w:w="900" w:type="dxa"/>
            <w:vAlign w:val="bottom"/>
          </w:tcPr>
          <w:p>
            <w:pPr>
              <w:jc w:val="right"/>
              <w:spacing w:after="0"/>
              <w:rPr>
                <w:sz w:val="20"/>
                <w:szCs w:val="20"/>
                <w:color w:val="auto"/>
              </w:rPr>
            </w:pPr>
            <w:r>
              <w:rPr>
                <w:rFonts w:ascii="Arial" w:cs="Arial" w:eastAsia="Arial" w:hAnsi="Arial"/>
                <w:sz w:val="18"/>
                <w:szCs w:val="18"/>
                <w:color w:val="auto"/>
              </w:rPr>
              <w:t>3,064,622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0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66,304,599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543,108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238,568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78,591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169,240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797,146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68,131,252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5"/>
          </w:tcPr>
          <w:p>
            <w:pPr>
              <w:jc w:val="center"/>
              <w:ind w:right="220"/>
              <w:spacing w:after="0" w:line="149" w:lineRule="exact"/>
              <w:rPr>
                <w:sz w:val="20"/>
                <w:szCs w:val="20"/>
                <w:color w:val="auto"/>
              </w:rPr>
            </w:pPr>
            <w:r>
              <w:rPr>
                <w:rFonts w:ascii="Arial" w:cs="Arial" w:eastAsia="Arial" w:hAnsi="Arial"/>
                <w:sz w:val="14"/>
                <w:szCs w:val="14"/>
                <w:color w:val="auto"/>
                <w:w w:val="89"/>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30-89</w:t>
            </w:r>
          </w:p>
        </w:tc>
        <w:tc>
          <w:tcPr>
            <w:tcW w:w="200" w:type="dxa"/>
            <w:vAlign w:val="bottom"/>
          </w:tcPr>
          <w:p>
            <w:pPr>
              <w:spacing w:after="0"/>
              <w:rPr>
                <w:sz w:val="14"/>
                <w:szCs w:val="14"/>
                <w:color w:val="auto"/>
              </w:rPr>
            </w:pP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3"/>
              </w:rPr>
              <w:t>Days</w:t>
            </w:r>
          </w:p>
        </w:tc>
        <w:tc>
          <w:tcPr>
            <w:tcW w:w="720" w:type="dxa"/>
            <w:vAlign w:val="bottom"/>
            <w:tcBorders>
              <w:top w:val="single" w:sz="8" w:color="auto"/>
            </w:tcBorders>
            <w:gridSpan w:val="2"/>
          </w:tcPr>
          <w:p>
            <w:pPr>
              <w:ind w:left="180"/>
              <w:spacing w:after="0" w:line="123" w:lineRule="exact"/>
              <w:rPr>
                <w:sz w:val="20"/>
                <w:szCs w:val="20"/>
                <w:color w:val="auto"/>
              </w:rPr>
            </w:pPr>
            <w:r>
              <w:rPr>
                <w:rFonts w:ascii="Arial" w:cs="Arial" w:eastAsia="Arial" w:hAnsi="Arial"/>
                <w:sz w:val="14"/>
                <w:szCs w:val="14"/>
                <w:color w:val="auto"/>
              </w:rPr>
              <w:t>Non-</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past due</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acquired</w:t>
            </w:r>
          </w:p>
        </w:tc>
        <w:tc>
          <w:tcPr>
            <w:tcW w:w="1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2240" w:type="dxa"/>
            <w:vAlign w:val="bottom"/>
            <w:gridSpan w:val="3"/>
          </w:tcPr>
          <w:p>
            <w:pPr>
              <w:jc w:val="right"/>
              <w:ind w:right="200"/>
              <w:spacing w:after="0"/>
              <w:rPr>
                <w:sz w:val="20"/>
                <w:szCs w:val="20"/>
                <w:color w:val="auto"/>
              </w:rPr>
            </w:pPr>
            <w:r>
              <w:rPr>
                <w:rFonts w:ascii="Arial" w:cs="Arial" w:eastAsia="Arial" w:hAnsi="Arial"/>
                <w:sz w:val="18"/>
                <w:szCs w:val="18"/>
                <w:color w:val="auto"/>
              </w:rPr>
              <w:t>$19,228,265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37,246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1,805</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6,231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10,300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177,445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$19,461,292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2240" w:type="dxa"/>
            <w:vAlign w:val="bottom"/>
            <w:gridSpan w:val="3"/>
          </w:tcPr>
          <w:p>
            <w:pPr>
              <w:jc w:val="right"/>
              <w:ind w:right="200"/>
              <w:spacing w:after="0"/>
              <w:rPr>
                <w:sz w:val="20"/>
                <w:szCs w:val="20"/>
                <w:color w:val="auto"/>
              </w:rPr>
            </w:pPr>
            <w:r>
              <w:rPr>
                <w:rFonts w:ascii="Arial" w:cs="Arial" w:eastAsia="Arial" w:hAnsi="Arial"/>
                <w:sz w:val="18"/>
                <w:szCs w:val="18"/>
                <w:color w:val="auto"/>
              </w:rPr>
              <w:t>22,208,491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118,704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22,170</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14,662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51,312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141,600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22,556,939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2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1,273,607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9,350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98,347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2240" w:type="dxa"/>
            <w:vAlign w:val="bottom"/>
            <w:gridSpan w:val="3"/>
          </w:tcPr>
          <w:p>
            <w:pPr>
              <w:jc w:val="right"/>
              <w:ind w:right="200"/>
              <w:spacing w:after="0"/>
              <w:rPr>
                <w:sz w:val="20"/>
                <w:szCs w:val="20"/>
                <w:color w:val="auto"/>
              </w:rPr>
            </w:pPr>
            <w:r>
              <w:rPr>
                <w:rFonts w:ascii="Arial" w:cs="Arial" w:eastAsia="Arial" w:hAnsi="Arial"/>
                <w:sz w:val="18"/>
                <w:szCs w:val="18"/>
                <w:color w:val="auto"/>
              </w:rPr>
              <w:t>3,484,932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17,678</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17,181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25,699</w:t>
            </w:r>
          </w:p>
        </w:tc>
        <w:tc>
          <w:tcPr>
            <w:tcW w:w="900" w:type="dxa"/>
            <w:vAlign w:val="bottom"/>
          </w:tcPr>
          <w:p>
            <w:pPr>
              <w:jc w:val="right"/>
              <w:spacing w:after="0"/>
              <w:rPr>
                <w:sz w:val="20"/>
                <w:szCs w:val="20"/>
                <w:color w:val="auto"/>
              </w:rPr>
            </w:pPr>
            <w:r>
              <w:rPr>
                <w:rFonts w:ascii="Arial" w:cs="Arial" w:eastAsia="Arial" w:hAnsi="Arial"/>
                <w:sz w:val="18"/>
                <w:szCs w:val="18"/>
                <w:color w:val="auto"/>
              </w:rPr>
              <w:t>3,545,490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7,640,368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226,932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216,489</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35,726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18,223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180,275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2240" w:type="dxa"/>
            <w:vAlign w:val="bottom"/>
            <w:gridSpan w:val="3"/>
          </w:tcPr>
          <w:p>
            <w:pPr>
              <w:jc w:val="right"/>
              <w:ind w:right="200"/>
              <w:spacing w:after="0"/>
              <w:rPr>
                <w:sz w:val="20"/>
                <w:szCs w:val="20"/>
                <w:color w:val="auto"/>
              </w:rPr>
            </w:pPr>
            <w:r>
              <w:rPr>
                <w:rFonts w:ascii="Arial" w:cs="Arial" w:eastAsia="Arial" w:hAnsi="Arial"/>
                <w:sz w:val="18"/>
                <w:szCs w:val="18"/>
                <w:color w:val="auto"/>
              </w:rPr>
              <w:t>249,810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11,774</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77,704</w:t>
            </w:r>
          </w:p>
        </w:tc>
        <w:tc>
          <w:tcPr>
            <w:tcW w:w="900" w:type="dxa"/>
            <w:vAlign w:val="bottom"/>
          </w:tcPr>
          <w:p>
            <w:pPr>
              <w:jc w:val="right"/>
              <w:spacing w:after="0"/>
              <w:rPr>
                <w:sz w:val="20"/>
                <w:szCs w:val="20"/>
                <w:color w:val="auto"/>
              </w:rPr>
            </w:pPr>
            <w:r>
              <w:rPr>
                <w:rFonts w:ascii="Arial" w:cs="Arial" w:eastAsia="Arial" w:hAnsi="Arial"/>
                <w:sz w:val="18"/>
                <w:szCs w:val="18"/>
                <w:color w:val="auto"/>
              </w:rPr>
              <w:t>339,288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2240" w:type="dxa"/>
            <w:vAlign w:val="bottom"/>
            <w:gridSpan w:val="3"/>
          </w:tcPr>
          <w:p>
            <w:pPr>
              <w:jc w:val="right"/>
              <w:ind w:right="200"/>
              <w:spacing w:after="0"/>
              <w:rPr>
                <w:sz w:val="20"/>
                <w:szCs w:val="20"/>
                <w:color w:val="auto"/>
              </w:rPr>
            </w:pPr>
            <w:r>
              <w:rPr>
                <w:rFonts w:ascii="Arial" w:cs="Arial" w:eastAsia="Arial" w:hAnsi="Arial"/>
                <w:sz w:val="18"/>
                <w:szCs w:val="18"/>
                <w:color w:val="auto"/>
              </w:rPr>
              <w:t>5,859,378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42,945</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27,896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2,374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89,291</w:t>
            </w:r>
          </w:p>
        </w:tc>
        <w:tc>
          <w:tcPr>
            <w:tcW w:w="900" w:type="dxa"/>
            <w:vAlign w:val="bottom"/>
          </w:tcPr>
          <w:p>
            <w:pPr>
              <w:jc w:val="right"/>
              <w:spacing w:after="0"/>
              <w:rPr>
                <w:sz w:val="20"/>
                <w:szCs w:val="20"/>
                <w:color w:val="auto"/>
              </w:rPr>
            </w:pPr>
            <w:r>
              <w:rPr>
                <w:rFonts w:ascii="Arial" w:cs="Arial" w:eastAsia="Arial" w:hAnsi="Arial"/>
                <w:sz w:val="18"/>
                <w:szCs w:val="18"/>
                <w:color w:val="auto"/>
              </w:rPr>
              <w:t>6,021,884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2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1,931,138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30,500</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17,578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Other</w:t>
            </w:r>
          </w:p>
        </w:tc>
        <w:tc>
          <w:tcPr>
            <w:tcW w:w="2240" w:type="dxa"/>
            <w:vAlign w:val="bottom"/>
            <w:gridSpan w:val="3"/>
          </w:tcPr>
          <w:p>
            <w:pPr>
              <w:jc w:val="right"/>
              <w:ind w:right="200"/>
              <w:spacing w:after="0"/>
              <w:rPr>
                <w:sz w:val="20"/>
                <w:szCs w:val="20"/>
                <w:color w:val="auto"/>
              </w:rPr>
            </w:pPr>
            <w:r>
              <w:rPr>
                <w:rFonts w:ascii="Arial" w:cs="Arial" w:eastAsia="Arial" w:hAnsi="Arial"/>
                <w:sz w:val="18"/>
                <w:szCs w:val="18"/>
                <w:color w:val="auto"/>
              </w:rPr>
              <w:t>2,909,791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33,295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4,064</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16,369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18,042</w:t>
            </w:r>
          </w:p>
        </w:tc>
        <w:tc>
          <w:tcPr>
            <w:tcW w:w="900" w:type="dxa"/>
            <w:vAlign w:val="bottom"/>
          </w:tcPr>
          <w:p>
            <w:pPr>
              <w:jc w:val="right"/>
              <w:spacing w:after="0"/>
              <w:rPr>
                <w:sz w:val="20"/>
                <w:szCs w:val="20"/>
                <w:color w:val="auto"/>
              </w:rPr>
            </w:pPr>
            <w:r>
              <w:rPr>
                <w:rFonts w:ascii="Arial" w:cs="Arial" w:eastAsia="Arial" w:hAnsi="Arial"/>
                <w:sz w:val="18"/>
                <w:szCs w:val="18"/>
                <w:color w:val="auto"/>
              </w:rPr>
              <w:t>2,981,561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64,785,780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530,901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245,020</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110,367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197,737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799,151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66,668,956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right="620" w:hanging="452"/>
        <w:spacing w:after="0" w:line="25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21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One-to-four family residential mortgage loans originated for sale were $479 million and $435 million at June 30, 2015 and December 31, 2014, respectively. Commercial mortgage loans held for sale were $320 million at June 30, 2015 and $308 million at December 31, 2014.</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June 30, 2015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19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6"/>
              </w:rPr>
              <w:t>Financial,</w:t>
            </w:r>
          </w:p>
        </w:tc>
        <w:tc>
          <w:tcPr>
            <w:tcW w:w="198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Leasing, 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$ 281,069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317,375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60,741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186,052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76,136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$921,373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9,737</w:t>
            </w: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(3,652)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1,624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21,016</w:t>
            </w:r>
          </w:p>
        </w:tc>
        <w:tc>
          <w:tcPr>
            <w:tcW w:w="700" w:type="dxa"/>
            <w:vAlign w:val="bottom"/>
          </w:tcPr>
          <w:p>
            <w:pPr>
              <w:jc w:val="right"/>
              <w:spacing w:after="0"/>
              <w:rPr>
                <w:sz w:val="20"/>
                <w:szCs w:val="20"/>
                <w:color w:val="auto"/>
              </w:rPr>
            </w:pPr>
            <w:r>
              <w:rPr>
                <w:rFonts w:ascii="Arial" w:cs="Arial" w:eastAsia="Arial" w:hAnsi="Arial"/>
                <w:sz w:val="18"/>
                <w:szCs w:val="18"/>
                <w:color w:val="auto"/>
              </w:rPr>
              <w:t>1,275</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(7,728)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(3,470)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(3,309)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(18,455)</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19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7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(4,056)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(2,429)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(2,071)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(12,830)</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(21,386)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6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$ 286,750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194,238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929,987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the allowance for credit losses for the three months ended June 30,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Commercial,</w:t>
            </w:r>
          </w:p>
        </w:tc>
        <w:tc>
          <w:tcPr>
            <w:tcW w:w="2000" w:type="dxa"/>
            <w:vAlign w:val="bottom"/>
            <w:gridSpan w:val="4"/>
            <w:vMerge w:val="restart"/>
          </w:tcPr>
          <w:p>
            <w:pPr>
              <w:jc w:val="right"/>
              <w:ind w:right="84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3"/>
              </w:rPr>
              <w:t>Financial,</w:t>
            </w:r>
          </w:p>
        </w:tc>
        <w:tc>
          <w:tcPr>
            <w:tcW w:w="200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Leasing, etc.</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Commercial</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Unallocated</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76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$ 276,835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324,805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77,062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162,134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$916,768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920" w:type="dxa"/>
            <w:vAlign w:val="bottom"/>
            <w:gridSpan w:val="3"/>
          </w:tcPr>
          <w:p>
            <w:pPr>
              <w:jc w:val="right"/>
              <w:ind w:right="300"/>
              <w:spacing w:after="0"/>
              <w:rPr>
                <w:sz w:val="20"/>
                <w:szCs w:val="20"/>
                <w:color w:val="auto"/>
              </w:rPr>
            </w:pPr>
            <w:r>
              <w:rPr>
                <w:rFonts w:ascii="Arial" w:cs="Arial" w:eastAsia="Arial" w:hAnsi="Arial"/>
                <w:sz w:val="18"/>
                <w:szCs w:val="18"/>
                <w:color w:val="auto"/>
              </w:rPr>
              <w:t>25,556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(12,229)</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(1,957)</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18,676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2920" w:type="dxa"/>
            <w:vAlign w:val="bottom"/>
            <w:gridSpan w:val="3"/>
          </w:tcPr>
          <w:p>
            <w:pPr>
              <w:jc w:val="right"/>
              <w:ind w:right="240"/>
              <w:spacing w:after="0"/>
              <w:rPr>
                <w:sz w:val="20"/>
                <w:szCs w:val="20"/>
                <w:color w:val="auto"/>
              </w:rPr>
            </w:pPr>
            <w:r>
              <w:rPr>
                <w:rFonts w:ascii="Arial" w:cs="Arial" w:eastAsia="Arial" w:hAnsi="Arial"/>
                <w:sz w:val="18"/>
                <w:szCs w:val="18"/>
                <w:color w:val="auto"/>
              </w:rPr>
              <w:t>(14,142)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(2,814)</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(5,478)</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(19,404)</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4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86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(10,140)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(1,322)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(2,701)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(14,939)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(29,102)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7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$ 292,251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311,254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72,404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165,871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75,886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917,666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six months ended June 30, 2015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19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6"/>
              </w:rPr>
              <w:t>Financial,</w:t>
            </w:r>
          </w:p>
        </w:tc>
        <w:tc>
          <w:tcPr>
            <w:tcW w:w="198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Leasing, 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$ 288,038</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307,927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61,910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186,033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75,654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$919,562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40" w:type="dxa"/>
            <w:vAlign w:val="bottom"/>
          </w:tcPr>
          <w:p>
            <w:pPr>
              <w:jc w:val="right"/>
              <w:spacing w:after="0"/>
              <w:rPr>
                <w:sz w:val="20"/>
                <w:szCs w:val="20"/>
                <w:color w:val="auto"/>
              </w:rPr>
            </w:pPr>
            <w:r>
              <w:rPr>
                <w:rFonts w:ascii="Arial" w:cs="Arial" w:eastAsia="Arial" w:hAnsi="Arial"/>
                <w:sz w:val="18"/>
                <w:szCs w:val="18"/>
                <w:color w:val="auto"/>
              </w:rPr>
              <w:t>11,179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11,890</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2,584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40,590</w:t>
            </w:r>
          </w:p>
        </w:tc>
        <w:tc>
          <w:tcPr>
            <w:tcW w:w="700" w:type="dxa"/>
            <w:vAlign w:val="bottom"/>
          </w:tcPr>
          <w:p>
            <w:pPr>
              <w:jc w:val="right"/>
              <w:spacing w:after="0"/>
              <w:rPr>
                <w:sz w:val="20"/>
                <w:szCs w:val="20"/>
                <w:color w:val="auto"/>
              </w:rPr>
            </w:pPr>
            <w:r>
              <w:rPr>
                <w:rFonts w:ascii="Arial" w:cs="Arial" w:eastAsia="Arial" w:hAnsi="Arial"/>
                <w:sz w:val="18"/>
                <w:szCs w:val="18"/>
                <w:color w:val="auto"/>
              </w:rPr>
              <w:t>1,757</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(20,078)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(10,149)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(6,427)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(43,784)</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11,399</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22,863</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(12,467)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(8,523)</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(4,200)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(32,385)</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(57,575)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$ 286,750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194,238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929,987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six months ended June 30,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19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6"/>
              </w:rPr>
              <w:t>Financial,</w:t>
            </w:r>
          </w:p>
        </w:tc>
        <w:tc>
          <w:tcPr>
            <w:tcW w:w="198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Leasing, 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$ 273,383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324,978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78,656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164,644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75,015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38,154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(12,113)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2,271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32,817</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871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(28,951)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(6,300)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(12,931)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(41,095)</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6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(19,286)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(1,611)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(8,523)</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(31,590)</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(61,010)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$ 292,251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311,254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72,404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165,871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75,886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917,666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60"/>
        <w:spacing w:after="0" w:line="449" w:lineRule="auto"/>
        <w:rPr>
          <w:sz w:val="20"/>
          <w:szCs w:val="20"/>
          <w:color w:val="auto"/>
        </w:rPr>
      </w:pPr>
      <w:r>
        <w:rPr>
          <w:rFonts w:ascii="Arial" w:cs="Arial" w:eastAsia="Arial" w:hAnsi="Arial"/>
          <w:sz w:val="18"/>
          <w:szCs w:val="18"/>
          <w:color w:val="auto"/>
        </w:rPr>
        <w:t>Despite the above allocation, the allowance for credit losses is general in nature and is available to absorb losses from any loan or lease type. –15–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June 30, 2015 and December 31, 2014 and for the three-month and six-month periods ended June 30, 2015 and June 30,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June 30, 2015</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4"/>
                <w:szCs w:val="14"/>
                <w:color w:val="auto"/>
              </w:rPr>
              <w:t>December 31, 2014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Recorded</w:t>
            </w:r>
          </w:p>
        </w:tc>
        <w:tc>
          <w:tcPr>
            <w:tcW w:w="1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principal</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Related</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principal</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investment</w:t>
            </w:r>
          </w:p>
        </w:tc>
        <w:tc>
          <w:tcPr>
            <w:tcW w:w="16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allowance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investment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ind w:left="26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$122,574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147,028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31,098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132,340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165,146</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105,064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120,905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18,390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83,955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96,209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7,808</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10,439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17,632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3,091</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4,542</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5,480</w:t>
            </w:r>
          </w:p>
        </w:tc>
        <w:tc>
          <w:tcPr>
            <w:tcW w:w="640" w:type="dxa"/>
            <w:vAlign w:val="bottom"/>
          </w:tcPr>
          <w:p>
            <w:pPr>
              <w:jc w:val="right"/>
              <w:spacing w:after="0"/>
              <w:rPr>
                <w:sz w:val="20"/>
                <w:szCs w:val="20"/>
                <w:color w:val="auto"/>
              </w:rPr>
            </w:pPr>
            <w:r>
              <w:rPr>
                <w:rFonts w:ascii="Arial" w:cs="Arial" w:eastAsia="Arial" w:hAnsi="Arial"/>
                <w:sz w:val="18"/>
                <w:szCs w:val="18"/>
                <w:color w:val="auto"/>
              </w:rPr>
              <w:t>6,484</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84,241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102,237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107,343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94,752</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107,894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101,137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114,565</w:t>
            </w:r>
          </w:p>
        </w:tc>
        <w:tc>
          <w:tcPr>
            <w:tcW w:w="58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21,235</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22,219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3,531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19,771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20,806</w:t>
            </w:r>
          </w:p>
        </w:tc>
        <w:tc>
          <w:tcPr>
            <w:tcW w:w="580" w:type="dxa"/>
            <w:vAlign w:val="bottom"/>
          </w:tcPr>
          <w:p>
            <w:pPr>
              <w:jc w:val="right"/>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25,175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25,175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19,256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19,256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5,458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18,973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18,973</w:t>
            </w:r>
          </w:p>
        </w:tc>
        <w:tc>
          <w:tcPr>
            <w:tcW w:w="580" w:type="dxa"/>
            <w:vAlign w:val="bottom"/>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483,196</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559,695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80,917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498,575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581,887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82,643</w:t>
            </w:r>
          </w:p>
        </w:tc>
        <w:tc>
          <w:tcPr>
            <w:tcW w:w="0" w:type="dxa"/>
            <w:vAlign w:val="bottom"/>
          </w:tcPr>
          <w:p>
            <w:pPr>
              <w:spacing w:after="0"/>
              <w:rPr>
                <w:sz w:val="1"/>
                <w:szCs w:val="1"/>
                <w:color w:val="auto"/>
              </w:rPr>
            </w:pPr>
          </w:p>
        </w:tc>
      </w:tr>
      <w:tr>
        <w:trPr>
          <w:trHeight w:val="291"/>
        </w:trPr>
        <w:tc>
          <w:tcPr>
            <w:tcW w:w="434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2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116,982</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138,635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73,978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81,493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72,094</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79,541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66,777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78,943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builder and developer</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53,843</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94,700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58,820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96,722</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commercial construction</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18,524</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39,347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41,035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16,174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26,120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16,815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26,750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Alt-A</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46,964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301,152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418,860</w:t>
            </w:r>
          </w:p>
        </w:tc>
        <w:tc>
          <w:tcPr>
            <w:tcW w:w="20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263,880</w:t>
            </w:r>
          </w:p>
        </w:tc>
        <w:tc>
          <w:tcPr>
            <w:tcW w:w="20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371,907</w:t>
            </w:r>
          </w:p>
        </w:tc>
        <w:tc>
          <w:tcPr>
            <w:tcW w:w="22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239,556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285,663</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31,098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206,318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246,639</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177,158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200,446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18,390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150,732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175,152</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61,651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105,139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76,452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118,766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21,615</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43,889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26,218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47,519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100,415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128,357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105,785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134,093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118,287</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148,411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127,889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161,529</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21,235</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22,219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3,531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19,771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20,806</w:t>
            </w:r>
          </w:p>
        </w:tc>
        <w:tc>
          <w:tcPr>
            <w:tcW w:w="580" w:type="dxa"/>
            <w:vAlign w:val="bottom"/>
          </w:tcPr>
          <w:p>
            <w:pPr>
              <w:jc w:val="right"/>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25,175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25,175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19,256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19,256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5,458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18,973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18,973</w:t>
            </w:r>
          </w:p>
        </w:tc>
        <w:tc>
          <w:tcPr>
            <w:tcW w:w="580" w:type="dxa"/>
            <w:vAlign w:val="bottom"/>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784,348</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978,555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80,917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762,455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953,794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80" w:type="dxa"/>
            <w:vAlign w:val="bottom"/>
            <w:gridSpan w:val="3"/>
          </w:tcPr>
          <w:p>
            <w:pPr>
              <w:ind w:left="12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12"/>
          </w:tcPr>
          <w:p>
            <w:pPr>
              <w:ind w:left="2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2060" w:type="dxa"/>
            <w:vAlign w:val="bottom"/>
            <w:gridSpan w:val="10"/>
          </w:tcPr>
          <w:p>
            <w:pPr>
              <w:jc w:val="right"/>
              <w:ind w:right="5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color w:val="auto"/>
              </w:rPr>
              <w:t>June 30, 2015</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June 30, 2014</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6"/>
          </w:tcPr>
          <w:p>
            <w:pPr>
              <w:jc w:val="center"/>
              <w:ind w:right="20"/>
              <w:spacing w:after="0" w:line="123" w:lineRule="exact"/>
              <w:rPr>
                <w:sz w:val="20"/>
                <w:szCs w:val="20"/>
                <w:color w:val="auto"/>
              </w:rPr>
            </w:pPr>
            <w:r>
              <w:rPr>
                <w:rFonts w:ascii="Arial" w:cs="Arial" w:eastAsia="Arial" w:hAnsi="Arial"/>
                <w:sz w:val="14"/>
                <w:szCs w:val="14"/>
                <w:color w:val="auto"/>
                <w:w w:val="93"/>
              </w:rPr>
              <w:t>Interest income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5"/>
          </w:tcPr>
          <w:p>
            <w:pPr>
              <w:jc w:val="right"/>
              <w:ind w:right="28"/>
              <w:spacing w:after="0" w:line="123" w:lineRule="exact"/>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5"/>
            <w:vMerge w:val="restart"/>
          </w:tcPr>
          <w:p>
            <w:pPr>
              <w:jc w:val="center"/>
              <w:ind w:right="40"/>
              <w:spacing w:after="0"/>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4"/>
                <w:szCs w:val="14"/>
                <w:color w:val="auto"/>
              </w:rPr>
            </w:pPr>
          </w:p>
        </w:tc>
        <w:tc>
          <w:tcPr>
            <w:tcW w:w="1140" w:type="dxa"/>
            <w:vAlign w:val="bottom"/>
            <w:gridSpan w:val="7"/>
          </w:tcPr>
          <w:p>
            <w:pPr>
              <w:jc w:val="center"/>
              <w:ind w:right="40"/>
              <w:spacing w:after="0"/>
              <w:rPr>
                <w:sz w:val="20"/>
                <w:szCs w:val="20"/>
                <w:color w:val="auto"/>
              </w:rPr>
            </w:pPr>
            <w:r>
              <w:rPr>
                <w:rFonts w:ascii="Arial" w:cs="Arial" w:eastAsia="Arial" w:hAnsi="Arial"/>
                <w:sz w:val="14"/>
                <w:szCs w:val="14"/>
                <w:color w:val="auto"/>
                <w:w w:val="90"/>
              </w:rPr>
              <w:t>recognized</w:t>
            </w:r>
          </w:p>
        </w:tc>
        <w:tc>
          <w:tcPr>
            <w:tcW w:w="180" w:type="dxa"/>
            <w:vAlign w:val="bottom"/>
          </w:tcPr>
          <w:p>
            <w:pPr>
              <w:spacing w:after="0"/>
              <w:rPr>
                <w:sz w:val="14"/>
                <w:szCs w:val="14"/>
                <w:color w:val="auto"/>
              </w:rPr>
            </w:pPr>
          </w:p>
        </w:tc>
        <w:tc>
          <w:tcPr>
            <w:tcW w:w="660" w:type="dxa"/>
            <w:vAlign w:val="bottom"/>
            <w:gridSpan w:val="3"/>
            <w:vMerge w:val="restart"/>
          </w:tcPr>
          <w:p>
            <w:pPr>
              <w:jc w:val="center"/>
              <w:ind w:right="20"/>
              <w:spacing w:after="0"/>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4"/>
                <w:szCs w:val="14"/>
                <w:color w:val="auto"/>
              </w:rPr>
            </w:pPr>
          </w:p>
        </w:tc>
        <w:tc>
          <w:tcPr>
            <w:tcW w:w="1220" w:type="dxa"/>
            <w:vAlign w:val="bottom"/>
            <w:gridSpan w:val="6"/>
          </w:tcPr>
          <w:p>
            <w:pPr>
              <w:jc w:val="right"/>
              <w:ind w:right="340"/>
              <w:spacing w:after="0"/>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10"/>
        </w:trPr>
        <w:tc>
          <w:tcPr>
            <w:tcW w:w="41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5"/>
          </w:tcPr>
          <w:p>
            <w:pPr>
              <w:jc w:val="center"/>
              <w:ind w:right="20"/>
              <w:spacing w:after="0" w:line="149" w:lineRule="exact"/>
              <w:rPr>
                <w:sz w:val="20"/>
                <w:szCs w:val="20"/>
                <w:color w:val="auto"/>
              </w:rPr>
            </w:pPr>
            <w:r>
              <w:rPr>
                <w:rFonts w:ascii="Arial" w:cs="Arial" w:eastAsia="Arial" w:hAnsi="Arial"/>
                <w:sz w:val="14"/>
                <w:szCs w:val="14"/>
                <w:color w:val="auto"/>
                <w:w w:val="90"/>
              </w:rPr>
              <w:t>recorded</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Cash</w:t>
            </w:r>
          </w:p>
        </w:tc>
        <w:tc>
          <w:tcPr>
            <w:tcW w:w="18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recorded</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5"/>
          </w:tcPr>
          <w:p>
            <w:pPr>
              <w:jc w:val="center"/>
              <w:ind w:right="40"/>
              <w:spacing w:after="0"/>
              <w:rPr>
                <w:sz w:val="20"/>
                <w:szCs w:val="20"/>
                <w:color w:val="auto"/>
              </w:rPr>
            </w:pPr>
            <w:r>
              <w:rPr>
                <w:rFonts w:ascii="Arial" w:cs="Arial" w:eastAsia="Arial" w:hAnsi="Arial"/>
                <w:sz w:val="14"/>
                <w:szCs w:val="14"/>
                <w:color w:val="auto"/>
                <w:w w:val="94"/>
              </w:rPr>
              <w:t>investment</w:t>
            </w:r>
          </w:p>
        </w:tc>
        <w:tc>
          <w:tcPr>
            <w:tcW w:w="18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color w:val="auto"/>
                <w:w w:val="94"/>
              </w:rPr>
              <w:t>investment</w:t>
            </w:r>
          </w:p>
        </w:tc>
        <w:tc>
          <w:tcPr>
            <w:tcW w:w="180" w:type="dxa"/>
            <w:vAlign w:val="bottom"/>
          </w:tcPr>
          <w:p>
            <w:pPr>
              <w:spacing w:after="0"/>
              <w:rPr>
                <w:sz w:val="14"/>
                <w:szCs w:val="1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7"/>
          </w:tcPr>
          <w:p>
            <w:pPr>
              <w:jc w:val="right"/>
              <w:ind w:right="38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36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$221,952</w:t>
            </w: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150,625</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6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153,105</w:t>
            </w: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1,004</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1,004</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207,633</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869</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3700" w:type="dxa"/>
            <w:vAlign w:val="bottom"/>
            <w:gridSpan w:val="7"/>
          </w:tcPr>
          <w:p>
            <w:pPr>
              <w:jc w:val="right"/>
              <w:ind w:right="40"/>
              <w:spacing w:after="0"/>
              <w:rPr>
                <w:sz w:val="20"/>
                <w:szCs w:val="20"/>
                <w:color w:val="auto"/>
              </w:rPr>
            </w:pPr>
            <w:r>
              <w:rPr>
                <w:rFonts w:ascii="Arial" w:cs="Arial" w:eastAsia="Arial" w:hAnsi="Arial"/>
                <w:sz w:val="18"/>
                <w:szCs w:val="18"/>
                <w:color w:val="auto"/>
              </w:rPr>
              <w:t>66,334</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131</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131</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91,614</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37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23,614</w:t>
            </w:r>
          </w:p>
        </w:tc>
        <w:tc>
          <w:tcPr>
            <w:tcW w:w="7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77,801</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680" w:type="dxa"/>
            <w:vAlign w:val="bottom"/>
            <w:gridSpan w:val="6"/>
          </w:tcPr>
          <w:p>
            <w:pPr>
              <w:jc w:val="right"/>
              <w:ind w:right="20"/>
              <w:spacing w:after="0"/>
              <w:rPr>
                <w:sz w:val="20"/>
                <w:szCs w:val="20"/>
                <w:color w:val="auto"/>
              </w:rPr>
            </w:pPr>
            <w:r>
              <w:rPr>
                <w:rFonts w:ascii="Arial" w:cs="Arial" w:eastAsia="Arial" w:hAnsi="Arial"/>
                <w:sz w:val="18"/>
                <w:szCs w:val="18"/>
                <w:color w:val="auto"/>
              </w:rPr>
              <w:t>101,560</w:t>
            </w:r>
          </w:p>
        </w:tc>
        <w:tc>
          <w:tcPr>
            <w:tcW w:w="2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1,358</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785</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119,133</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5,056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36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120,286</w:t>
            </w: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1,650</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134,895</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1,733</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37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20,221</w:t>
            </w:r>
          </w:p>
        </w:tc>
        <w:tc>
          <w:tcPr>
            <w:tcW w:w="7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18,762</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3700" w:type="dxa"/>
            <w:vAlign w:val="bottom"/>
            <w:gridSpan w:val="7"/>
          </w:tcPr>
          <w:p>
            <w:pPr>
              <w:jc w:val="right"/>
              <w:ind w:right="40"/>
              <w:spacing w:after="0"/>
              <w:rPr>
                <w:sz w:val="20"/>
                <w:szCs w:val="20"/>
                <w:color w:val="auto"/>
              </w:rPr>
            </w:pPr>
            <w:r>
              <w:rPr>
                <w:rFonts w:ascii="Arial" w:cs="Arial" w:eastAsia="Arial" w:hAnsi="Arial"/>
                <w:sz w:val="18"/>
                <w:szCs w:val="18"/>
                <w:color w:val="auto"/>
              </w:rPr>
              <w:t>26,123</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416</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36,631</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589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980" w:type="dxa"/>
            <w:vAlign w:val="bottom"/>
            <w:gridSpan w:val="2"/>
            <w:shd w:val="clear" w:color="auto" w:fill="CCEEFF"/>
          </w:tcPr>
          <w:p>
            <w:pPr>
              <w:spacing w:after="0"/>
              <w:rPr>
                <w:sz w:val="18"/>
                <w:szCs w:val="18"/>
                <w:color w:val="auto"/>
              </w:rPr>
            </w:pP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19,058</w:t>
            </w:r>
          </w:p>
        </w:tc>
        <w:tc>
          <w:tcPr>
            <w:tcW w:w="7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18,309</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752,253</w:t>
            </w:r>
          </w:p>
        </w:tc>
        <w:tc>
          <w:tcPr>
            <w:tcW w:w="20" w:type="dxa"/>
            <w:vAlign w:val="bottom"/>
          </w:tcPr>
          <w:p>
            <w:pPr>
              <w:spacing w:after="0"/>
              <w:rPr>
                <w:sz w:val="24"/>
                <w:szCs w:val="24"/>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5,638</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3,425</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855,403</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9,228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9"/>
          </w:tcPr>
          <w:p>
            <w:pPr>
              <w:jc w:val="right"/>
              <w:ind w:right="140"/>
              <w:spacing w:after="0"/>
              <w:rPr>
                <w:sz w:val="20"/>
                <w:szCs w:val="20"/>
                <w:color w:val="auto"/>
              </w:rPr>
            </w:pPr>
            <w:r>
              <w:rPr>
                <w:rFonts w:ascii="Arial" w:cs="Arial" w:eastAsia="Arial" w:hAnsi="Arial"/>
                <w:sz w:val="14"/>
                <w:szCs w:val="14"/>
                <w:color w:val="auto"/>
              </w:rPr>
              <w:t>Six months ended</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7"/>
          </w:tcPr>
          <w:p>
            <w:pPr>
              <w:jc w:val="right"/>
              <w:ind w:right="20"/>
              <w:spacing w:after="0"/>
              <w:rPr>
                <w:sz w:val="20"/>
                <w:szCs w:val="20"/>
                <w:color w:val="auto"/>
              </w:rPr>
            </w:pPr>
            <w:r>
              <w:rPr>
                <w:rFonts w:ascii="Arial" w:cs="Arial" w:eastAsia="Arial" w:hAnsi="Arial"/>
                <w:sz w:val="14"/>
                <w:szCs w:val="14"/>
                <w:color w:val="auto"/>
              </w:rPr>
              <w:t>Six months ended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4"/>
                <w:szCs w:val="14"/>
                <w:color w:val="auto"/>
              </w:rPr>
              <w:t>June 30, 2015</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color w:val="auto"/>
                <w:w w:val="90"/>
              </w:rPr>
              <w:t>June 30, 2014</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6"/>
          </w:tcPr>
          <w:p>
            <w:pPr>
              <w:jc w:val="center"/>
              <w:ind w:right="48"/>
              <w:spacing w:after="0" w:line="123" w:lineRule="exact"/>
              <w:rPr>
                <w:sz w:val="20"/>
                <w:szCs w:val="20"/>
                <w:color w:val="auto"/>
              </w:rPr>
            </w:pPr>
            <w:r>
              <w:rPr>
                <w:rFonts w:ascii="Arial" w:cs="Arial" w:eastAsia="Arial" w:hAnsi="Arial"/>
                <w:sz w:val="14"/>
                <w:szCs w:val="14"/>
                <w:color w:val="auto"/>
                <w:w w:val="93"/>
              </w:rPr>
              <w:t>Interest income</w:t>
            </w:r>
          </w:p>
        </w:tc>
        <w:tc>
          <w:tcPr>
            <w:tcW w:w="22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5"/>
          </w:tcPr>
          <w:p>
            <w:pPr>
              <w:jc w:val="right"/>
              <w:ind w:right="128"/>
              <w:spacing w:after="0" w:line="123"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80" w:type="dxa"/>
            <w:vAlign w:val="bottom"/>
            <w:gridSpan w:val="3"/>
            <w:vMerge w:val="restart"/>
          </w:tcPr>
          <w:p>
            <w:pPr>
              <w:jc w:val="center"/>
              <w:ind w:right="128"/>
              <w:spacing w:after="0"/>
              <w:rPr>
                <w:sz w:val="20"/>
                <w:szCs w:val="20"/>
                <w:color w:val="auto"/>
              </w:rPr>
            </w:pPr>
            <w:r>
              <w:rPr>
                <w:rFonts w:ascii="Arial" w:cs="Arial" w:eastAsia="Arial" w:hAnsi="Arial"/>
                <w:sz w:val="14"/>
                <w:szCs w:val="14"/>
                <w:color w:val="auto"/>
                <w:w w:val="91"/>
              </w:rPr>
              <w:t>Average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7"/>
          </w:tcPr>
          <w:p>
            <w:pPr>
              <w:jc w:val="center"/>
              <w:ind w:right="520"/>
              <w:spacing w:after="0"/>
              <w:rPr>
                <w:sz w:val="20"/>
                <w:szCs w:val="20"/>
                <w:color w:val="auto"/>
              </w:rPr>
            </w:pPr>
            <w:r>
              <w:rPr>
                <w:rFonts w:ascii="Arial" w:cs="Arial" w:eastAsia="Arial" w:hAnsi="Arial"/>
                <w:sz w:val="14"/>
                <w:szCs w:val="14"/>
                <w:color w:val="auto"/>
                <w:w w:val="90"/>
              </w:rPr>
              <w:t>recognized</w:t>
            </w:r>
          </w:p>
        </w:tc>
        <w:tc>
          <w:tcPr>
            <w:tcW w:w="840" w:type="dxa"/>
            <w:vAlign w:val="bottom"/>
            <w:gridSpan w:val="4"/>
            <w:vMerge w:val="restart"/>
          </w:tcPr>
          <w:p>
            <w:pPr>
              <w:jc w:val="center"/>
              <w:ind w:right="220"/>
              <w:spacing w:after="0"/>
              <w:rPr>
                <w:sz w:val="20"/>
                <w:szCs w:val="20"/>
                <w:color w:val="auto"/>
              </w:rPr>
            </w:pPr>
            <w:r>
              <w:rPr>
                <w:rFonts w:ascii="Arial" w:cs="Arial" w:eastAsia="Arial" w:hAnsi="Arial"/>
                <w:sz w:val="14"/>
                <w:szCs w:val="14"/>
                <w:color w:val="auto"/>
                <w:w w:val="88"/>
              </w:rPr>
              <w:t>Average</w:t>
            </w:r>
          </w:p>
        </w:tc>
        <w:tc>
          <w:tcPr>
            <w:tcW w:w="180" w:type="dxa"/>
            <w:vAlign w:val="bottom"/>
          </w:tcPr>
          <w:p>
            <w:pPr>
              <w:spacing w:after="0"/>
              <w:rPr>
                <w:sz w:val="14"/>
                <w:szCs w:val="14"/>
                <w:color w:val="auto"/>
              </w:rPr>
            </w:pPr>
          </w:p>
        </w:tc>
        <w:tc>
          <w:tcPr>
            <w:tcW w:w="1220" w:type="dxa"/>
            <w:vAlign w:val="bottom"/>
            <w:gridSpan w:val="6"/>
          </w:tcPr>
          <w:p>
            <w:pPr>
              <w:jc w:val="right"/>
              <w:ind w:right="440"/>
              <w:spacing w:after="0"/>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10"/>
        </w:trPr>
        <w:tc>
          <w:tcPr>
            <w:tcW w:w="41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20" w:type="dxa"/>
            <w:vAlign w:val="bottom"/>
            <w:tcBorders>
              <w:top w:val="single" w:sz="8" w:color="auto"/>
            </w:tcBorders>
            <w:gridSpan w:val="3"/>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6"/>
          </w:tcPr>
          <w:p>
            <w:pPr>
              <w:jc w:val="center"/>
              <w:ind w:right="320"/>
              <w:spacing w:after="0" w:line="149" w:lineRule="exact"/>
              <w:rPr>
                <w:sz w:val="20"/>
                <w:szCs w:val="20"/>
                <w:color w:val="auto"/>
              </w:rPr>
            </w:pPr>
            <w:r>
              <w:rPr>
                <w:rFonts w:ascii="Arial" w:cs="Arial" w:eastAsia="Arial" w:hAnsi="Arial"/>
                <w:sz w:val="14"/>
                <w:szCs w:val="14"/>
                <w:color w:val="auto"/>
                <w:w w:val="94"/>
              </w:rPr>
              <w:t>recorded</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Cash</w:t>
            </w:r>
          </w:p>
        </w:tc>
        <w:tc>
          <w:tcPr>
            <w:tcW w:w="84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0"/>
              </w:rPr>
              <w:t>recorded</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Cash</w:t>
            </w: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gridSpan w:val="6"/>
          </w:tcPr>
          <w:p>
            <w:pPr>
              <w:jc w:val="center"/>
              <w:ind w:right="320"/>
              <w:spacing w:after="0"/>
              <w:rPr>
                <w:sz w:val="20"/>
                <w:szCs w:val="20"/>
                <w:color w:val="auto"/>
              </w:rPr>
            </w:pPr>
            <w:r>
              <w:rPr>
                <w:rFonts w:ascii="Arial" w:cs="Arial" w:eastAsia="Arial" w:hAnsi="Arial"/>
                <w:sz w:val="14"/>
                <w:szCs w:val="14"/>
                <w:color w:val="auto"/>
                <w:w w:val="94"/>
              </w:rPr>
              <w:t>investment</w:t>
            </w:r>
          </w:p>
        </w:tc>
        <w:tc>
          <w:tcPr>
            <w:tcW w:w="700" w:type="dxa"/>
            <w:vAlign w:val="bottom"/>
            <w:gridSpan w:val="4"/>
          </w:tcPr>
          <w:p>
            <w:pPr>
              <w:jc w:val="right"/>
              <w:ind w:right="380"/>
              <w:spacing w:after="0"/>
              <w:rPr>
                <w:sz w:val="20"/>
                <w:szCs w:val="20"/>
                <w:color w:val="auto"/>
              </w:rPr>
            </w:pPr>
            <w:r>
              <w:rPr>
                <w:rFonts w:ascii="Arial" w:cs="Arial" w:eastAsia="Arial" w:hAnsi="Arial"/>
                <w:sz w:val="14"/>
                <w:szCs w:val="14"/>
                <w:color w:val="auto"/>
                <w:w w:val="96"/>
              </w:rPr>
              <w:t>Total</w:t>
            </w:r>
          </w:p>
        </w:tc>
        <w:tc>
          <w:tcPr>
            <w:tcW w:w="620" w:type="dxa"/>
            <w:vAlign w:val="bottom"/>
            <w:gridSpan w:val="4"/>
          </w:tcPr>
          <w:p>
            <w:pPr>
              <w:ind w:left="20"/>
              <w:spacing w:after="0"/>
              <w:rPr>
                <w:sz w:val="20"/>
                <w:szCs w:val="20"/>
                <w:color w:val="auto"/>
              </w:rPr>
            </w:pPr>
            <w:r>
              <w:rPr>
                <w:rFonts w:ascii="Arial" w:cs="Arial" w:eastAsia="Arial" w:hAnsi="Arial"/>
                <w:sz w:val="14"/>
                <w:szCs w:val="14"/>
                <w:color w:val="auto"/>
              </w:rPr>
              <w:t>basis</w:t>
            </w:r>
          </w:p>
        </w:tc>
        <w:tc>
          <w:tcPr>
            <w:tcW w:w="840" w:type="dxa"/>
            <w:vAlign w:val="bottom"/>
            <w:gridSpan w:val="4"/>
          </w:tcPr>
          <w:p>
            <w:pPr>
              <w:jc w:val="center"/>
              <w:ind w:right="220"/>
              <w:spacing w:after="0"/>
              <w:rPr>
                <w:sz w:val="20"/>
                <w:szCs w:val="20"/>
                <w:color w:val="auto"/>
              </w:rPr>
            </w:pPr>
            <w:r>
              <w:rPr>
                <w:rFonts w:ascii="Arial" w:cs="Arial" w:eastAsia="Arial" w:hAnsi="Arial"/>
                <w:sz w:val="14"/>
                <w:szCs w:val="14"/>
                <w:color w:val="auto"/>
                <w:w w:val="91"/>
              </w:rPr>
              <w:t>investment</w:t>
            </w:r>
          </w:p>
        </w:tc>
        <w:tc>
          <w:tcPr>
            <w:tcW w:w="760" w:type="dxa"/>
            <w:vAlign w:val="bottom"/>
            <w:gridSpan w:val="4"/>
          </w:tcPr>
          <w:p>
            <w:pPr>
              <w:jc w:val="right"/>
              <w:ind w:right="3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basis</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8"/>
          </w:tcPr>
          <w:p>
            <w:pPr>
              <w:jc w:val="right"/>
              <w:ind w:right="52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35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$218,285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1,106</w:t>
            </w: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5"/>
              </w:rPr>
              <w:t>142,466</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5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153,088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2,106</w:t>
            </w: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2,106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5"/>
              </w:rPr>
              <w:t>196,529</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3580" w:type="dxa"/>
            <w:vAlign w:val="bottom"/>
            <w:gridSpan w:val="4"/>
          </w:tcPr>
          <w:p>
            <w:pPr>
              <w:jc w:val="right"/>
              <w:ind w:right="128"/>
              <w:spacing w:after="0"/>
              <w:rPr>
                <w:sz w:val="20"/>
                <w:szCs w:val="20"/>
                <w:color w:val="auto"/>
              </w:rPr>
            </w:pPr>
            <w:r>
              <w:rPr>
                <w:rFonts w:ascii="Arial" w:cs="Arial" w:eastAsia="Arial" w:hAnsi="Arial"/>
                <w:sz w:val="18"/>
                <w:szCs w:val="18"/>
                <w:color w:val="auto"/>
              </w:rPr>
              <w:t>69,742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820" w:type="dxa"/>
            <w:vAlign w:val="bottom"/>
            <w:gridSpan w:val="3"/>
          </w:tcPr>
          <w:p>
            <w:pPr>
              <w:jc w:val="right"/>
              <w:ind w:right="108"/>
              <w:spacing w:after="0"/>
              <w:rPr>
                <w:sz w:val="20"/>
                <w:szCs w:val="20"/>
                <w:color w:val="auto"/>
              </w:rPr>
            </w:pPr>
            <w:r>
              <w:rPr>
                <w:rFonts w:ascii="Arial" w:cs="Arial" w:eastAsia="Arial" w:hAnsi="Arial"/>
                <w:sz w:val="18"/>
                <w:szCs w:val="18"/>
                <w:color w:val="auto"/>
              </w:rPr>
              <w:t>96,434</w:t>
            </w: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35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24,577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223</w:t>
            </w:r>
          </w:p>
        </w:tc>
        <w:tc>
          <w:tcPr>
            <w:tcW w:w="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82,546</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580" w:type="dxa"/>
            <w:vAlign w:val="bottom"/>
            <w:gridSpan w:val="4"/>
          </w:tcPr>
          <w:p>
            <w:pPr>
              <w:jc w:val="right"/>
              <w:ind w:right="128"/>
              <w:spacing w:after="0"/>
              <w:rPr>
                <w:sz w:val="20"/>
                <w:szCs w:val="20"/>
                <w:color w:val="auto"/>
              </w:rPr>
            </w:pPr>
            <w:r>
              <w:rPr>
                <w:rFonts w:ascii="Arial" w:cs="Arial" w:eastAsia="Arial" w:hAnsi="Arial"/>
                <w:sz w:val="18"/>
                <w:szCs w:val="18"/>
                <w:color w:val="auto"/>
              </w:rPr>
              <w:t>103,025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2,804</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1,695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08"/>
              <w:spacing w:after="0"/>
              <w:rPr>
                <w:sz w:val="20"/>
                <w:szCs w:val="20"/>
                <w:color w:val="auto"/>
              </w:rPr>
            </w:pPr>
            <w:r>
              <w:rPr>
                <w:rFonts w:ascii="Arial" w:cs="Arial" w:eastAsia="Arial" w:hAnsi="Arial"/>
                <w:sz w:val="18"/>
                <w:szCs w:val="18"/>
                <w:color w:val="auto"/>
                <w:w w:val="95"/>
              </w:rPr>
              <w:t>146,651</w:t>
            </w: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6,456</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35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122,970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3,260</w:t>
            </w: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5"/>
              </w:rPr>
              <w:t>137,273</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35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19,952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17,219</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3580" w:type="dxa"/>
            <w:vAlign w:val="bottom"/>
            <w:gridSpan w:val="4"/>
          </w:tcPr>
          <w:p>
            <w:pPr>
              <w:jc w:val="right"/>
              <w:ind w:right="128"/>
              <w:spacing w:after="0"/>
              <w:rPr>
                <w:sz w:val="20"/>
                <w:szCs w:val="20"/>
                <w:color w:val="auto"/>
              </w:rPr>
            </w:pPr>
            <w:r>
              <w:rPr>
                <w:rFonts w:ascii="Arial" w:cs="Arial" w:eastAsia="Arial" w:hAnsi="Arial"/>
                <w:sz w:val="18"/>
                <w:szCs w:val="18"/>
                <w:color w:val="auto"/>
              </w:rPr>
              <w:t>27,568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08"/>
              <w:spacing w:after="0"/>
              <w:rPr>
                <w:sz w:val="20"/>
                <w:szCs w:val="20"/>
                <w:color w:val="auto"/>
              </w:rPr>
            </w:pPr>
            <w:r>
              <w:rPr>
                <w:rFonts w:ascii="Arial" w:cs="Arial" w:eastAsia="Arial" w:hAnsi="Arial"/>
                <w:sz w:val="18"/>
                <w:szCs w:val="18"/>
                <w:color w:val="auto"/>
              </w:rPr>
              <w:t>38,007</w:t>
            </w: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7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18,960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359</w:t>
            </w: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18,005</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414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758,167   11,343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6,941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right"/>
              <w:ind w:right="108"/>
              <w:spacing w:after="0"/>
              <w:rPr>
                <w:sz w:val="20"/>
                <w:szCs w:val="20"/>
                <w:color w:val="auto"/>
              </w:rPr>
            </w:pPr>
            <w:r>
              <w:rPr>
                <w:rFonts w:ascii="Arial" w:cs="Arial" w:eastAsia="Arial" w:hAnsi="Arial"/>
                <w:sz w:val="18"/>
                <w:szCs w:val="18"/>
                <w:color w:val="auto"/>
                <w:w w:val="95"/>
              </w:rPr>
              <w:t>875,130</w:t>
            </w:r>
          </w:p>
        </w:tc>
        <w:tc>
          <w:tcPr>
            <w:tcW w:w="2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15,809</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11,071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60" w:type="dxa"/>
            <w:vAlign w:val="bottom"/>
          </w:tcPr>
          <w:p>
            <w:pPr>
              <w:spacing w:after="0"/>
              <w:rPr>
                <w:sz w:val="24"/>
                <w:szCs w:val="24"/>
                <w:color w:val="auto"/>
              </w:rPr>
            </w:pPr>
          </w:p>
        </w:tc>
        <w:tc>
          <w:tcPr>
            <w:tcW w:w="3700" w:type="dxa"/>
            <w:vAlign w:val="bottom"/>
            <w:gridSpan w:val="7"/>
          </w:tcPr>
          <w:p>
            <w:pPr>
              <w:ind w:left="13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4"/>
              </w:rPr>
              <w:t>Commercial,</w:t>
            </w: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Real Estate</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5"/>
              </w:rPr>
              <w:t>Residential</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Financial,</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Builder and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Leasing, etc.</w:t>
            </w: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Commercial</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Developer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460"/>
              <w:spacing w:after="0" w:line="142" w:lineRule="exact"/>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Pass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$19,079,109</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21,885,377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1,690,496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3,549,397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821,574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846,024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60,151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210,345</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167,520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56,854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21,149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36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20,111,028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22,898,921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1,807,501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3,736,066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December 31, 2014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$18,695,440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21,837,022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1,347,778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3,347,522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Criticized 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588,407</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578,317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45,845</w:t>
            </w:r>
          </w:p>
        </w:tc>
        <w:tc>
          <w:tcPr>
            <w:tcW w:w="780" w:type="dxa"/>
            <w:vAlign w:val="bottom"/>
          </w:tcPr>
          <w:p>
            <w:pPr>
              <w:jc w:val="right"/>
              <w:spacing w:after="0"/>
              <w:rPr>
                <w:sz w:val="20"/>
                <w:szCs w:val="20"/>
                <w:color w:val="auto"/>
              </w:rPr>
            </w:pPr>
            <w:r>
              <w:rPr>
                <w:rFonts w:ascii="Arial" w:cs="Arial" w:eastAsia="Arial" w:hAnsi="Arial"/>
                <w:sz w:val="18"/>
                <w:szCs w:val="18"/>
                <w:color w:val="auto"/>
              </w:rPr>
              <w:t>172,269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177,445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91"/>
        </w:trPr>
        <w:tc>
          <w:tcPr>
            <w:tcW w:w="7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19,461,292</w:t>
            </w:r>
          </w:p>
        </w:tc>
        <w:tc>
          <w:tcPr>
            <w:tcW w:w="200" w:type="dxa"/>
            <w:vAlign w:val="bottom"/>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22,556,939</w:t>
            </w:r>
          </w:p>
        </w:tc>
        <w:tc>
          <w:tcPr>
            <w:tcW w:w="20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1,465,140</w:t>
            </w:r>
          </w:p>
        </w:tc>
        <w:tc>
          <w:tcPr>
            <w:tcW w:w="20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3,545,490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aggregated $59 million and $20 million, respectively, at June 30, 2015 and $63 million and $18 million, respectively, at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December 31, 2014. Residential real estate loans and home equity loans and lines of credit that were more than 150 days past due but did not require a partial charge-off because the net realizable value of the collateral exceeded the outstanding customer balance totaled $23 million and $28 million, respectively, at June 30, 2015 and $27 million and $28 million, respectively, at December 31, 2014.</w:t>
      </w:r>
    </w:p>
    <w:p>
      <w:pPr>
        <w:spacing w:after="0" w:line="18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1980" w:type="dxa"/>
            <w:vAlign w:val="bottom"/>
            <w:gridSpan w:val="5"/>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1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color w:val="auto"/>
                <w:w w:val="90"/>
              </w:rPr>
              <w:t>Financial,</w:t>
            </w:r>
          </w:p>
        </w:tc>
        <w:tc>
          <w:tcPr>
            <w:tcW w:w="1980" w:type="dxa"/>
            <w:vAlign w:val="bottom"/>
            <w:gridSpan w:val="5"/>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1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Leasing, etc.</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Commercial</w:t>
            </w:r>
          </w:p>
        </w:tc>
        <w:tc>
          <w:tcPr>
            <w:tcW w:w="24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Residential</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Consumer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w w:val="99"/>
              </w:rPr>
              <w:t>(in thousands)</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580" w:type="dxa"/>
            <w:vAlign w:val="bottom"/>
            <w:gridSpan w:val="2"/>
          </w:tcPr>
          <w:p>
            <w:pPr>
              <w:ind w:left="24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31,098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19,296</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14,904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15,323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253,312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290,853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43,428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177,444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765,037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Purchased impaired</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2,340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1,145</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1,962</w:t>
            </w:r>
          </w:p>
        </w:tc>
        <w:tc>
          <w:tcPr>
            <w:tcW w:w="640" w:type="dxa"/>
            <w:vAlign w:val="bottom"/>
          </w:tcPr>
          <w:p>
            <w:pPr>
              <w:jc w:val="right"/>
              <w:spacing w:after="0"/>
              <w:rPr>
                <w:sz w:val="20"/>
                <w:szCs w:val="20"/>
                <w:color w:val="auto"/>
              </w:rPr>
            </w:pPr>
            <w:r>
              <w:rPr>
                <w:rFonts w:ascii="Arial" w:cs="Arial" w:eastAsia="Arial" w:hAnsi="Arial"/>
                <w:sz w:val="18"/>
                <w:szCs w:val="18"/>
                <w:color w:val="auto"/>
              </w:rPr>
              <w:t>1,471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286,750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311,294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60,294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194,238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852,576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77,411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40" w:type="dxa"/>
            <w:vAlign w:val="bottom"/>
            <w:gridSpan w:val="2"/>
            <w:vMerge w:val="continue"/>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929,987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December 31, 2014</w:t>
            </w: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40" w:type="dxa"/>
            <w:vAlign w:val="bottom"/>
            <w:gridSpan w:val="2"/>
            <w:vMerge w:val="continue"/>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31,779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15,490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14,703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19,742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251,607</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291,244</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45,061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165,140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753,052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4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24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288,038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307,927</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61,910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186,033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843,908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1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75,654</w:t>
            </w: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919,562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580" w:type="dxa"/>
            <w:vAlign w:val="bottom"/>
            <w:gridSpan w:val="2"/>
            <w:vMerge w:val="restart"/>
          </w:tcPr>
          <w:p>
            <w:pPr>
              <w:ind w:left="1400"/>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Commercial,</w:t>
            </w:r>
          </w:p>
        </w:tc>
        <w:tc>
          <w:tcPr>
            <w:tcW w:w="2060" w:type="dxa"/>
            <w:vAlign w:val="bottom"/>
            <w:gridSpan w:val="5"/>
            <w:vMerge w:val="restart"/>
          </w:tcPr>
          <w:p>
            <w:pPr>
              <w:ind w:left="60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Financial,</w:t>
            </w:r>
          </w:p>
        </w:tc>
        <w:tc>
          <w:tcPr>
            <w:tcW w:w="2060" w:type="dxa"/>
            <w:vAlign w:val="bottom"/>
            <w:gridSpan w:val="5"/>
            <w:vMerge w:val="continue"/>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Leasing, etc.</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Residential</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color w:val="auto"/>
                <w:w w:val="92"/>
              </w:rPr>
              <w:t>(in thousands)</w:t>
            </w: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239,556</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259,441</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218,410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65,666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783,073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19,866,199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28,037,245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8,210,328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11,065,167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67,178,939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5,273</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145,802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15,804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20,111,028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28,442,488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8,444,542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11,133,194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68,131,252</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December 31, 2014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252,347</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232,398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19,244,674</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27,148,382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8,406,680</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10,911,359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65,711,095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166,840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18,223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19,461,292</w:t>
            </w: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27,567,569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8,657,301</w:t>
            </w:r>
          </w:p>
        </w:tc>
        <w:tc>
          <w:tcPr>
            <w:tcW w:w="2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10,982,794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66,668,956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0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40"/>
              <w:spacing w:after="0" w:line="123" w:lineRule="exact"/>
              <w:rPr>
                <w:sz w:val="20"/>
                <w:szCs w:val="20"/>
                <w:color w:val="auto"/>
              </w:rPr>
            </w:pPr>
            <w:r>
              <w:rPr>
                <w:rFonts w:ascii="Arial" w:cs="Arial" w:eastAsia="Arial" w:hAnsi="Arial"/>
                <w:sz w:val="14"/>
                <w:szCs w:val="14"/>
                <w:color w:val="auto"/>
                <w:w w:val="92"/>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June 30, 2015</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Pre-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Post-</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6720" w:type="dxa"/>
            <w:vAlign w:val="bottom"/>
            <w:gridSpan w:val="2"/>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2"/>
              </w:rPr>
              <w:t>Number</w:t>
            </w:r>
          </w:p>
        </w:tc>
        <w:tc>
          <w:tcPr>
            <w:tcW w:w="38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w w:val="96"/>
              </w:rPr>
              <w:t>modification</w:t>
            </w:r>
          </w:p>
        </w:tc>
        <w:tc>
          <w:tcPr>
            <w:tcW w:w="3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20" w:type="dxa"/>
            <w:vAlign w:val="bottom"/>
            <w:tcBorders>
              <w:top w:val="single" w:sz="8" w:color="auto"/>
            </w:tcBorders>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color w:val="auto"/>
                <w:w w:val="94"/>
              </w:rPr>
              <w:t>(dollars in thousands)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16,018</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15,355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15,889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17,864</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1,975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38,983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37,585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(1,398)</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9,252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9,200</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693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Residential Alt-A</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1,356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96,065</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95,987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(692)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7"/>
          </w:tcPr>
          <w:p>
            <w:pPr>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6"/>
          </w:tcPr>
          <w:p>
            <w:pPr>
              <w:spacing w:after="0"/>
              <w:rPr>
                <w:sz w:val="20"/>
                <w:szCs w:val="20"/>
                <w:color w:val="auto"/>
              </w:rPr>
            </w:pPr>
            <w:r>
              <w:rPr>
                <w:rFonts w:ascii="Arial" w:cs="Arial" w:eastAsia="Arial" w:hAnsi="Arial"/>
                <w:sz w:val="14"/>
                <w:szCs w:val="14"/>
                <w:color w:val="auto"/>
                <w:w w:val="96"/>
              </w:rPr>
              <w:t>Recorded investment</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7"/>
          </w:tcPr>
          <w:p>
            <w:pPr>
              <w:jc w:val="right"/>
              <w:ind w:right="5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tcPr>
          <w:p>
            <w:pPr>
              <w:jc w:val="right"/>
              <w:ind w:right="280"/>
              <w:spacing w:after="0" w:line="110" w:lineRule="exact"/>
              <w:rPr>
                <w:sz w:val="20"/>
                <w:szCs w:val="20"/>
                <w:color w:val="auto"/>
              </w:rPr>
            </w:pPr>
            <w:r>
              <w:rPr>
                <w:rFonts w:ascii="Arial" w:cs="Arial" w:eastAsia="Arial" w:hAnsi="Arial"/>
                <w:sz w:val="12"/>
                <w:szCs w:val="12"/>
                <w:color w:val="auto"/>
              </w:rPr>
              <w:t>Recorded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60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June 30, 2014</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Pre-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Post-</w:t>
            </w:r>
          </w:p>
        </w:tc>
        <w:tc>
          <w:tcPr>
            <w:tcW w:w="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60" w:type="dxa"/>
            <w:vAlign w:val="bottom"/>
          </w:tcPr>
          <w:p>
            <w:pPr>
              <w:spacing w:after="0"/>
              <w:rPr>
                <w:sz w:val="12"/>
                <w:szCs w:val="12"/>
                <w:color w:val="auto"/>
              </w:rPr>
            </w:pPr>
          </w:p>
        </w:tc>
        <w:tc>
          <w:tcPr>
            <w:tcW w:w="6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67"/>
        </w:trPr>
        <w:tc>
          <w:tcPr>
            <w:tcW w:w="6600" w:type="dxa"/>
            <w:vAlign w:val="bottom"/>
            <w:gridSpan w:val="3"/>
            <w:vMerge w:val="continue"/>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auto"/>
              </w:rPr>
              <w:t>Number</w:t>
            </w:r>
          </w:p>
        </w:tc>
        <w:tc>
          <w:tcPr>
            <w:tcW w:w="80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34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rPr>
              <w:t>modification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5"/>
          </w:tcPr>
          <w:p>
            <w:pPr>
              <w:jc w:val="right"/>
              <w:ind w:right="80"/>
              <w:spacing w:after="0" w:line="142" w:lineRule="exact"/>
              <w:rPr>
                <w:sz w:val="20"/>
                <w:szCs w:val="20"/>
                <w:color w:val="auto"/>
              </w:rPr>
            </w:pPr>
            <w:r>
              <w:rPr>
                <w:rFonts w:ascii="Arial" w:cs="Arial" w:eastAsia="Arial" w:hAnsi="Arial"/>
                <w:sz w:val="14"/>
                <w:szCs w:val="14"/>
                <w:color w:val="auto"/>
                <w:w w:val="97"/>
              </w:rPr>
              <w:t>(dollars in thousands)</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4,414</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4,351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19,593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9,795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9,727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000" w:type="dxa"/>
            <w:vAlign w:val="bottom"/>
          </w:tcPr>
          <w:p>
            <w:pPr>
              <w:spacing w:after="0"/>
              <w:rPr>
                <w:sz w:val="6"/>
                <w:szCs w:val="6"/>
                <w:color w:val="auto"/>
              </w:rPr>
            </w:pPr>
          </w:p>
        </w:tc>
        <w:tc>
          <w:tcPr>
            <w:tcW w:w="458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57,384</w:t>
            </w:r>
          </w:p>
        </w:tc>
        <w:tc>
          <w:tcPr>
            <w:tcW w:w="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57,297</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8"/>
            <w:vMerge w:val="restart"/>
          </w:tcPr>
          <w:p>
            <w:pPr>
              <w:spacing w:after="0"/>
              <w:rPr>
                <w:sz w:val="20"/>
                <w:szCs w:val="20"/>
                <w:color w:val="auto"/>
              </w:rPr>
            </w:pPr>
            <w:r>
              <w:rPr>
                <w:rFonts w:ascii="Arial" w:cs="Arial" w:eastAsia="Arial" w:hAnsi="Arial"/>
                <w:sz w:val="14"/>
                <w:szCs w:val="14"/>
                <w:color w:val="auto"/>
              </w:rPr>
              <w:t>Recorded investment</w:t>
            </w:r>
          </w:p>
        </w:tc>
        <w:tc>
          <w:tcPr>
            <w:tcW w:w="100" w:type="dxa"/>
            <w:vAlign w:val="bottom"/>
          </w:tcPr>
          <w:p>
            <w:pPr>
              <w:spacing w:after="0"/>
              <w:rPr>
                <w:sz w:val="14"/>
                <w:szCs w:val="14"/>
                <w:color w:val="auto"/>
              </w:rPr>
            </w:pPr>
          </w:p>
        </w:tc>
        <w:tc>
          <w:tcPr>
            <w:tcW w:w="1380" w:type="dxa"/>
            <w:vAlign w:val="bottom"/>
            <w:gridSpan w:val="6"/>
          </w:tcPr>
          <w:p>
            <w:pPr>
              <w:jc w:val="right"/>
              <w:ind w:right="240"/>
              <w:spacing w:after="0"/>
              <w:rPr>
                <w:sz w:val="20"/>
                <w:szCs w:val="20"/>
                <w:color w:val="auto"/>
              </w:rPr>
            </w:pPr>
            <w:r>
              <w:rPr>
                <w:rFonts w:ascii="Arial" w:cs="Arial" w:eastAsia="Arial" w:hAnsi="Arial"/>
                <w:sz w:val="14"/>
                <w:szCs w:val="14"/>
                <w:color w:val="auto"/>
                <w:w w:val="95"/>
              </w:rPr>
              <w:t>Financial effects of</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8"/>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5"/>
          </w:tcPr>
          <w:p>
            <w:pPr>
              <w:ind w:left="200"/>
              <w:spacing w:after="0" w:line="154"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20" w:type="dxa"/>
            <w:vAlign w:val="bottom"/>
            <w:gridSpan w:val="2"/>
          </w:tcPr>
          <w:p>
            <w:pPr>
              <w:spacing w:after="0" w:line="97" w:lineRule="exact"/>
              <w:rPr>
                <w:sz w:val="20"/>
                <w:szCs w:val="20"/>
                <w:color w:val="auto"/>
              </w:rPr>
            </w:pPr>
            <w:r>
              <w:rPr>
                <w:rFonts w:ascii="Arial" w:cs="Arial" w:eastAsia="Arial" w:hAnsi="Arial"/>
                <w:sz w:val="11"/>
                <w:szCs w:val="11"/>
                <w:color w:val="auto"/>
              </w:rPr>
              <w:t>Recorded</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color w:val="auto"/>
              </w:rPr>
              <w:t>Six months ended June 30, 2015</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Post-</w:t>
            </w:r>
          </w:p>
        </w:tc>
        <w:tc>
          <w:tcPr>
            <w:tcW w:w="940" w:type="dxa"/>
            <w:vAlign w:val="bottom"/>
            <w:gridSpan w:val="4"/>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7080" w:type="dxa"/>
            <w:vAlign w:val="bottom"/>
            <w:gridSpan w:val="3"/>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88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color w:val="auto"/>
              </w:rPr>
              <w:t>modification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5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7"/>
          </w:tcPr>
          <w:p>
            <w:pPr>
              <w:ind w:left="60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17,590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16,912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(678)</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8,883</w:t>
            </w:r>
          </w:p>
        </w:tc>
        <w:tc>
          <w:tcPr>
            <w:tcW w:w="10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(108)</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24,853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41,361</w:t>
            </w:r>
          </w:p>
        </w:tc>
        <w:tc>
          <w:tcPr>
            <w:tcW w:w="10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(1,414)</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8"/>
                <w:szCs w:val="18"/>
                <w:color w:val="auto"/>
              </w:rPr>
            </w:pPr>
          </w:p>
        </w:tc>
        <w:tc>
          <w:tcPr>
            <w:tcW w:w="840" w:type="dxa"/>
            <w:vAlign w:val="bottom"/>
            <w:gridSpan w:val="3"/>
          </w:tcPr>
          <w:p>
            <w:pPr>
              <w:ind w:left="260"/>
              <w:spacing w:after="0"/>
              <w:rPr>
                <w:sz w:val="20"/>
                <w:szCs w:val="20"/>
                <w:color w:val="auto"/>
              </w:rPr>
            </w:pPr>
            <w:r>
              <w:rPr>
                <w:rFonts w:ascii="Arial" w:cs="Arial" w:eastAsia="Arial" w:hAnsi="Arial"/>
                <w:sz w:val="18"/>
                <w:szCs w:val="18"/>
                <w:color w:val="auto"/>
              </w:rPr>
              <w:t>160</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860" w:type="dxa"/>
            <w:vAlign w:val="bottom"/>
          </w:tcPr>
          <w:p>
            <w:pPr>
              <w:spacing w:after="0"/>
              <w:rPr>
                <w:sz w:val="6"/>
                <w:szCs w:val="6"/>
                <w:color w:val="auto"/>
              </w:rPr>
            </w:pPr>
          </w:p>
        </w:tc>
        <w:tc>
          <w:tcPr>
            <w:tcW w:w="52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116,197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113,989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(2,208)</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ind w:left="8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color w:val="auto"/>
              </w:rPr>
              <w:t>Recorded investment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right"/>
              <w:ind w:right="5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60"/>
              <w:spacing w:after="0" w:line="123" w:lineRule="exact"/>
              <w:rPr>
                <w:sz w:val="20"/>
                <w:szCs w:val="20"/>
                <w:color w:val="auto"/>
              </w:rPr>
            </w:pPr>
            <w:r>
              <w:rPr>
                <w:rFonts w:ascii="Arial" w:cs="Arial" w:eastAsia="Arial" w:hAnsi="Arial"/>
                <w:sz w:val="14"/>
                <w:szCs w:val="14"/>
                <w:color w:val="auto"/>
                <w:w w:val="95"/>
              </w:rPr>
              <w:t>Recorded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gridSpan w:val="3"/>
            <w:vMerge w:val="restart"/>
          </w:tcPr>
          <w:p>
            <w:pPr>
              <w:spacing w:after="0"/>
              <w:rPr>
                <w:sz w:val="20"/>
                <w:szCs w:val="20"/>
                <w:color w:val="auto"/>
              </w:rPr>
            </w:pPr>
            <w:r>
              <w:rPr>
                <w:rFonts w:ascii="Arial" w:cs="Arial" w:eastAsia="Arial" w:hAnsi="Arial"/>
                <w:sz w:val="14"/>
                <w:szCs w:val="14"/>
                <w:color w:val="auto"/>
              </w:rPr>
              <w:t>Six months ended June 30, 2014</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Post-</w:t>
            </w:r>
          </w:p>
        </w:tc>
        <w:tc>
          <w:tcPr>
            <w:tcW w:w="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6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67"/>
        </w:trPr>
        <w:tc>
          <w:tcPr>
            <w:tcW w:w="6580" w:type="dxa"/>
            <w:vAlign w:val="bottom"/>
            <w:gridSpan w:val="3"/>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modification</w:t>
            </w: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color w:val="auto"/>
                <w:w w:val="97"/>
              </w:rPr>
              <w:t>(dollars in thousands)</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19,368</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19,199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9,836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9,766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15,371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3,151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3,628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860" w:type="dxa"/>
            <w:vAlign w:val="bottom"/>
          </w:tcPr>
          <w:p>
            <w:pPr>
              <w:spacing w:after="0"/>
              <w:rPr>
                <w:sz w:val="6"/>
                <w:szCs w:val="6"/>
                <w:color w:val="auto"/>
              </w:rPr>
            </w:pPr>
          </w:p>
        </w:tc>
        <w:tc>
          <w:tcPr>
            <w:tcW w:w="47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89,914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89,797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2015 and 2014 and for which there was a subsequent payment default during the six-month periods ended June 30, 2015 and 2014, respectively, were not material.</w:t>
      </w:r>
    </w:p>
    <w:p>
      <w:pPr>
        <w:spacing w:after="0" w:line="178"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Effective January 1, 2015, the Company adopted amended accounting and disclosure guidance for reclassification of residential real estate collateralized consumer mortgage loans upon foreclosure. The amended guidance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clarifies that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The adoption resulted in an insignificant increase in other real estate owned. The amount of foreclosed residential real estate property held by the Company was $43 million and $44 million at June 30, 2015 and December 31, 2014, respectively. At June 30, 2015, there were $158 million in loans secured by residential real estate that were in the process of foreclosure.</w:t>
      </w:r>
    </w:p>
    <w:p>
      <w:pPr>
        <w:spacing w:after="0" w:line="30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February 2015, M&amp;T Bank issued $1.5 billion of fixed rate senior notes pursuant to a Bank Note Program, of which $750 million have a 2.10% interest rate and mature in 2020 and $750 million have a 2.90% interest rate and mature in 2025.</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M&amp;T had $513 million of fixed and floating rate junior subordinated deferrable interest debentures (“Junior Subordinated Debentures”) outstanding at June 30, 2015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9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April 15, 2015, M&amp;T redeemed all of the issued and outstanding Capital Securities issued by M&amp;T Capital Trust I, M&amp;T Capital Trust II and M&amp;T Capital Trust III, and the related Junior Subordinated Debentures held by those respective trusts. In the aggregate, $323 million of Junior Subordinated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Debentures were redeemed. In February 2014, M&amp;T redeemed all of the issued and outstanding 8.5% $350 million Capital Securities issued by M&amp;T Capital Trust IV and the related Junior Subordinated Debentures held by M&amp;T Capital Trust IV.</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Also included in long-term borrowings are agreements to repurchase securities of $1.4 billion at each of June 30, 2015 and December 31, 2014. The agreements reflect various repurchase dates in 2016 and 2017 and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$1.5 billion at each of June 30, 2015 and December 31, 2014.</w:t>
      </w:r>
    </w:p>
    <w:p>
      <w:pPr>
        <w:spacing w:after="0" w:line="31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as of June 30, 2015 and December 31, 2014 is presented below: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228"/>
              <w:spacing w:after="0"/>
              <w:rPr>
                <w:sz w:val="20"/>
                <w:szCs w:val="20"/>
                <w:color w:val="auto"/>
              </w:rPr>
            </w:pPr>
            <w:r>
              <w:rPr>
                <w:rFonts w:ascii="Arial" w:cs="Arial" w:eastAsia="Arial" w:hAnsi="Arial"/>
                <w:sz w:val="14"/>
                <w:szCs w:val="14"/>
                <w:color w:val="auto"/>
                <w:w w:val="85"/>
              </w:rPr>
              <w:t>Shares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88"/>
              </w:rPr>
              <w:t>issued and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360" w:type="dxa"/>
            <w:vAlign w:val="bottom"/>
            <w:gridSpan w:val="2"/>
          </w:tcPr>
          <w:p>
            <w:pPr>
              <w:jc w:val="center"/>
              <w:ind w:left="14"/>
              <w:spacing w:after="0"/>
              <w:rPr>
                <w:sz w:val="20"/>
                <w:szCs w:val="20"/>
                <w:color w:val="auto"/>
              </w:rPr>
            </w:pPr>
            <w:r>
              <w:rPr>
                <w:rFonts w:ascii="Arial" w:cs="Arial" w:eastAsia="Arial" w:hAnsi="Arial"/>
                <w:sz w:val="14"/>
                <w:szCs w:val="14"/>
                <w:color w:val="auto"/>
                <w:w w:val="91"/>
              </w:rPr>
              <w:t>outstanding</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Carrying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tcBorders>
              <w:top w:val="single" w:sz="8" w:color="auto"/>
            </w:tcBorders>
            <w:gridSpan w:val="3"/>
          </w:tcPr>
          <w:p>
            <w:pPr>
              <w:jc w:val="right"/>
              <w:ind w:right="35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6"/>
              </w:rPr>
              <w:t>Fixed Rate Cumulative Perpetual Preferred Stock, Series A, $1,000 liquidation</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preference per share</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230,000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C (a)</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6"/>
              </w:rPr>
              <w:t>Fixed Rate Cumulative Perpetual Preferred Stock, Series C, $1,000 liquidation</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preference per share</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151,500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D (b)</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rPr>
              <w:t>Fixed Rate Non-Cumulative Perpetual Preferred Stock, Series D, $10,000</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liquidation preference per share</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50,000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E (c)</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9"/>
              </w:rPr>
              <w:t>Fixed-to-Floating Rate Non-Cumulative Perpetual Preferred Stock Series 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$1,000 liquidation preference per share</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350,000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40" w:hanging="452"/>
        <w:spacing w:after="0" w:line="258" w:lineRule="auto"/>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at 6.375%. Warrants to purchase M&amp;T common stock at $73.86 per share issued in connection with the Series A preferred stock expire in 2018 and totaled 719,175 at June 30, 2015 and 721,490 at December 31, 2014.</w:t>
      </w:r>
    </w:p>
    <w:p>
      <w:pPr>
        <w:spacing w:after="0" w:line="1" w:lineRule="exact"/>
        <w:rPr>
          <w:rFonts w:ascii="Arial" w:cs="Arial" w:eastAsia="Arial" w:hAnsi="Arial"/>
          <w:sz w:val="18"/>
          <w:szCs w:val="18"/>
          <w:i w:val="1"/>
          <w:iCs w:val="1"/>
          <w:color w:val="auto"/>
        </w:rPr>
      </w:pPr>
    </w:p>
    <w:p>
      <w:pPr>
        <w:ind w:left="460" w:right="40" w:hanging="452"/>
        <w:spacing w:after="0" w:line="255" w:lineRule="auto"/>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2" w:lineRule="exact"/>
        <w:rPr>
          <w:sz w:val="20"/>
          <w:szCs w:val="20"/>
          <w:color w:val="auto"/>
        </w:rPr>
      </w:pPr>
    </w:p>
    <w:p>
      <w:pPr>
        <w:ind w:left="460" w:hanging="452"/>
        <w:spacing w:after="0" w:line="259" w:lineRule="auto"/>
        <w:tabs>
          <w:tab w:leader="none" w:pos="4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6.45% through February 14, 2024 and thereafter will be paid quarterly at a rate of the three-month London Interbank Offered Rate (“LIBOR”)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87"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In addition to the Series A warrants mentioned in (a) above, a warrant to purchase 95,383 shares of M&amp;T common stock at $518.96 per share was outstanding at June 30, 2015 and December 31, 2014. The obligation under that warrant was assumed by M&amp;T in an acquisition.</w:t>
      </w:r>
    </w:p>
    <w:p>
      <w:pPr>
        <w:spacing w:after="0" w:line="29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Arial" w:cs="Arial" w:eastAsia="Arial" w:hAnsi="Arial"/>
                <w:sz w:val="14"/>
                <w:szCs w:val="14"/>
                <w:color w:val="auto"/>
                <w:w w:val="91"/>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benefits</w:t>
            </w: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color w:val="auto"/>
                <w:w w:val="93"/>
              </w:rPr>
              <w:t>benefits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40" w:type="dxa"/>
            <w:vAlign w:val="bottom"/>
            <w:gridSpan w:val="5"/>
          </w:tcPr>
          <w:p>
            <w:pPr>
              <w:jc w:val="center"/>
              <w:ind w:right="168"/>
              <w:spacing w:after="0" w:line="123" w:lineRule="exact"/>
              <w:rPr>
                <w:sz w:val="20"/>
                <w:szCs w:val="20"/>
                <w:color w:val="auto"/>
              </w:rPr>
            </w:pPr>
            <w:r>
              <w:rPr>
                <w:rFonts w:ascii="Arial" w:cs="Arial" w:eastAsia="Arial" w:hAnsi="Arial"/>
                <w:sz w:val="14"/>
                <w:szCs w:val="14"/>
                <w:color w:val="auto"/>
                <w:w w:val="90"/>
              </w:rPr>
              <w:t>Three months ended June 30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tcPr>
          <w:p>
            <w:pPr>
              <w:jc w:val="center"/>
              <w:ind w:left="114"/>
              <w:spacing w:after="0"/>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44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5,160</w:t>
            </w:r>
          </w:p>
        </w:tc>
        <w:tc>
          <w:tcPr>
            <w:tcW w:w="880" w:type="dxa"/>
            <w:vAlign w:val="bottom"/>
            <w:tcBorders>
              <w:right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174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17,732</w:t>
            </w:r>
          </w:p>
        </w:tc>
        <w:tc>
          <w:tcPr>
            <w:tcW w:w="4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17,331</w:t>
            </w:r>
          </w:p>
        </w:tc>
        <w:tc>
          <w:tcPr>
            <w:tcW w:w="880" w:type="dxa"/>
            <w:vAlign w:val="bottom"/>
            <w:gridSpan w:val="2"/>
          </w:tcPr>
          <w:p>
            <w:pPr>
              <w:jc w:val="right"/>
              <w:ind w:right="388"/>
              <w:spacing w:after="0"/>
              <w:rPr>
                <w:sz w:val="20"/>
                <w:szCs w:val="20"/>
                <w:color w:val="auto"/>
              </w:rPr>
            </w:pPr>
            <w:r>
              <w:rPr>
                <w:rFonts w:ascii="Arial" w:cs="Arial" w:eastAsia="Arial" w:hAnsi="Arial"/>
                <w:sz w:val="18"/>
                <w:szCs w:val="18"/>
                <w:color w:val="auto"/>
              </w:rPr>
              <w:t>652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9"/>
              </w:rPr>
              <w:t>(23,476)</w:t>
            </w:r>
          </w:p>
        </w:tc>
        <w:tc>
          <w:tcPr>
            <w:tcW w:w="10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(22,859)</w:t>
            </w:r>
          </w:p>
        </w:tc>
        <w:tc>
          <w:tcPr>
            <w:tcW w:w="880" w:type="dxa"/>
            <w:vAlign w:val="bottom"/>
            <w:tcBorders>
              <w:right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8"/>
                <w:szCs w:val="18"/>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8"/>
                <w:szCs w:val="18"/>
                <w:color w:val="auto"/>
              </w:rPr>
              <w:t>(1,478)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(1,626)</w:t>
            </w:r>
          </w:p>
        </w:tc>
        <w:tc>
          <w:tcPr>
            <w:tcW w:w="880" w:type="dxa"/>
            <w:vAlign w:val="bottom"/>
            <w:gridSpan w:val="2"/>
          </w:tcPr>
          <w:p>
            <w:pPr>
              <w:jc w:val="right"/>
              <w:ind w:right="328"/>
              <w:spacing w:after="0"/>
              <w:rPr>
                <w:sz w:val="20"/>
                <w:szCs w:val="20"/>
                <w:color w:val="auto"/>
              </w:rPr>
            </w:pPr>
            <w:r>
              <w:rPr>
                <w:rFonts w:ascii="Arial" w:cs="Arial" w:eastAsia="Arial" w:hAnsi="Arial"/>
                <w:sz w:val="18"/>
                <w:szCs w:val="18"/>
                <w:color w:val="auto"/>
              </w:rPr>
              <w:t>(329)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11,237</w:t>
            </w:r>
          </w:p>
        </w:tc>
        <w:tc>
          <w:tcPr>
            <w:tcW w:w="44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9,847</w:t>
            </w:r>
          </w:p>
        </w:tc>
        <w:tc>
          <w:tcPr>
            <w:tcW w:w="44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1,903</w:t>
            </w:r>
          </w:p>
        </w:tc>
        <w:tc>
          <w:tcPr>
            <w:tcW w:w="880" w:type="dxa"/>
            <w:vAlign w:val="bottom"/>
            <w:gridSpan w:val="2"/>
          </w:tcPr>
          <w:p>
            <w:pPr>
              <w:jc w:val="right"/>
              <w:ind w:right="388"/>
              <w:spacing w:after="0"/>
              <w:rPr>
                <w:sz w:val="20"/>
                <w:szCs w:val="20"/>
                <w:color w:val="auto"/>
              </w:rPr>
            </w:pPr>
            <w:r>
              <w:rPr>
                <w:rFonts w:ascii="Arial" w:cs="Arial" w:eastAsia="Arial" w:hAnsi="Arial"/>
                <w:sz w:val="18"/>
                <w:szCs w:val="18"/>
                <w:color w:val="auto"/>
              </w:rPr>
              <w:t>525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Arial" w:cs="Arial" w:eastAsia="Arial" w:hAnsi="Arial"/>
                <w:sz w:val="14"/>
                <w:szCs w:val="14"/>
                <w:color w:val="auto"/>
                <w:w w:val="91"/>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benefits</w:t>
            </w: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color w:val="auto"/>
                <w:w w:val="93"/>
              </w:rPr>
              <w:t>benefits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40" w:type="dxa"/>
            <w:vAlign w:val="bottom"/>
            <w:gridSpan w:val="5"/>
          </w:tcPr>
          <w:p>
            <w:pPr>
              <w:jc w:val="center"/>
              <w:ind w:right="188"/>
              <w:spacing w:after="0" w:line="123" w:lineRule="exact"/>
              <w:rPr>
                <w:sz w:val="20"/>
                <w:szCs w:val="20"/>
                <w:color w:val="auto"/>
              </w:rPr>
            </w:pPr>
            <w:r>
              <w:rPr>
                <w:rFonts w:ascii="Arial" w:cs="Arial" w:eastAsia="Arial" w:hAnsi="Arial"/>
                <w:sz w:val="14"/>
                <w:szCs w:val="14"/>
                <w:color w:val="auto"/>
                <w:w w:val="91"/>
              </w:rPr>
              <w:t>Six months ended June 30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tcPr>
          <w:p>
            <w:pPr>
              <w:jc w:val="center"/>
              <w:ind w:left="114"/>
              <w:spacing w:after="0"/>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11,832</w:t>
            </w:r>
          </w:p>
        </w:tc>
        <w:tc>
          <w:tcPr>
            <w:tcW w:w="44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10,260</w:t>
            </w:r>
          </w:p>
        </w:tc>
        <w:tc>
          <w:tcPr>
            <w:tcW w:w="880" w:type="dxa"/>
            <w:vAlign w:val="bottom"/>
            <w:tcBorders>
              <w:right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374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35,507</w:t>
            </w:r>
          </w:p>
        </w:tc>
        <w:tc>
          <w:tcPr>
            <w:tcW w:w="4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34,581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1,302</w:t>
            </w:r>
          </w:p>
        </w:tc>
        <w:tc>
          <w:tcPr>
            <w:tcW w:w="4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9"/>
              </w:rPr>
              <w:t>(47,051)</w:t>
            </w:r>
          </w:p>
        </w:tc>
        <w:tc>
          <w:tcPr>
            <w:tcW w:w="10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(45,784)</w:t>
            </w:r>
          </w:p>
        </w:tc>
        <w:tc>
          <w:tcPr>
            <w:tcW w:w="880" w:type="dxa"/>
            <w:vAlign w:val="bottom"/>
            <w:tcBorders>
              <w:right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8"/>
                <w:szCs w:val="18"/>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8"/>
                <w:szCs w:val="18"/>
                <w:color w:val="auto"/>
              </w:rPr>
              <w:t>(3,003)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(3,276)</w:t>
            </w:r>
          </w:p>
        </w:tc>
        <w:tc>
          <w:tcPr>
            <w:tcW w:w="880" w:type="dxa"/>
            <w:vAlign w:val="bottom"/>
            <w:gridSpan w:val="2"/>
          </w:tcPr>
          <w:p>
            <w:pPr>
              <w:jc w:val="right"/>
              <w:ind w:right="328"/>
              <w:spacing w:after="0"/>
              <w:rPr>
                <w:sz w:val="20"/>
                <w:szCs w:val="20"/>
                <w:color w:val="auto"/>
              </w:rPr>
            </w:pPr>
            <w:r>
              <w:rPr>
                <w:rFonts w:ascii="Arial" w:cs="Arial" w:eastAsia="Arial" w:hAnsi="Arial"/>
                <w:sz w:val="18"/>
                <w:szCs w:val="18"/>
                <w:color w:val="auto"/>
              </w:rPr>
              <w:t>(679)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22,412</w:t>
            </w:r>
          </w:p>
        </w:tc>
        <w:tc>
          <w:tcPr>
            <w:tcW w:w="44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19,697</w:t>
            </w:r>
          </w:p>
        </w:tc>
        <w:tc>
          <w:tcPr>
            <w:tcW w:w="44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3,028</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1,050</w:t>
            </w:r>
          </w:p>
        </w:tc>
        <w:tc>
          <w:tcPr>
            <w:tcW w:w="4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$13,346,000 and $12,673,000 for the three months ended June 30, 2015 and 2014, respectively, and $30,096,000 and $28,405,000 for the six months ended June 30, 2015 and 2014,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760" w:type="dxa"/>
            <w:vAlign w:val="bottom"/>
            <w:gridSpan w:val="4"/>
          </w:tcPr>
          <w:p>
            <w:pPr>
              <w:jc w:val="right"/>
              <w:ind w:right="4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1060"/>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6"/>
          </w:tcPr>
          <w:p>
            <w:pPr>
              <w:jc w:val="right"/>
              <w:ind w:right="380"/>
              <w:spacing w:after="0" w:line="142" w:lineRule="exact"/>
              <w:rPr>
                <w:sz w:val="20"/>
                <w:szCs w:val="20"/>
                <w:color w:val="auto"/>
              </w:rPr>
            </w:pPr>
            <w:r>
              <w:rPr>
                <w:rFonts w:ascii="Arial" w:cs="Arial" w:eastAsia="Arial" w:hAnsi="Arial"/>
                <w:sz w:val="14"/>
                <w:szCs w:val="14"/>
                <w:color w:val="auto"/>
                <w:w w:val="96"/>
              </w:rPr>
              <w:t>(in thousands, except per share)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286,688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284,336</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528,301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Preferred stock dividends (a)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(20,317)</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(20,443)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(40,635)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income available to common equity</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266,371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263,893</w:t>
            </w: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487,666</w:t>
            </w:r>
          </w:p>
        </w:tc>
        <w:tc>
          <w:tcPr>
            <w:tcW w:w="4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478,236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(3,213)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318"/>
        </w:trPr>
        <w:tc>
          <w:tcPr>
            <w:tcW w:w="624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263,471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260,680</w:t>
            </w:r>
          </w:p>
        </w:tc>
        <w:tc>
          <w:tcPr>
            <w:tcW w:w="42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482,295</w:t>
            </w:r>
          </w:p>
        </w:tc>
        <w:tc>
          <w:tcPr>
            <w:tcW w:w="4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472,404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w w:val="94"/>
              </w:rPr>
              <w:t>Common shares outstanding (including common stock issuable) and unvested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stock-based compensation awards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133,818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132,473</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133,680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(1,617)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318"/>
        </w:trPr>
        <w:tc>
          <w:tcPr>
            <w:tcW w:w="62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132,356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130,856</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132,203</w:t>
            </w:r>
          </w:p>
        </w:tc>
        <w:tc>
          <w:tcPr>
            <w:tcW w:w="4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130,536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240" w:top="45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gridSpan w:val="3"/>
          </w:tcPr>
          <w:p>
            <w:pPr>
              <w:spacing w:after="0"/>
              <w:rPr>
                <w:sz w:val="20"/>
                <w:szCs w:val="20"/>
                <w:color w:val="auto"/>
              </w:rPr>
            </w:pPr>
            <w:r>
              <w:rPr>
                <w:rFonts w:ascii="Arial" w:cs="Arial" w:eastAsia="Arial" w:hAnsi="Arial"/>
                <w:sz w:val="18"/>
                <w:szCs w:val="18"/>
                <w:color w:val="auto"/>
              </w:rPr>
              <w:t>NOTES TO FINANCIAL STATEMENTS, CONTINUED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7660" w:type="dxa"/>
            <w:vAlign w:val="bottom"/>
          </w:tcPr>
          <w:p>
            <w:pPr>
              <w:ind w:left="200"/>
              <w:spacing w:after="0"/>
              <w:rPr>
                <w:sz w:val="20"/>
                <w:szCs w:val="20"/>
                <w:color w:val="auto"/>
              </w:rPr>
            </w:pPr>
            <w:r>
              <w:rPr>
                <w:rFonts w:ascii="Arial" w:cs="Arial" w:eastAsia="Arial" w:hAnsi="Arial"/>
                <w:sz w:val="18"/>
                <w:szCs w:val="18"/>
                <w:b w:val="1"/>
                <w:bCs w:val="1"/>
                <w:color w:val="auto"/>
              </w:rPr>
              <w:t>Earnings per common share, continued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The computations of diluted earnings per common share follow:</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color w:val="auto"/>
                <w:w w:val="97"/>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700"/>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66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2015</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7"/>
          </w:tcPr>
          <w:p>
            <w:pPr>
              <w:jc w:val="right"/>
              <w:ind w:right="100"/>
              <w:spacing w:after="0"/>
              <w:rPr>
                <w:sz w:val="20"/>
                <w:szCs w:val="20"/>
                <w:color w:val="auto"/>
              </w:rPr>
            </w:pPr>
            <w:r>
              <w:rPr>
                <w:rFonts w:ascii="Arial" w:cs="Arial" w:eastAsia="Arial" w:hAnsi="Arial"/>
                <w:sz w:val="14"/>
                <w:szCs w:val="14"/>
                <w:color w:val="auto"/>
                <w:w w:val="89"/>
              </w:rPr>
              <w:t>(in thousands, except per share)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90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266,371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263,893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487,666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478,236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(2,890)</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(3,198)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(5,353)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263,481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260,695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482,313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472,429</w:t>
            </w:r>
          </w:p>
        </w:tc>
        <w:tc>
          <w:tcPr>
            <w:tcW w:w="0" w:type="dxa"/>
            <w:vAlign w:val="bottom"/>
          </w:tcPr>
          <w:p>
            <w:pPr>
              <w:spacing w:after="0"/>
              <w:rPr>
                <w:sz w:val="1"/>
                <w:szCs w:val="1"/>
                <w:color w:val="auto"/>
              </w:rPr>
            </w:pPr>
          </w:p>
        </w:tc>
      </w:tr>
      <w:tr>
        <w:trPr>
          <w:trHeight w:val="324"/>
        </w:trPr>
        <w:tc>
          <w:tcPr>
            <w:tcW w:w="7920" w:type="dxa"/>
            <w:vAlign w:val="bottom"/>
            <w:gridSpan w:val="3"/>
          </w:tcPr>
          <w:p>
            <w:pPr>
              <w:spacing w:after="0"/>
              <w:rPr>
                <w:sz w:val="20"/>
                <w:szCs w:val="20"/>
                <w:color w:val="auto"/>
              </w:rPr>
            </w:pPr>
            <w:r>
              <w:rPr>
                <w:rFonts w:ascii="Arial" w:cs="Arial" w:eastAsia="Arial" w:hAnsi="Arial"/>
                <w:sz w:val="18"/>
                <w:szCs w:val="18"/>
                <w:color w:val="auto"/>
              </w:rPr>
              <w:t>Adjusted weighted-average shares outstanding: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and unvested stock-based compensation awards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133,818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132,473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133,680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Less: Unvested stock-based compensation awards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(1,462)</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(1,477)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89"/>
              </w:rPr>
              <w:t>Plus: Incremental shares from assumed conversion of stock-based compensation awards and warrants to</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 common stock</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7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20" w:type="dxa"/>
            <w:vAlign w:val="bottom"/>
            <w:gridSpan w:val="3"/>
          </w:tcPr>
          <w:p>
            <w:pPr>
              <w:spacing w:after="0"/>
              <w:rPr>
                <w:sz w:val="20"/>
                <w:szCs w:val="20"/>
                <w:color w:val="auto"/>
              </w:rPr>
            </w:pPr>
            <w:r>
              <w:rPr>
                <w:rFonts w:ascii="Arial" w:cs="Arial" w:eastAsia="Arial" w:hAnsi="Arial"/>
                <w:sz w:val="18"/>
                <w:szCs w:val="18"/>
                <w:color w:val="auto"/>
              </w:rPr>
              <w:t>Adjusted weighted-average shares outstanding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133,116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131,828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132,944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131,479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1.6 million and 1.7 million common shares during the three-month periods ended June 30, 2015 and 2014, respectively, and 2.1 million and 2.4 million common shares during the six-month periods ended June 30, 2015 and 2014, respectively, were not included in the computations of diluted earnings per common share because the effect on those periods would have been antidilutive.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4"/>
                <w:szCs w:val="14"/>
                <w:color w:val="auto"/>
                <w:w w:val="92"/>
              </w:rPr>
              <w:t>Investment Securities</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9"/>
              </w:rPr>
              <w:t>Defined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89"/>
              </w:rPr>
              <w:t>Total</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With</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All</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benefit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amount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OTTI (a)</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other</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plans</w:t>
            </w:r>
          </w:p>
        </w:tc>
        <w:tc>
          <w:tcPr>
            <w:tcW w:w="74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3"/>
              </w:rPr>
              <w:t>before tax</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tax</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color w:val="auto"/>
              </w:rPr>
              <w:t>(in thousands)</w:t>
            </w: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201,828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(503,027)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$(297,843)</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116,849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$(180,994)</w:t>
            </w: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holding gains,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(85,602)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(779)</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(779)</w:t>
            </w: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cash flow hedges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(85,602)</w:t>
            </w: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(79,258)</w:t>
            </w:r>
          </w:p>
        </w:tc>
        <w:tc>
          <w:tcPr>
            <w:tcW w:w="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31,310</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Amounts reclassified from accumulated other comprehensive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that (increase) decrease net income: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Accretion of unrealized holding losses on held-to-maturity</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520"/>
              <w:spacing w:after="0"/>
              <w:rPr>
                <w:sz w:val="20"/>
                <w:szCs w:val="20"/>
                <w:color w:val="auto"/>
              </w:rPr>
            </w:pPr>
            <w:r>
              <w:rPr>
                <w:rFonts w:ascii="Arial" w:cs="Arial" w:eastAsia="Arial" w:hAnsi="Arial"/>
                <w:sz w:val="18"/>
                <w:szCs w:val="18"/>
                <w:color w:val="auto"/>
              </w:rPr>
              <w:t>(“HTM”) 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1,589</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1,589</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realized in net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Accretion of net gain on terminated cash flow hedges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ind w:left="20"/>
              <w:spacing w:after="0"/>
              <w:rPr>
                <w:sz w:val="20"/>
                <w:szCs w:val="20"/>
                <w:color w:val="auto"/>
              </w:rPr>
            </w:pPr>
            <w:r>
              <w:rPr>
                <w:rFonts w:ascii="Arial" w:cs="Arial" w:eastAsia="Arial" w:hAnsi="Arial"/>
                <w:sz w:val="18"/>
                <w:szCs w:val="18"/>
                <w:color w:val="auto"/>
              </w:rPr>
              <w:t>(d)</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prior service credit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(3,682)</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Amortization of actuarial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22,465</w:t>
            </w:r>
          </w:p>
        </w:tc>
        <w:tc>
          <w:tcPr>
            <w:tcW w:w="20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22,465</w:t>
            </w:r>
          </w:p>
        </w:tc>
        <w:tc>
          <w:tcPr>
            <w:tcW w:w="2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(9,981)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20,417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11,440</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80" w:type="dxa"/>
            <w:vAlign w:val="bottom"/>
            <w:gridSpan w:val="2"/>
          </w:tcPr>
          <w:p>
            <w:pPr>
              <w:spacing w:after="0"/>
              <w:rPr>
                <w:sz w:val="20"/>
                <w:szCs w:val="20"/>
                <w:color w:val="auto"/>
              </w:rPr>
            </w:pPr>
            <w:r>
              <w:rPr>
                <w:rFonts w:ascii="Arial" w:cs="Arial" w:eastAsia="Arial" w:hAnsi="Arial"/>
                <w:sz w:val="18"/>
                <w:szCs w:val="18"/>
                <w:color w:val="auto"/>
              </w:rPr>
              <w:t>Total gain (loss) during the period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5,670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(83,905)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18,783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611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(58,841)</w:t>
            </w:r>
          </w:p>
        </w:tc>
        <w:tc>
          <w:tcPr>
            <w:tcW w:w="3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22,333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(36,508)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13,108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117,923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(484,244)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(356,684)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139,182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(217,502)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4980" w:type="dxa"/>
            <w:vAlign w:val="bottom"/>
          </w:tcPr>
          <w:p>
            <w:pPr>
              <w:ind w:left="300"/>
              <w:spacing w:after="0"/>
              <w:rPr>
                <w:sz w:val="20"/>
                <w:szCs w:val="20"/>
                <w:color w:val="auto"/>
              </w:rPr>
            </w:pPr>
            <w:r>
              <w:rPr>
                <w:rFonts w:ascii="Arial" w:cs="Arial" w:eastAsia="Arial" w:hAnsi="Arial"/>
                <w:sz w:val="18"/>
                <w:szCs w:val="18"/>
                <w:b w:val="1"/>
                <w:bCs w:val="1"/>
                <w:color w:val="auto"/>
              </w:rPr>
              <w:t>Comprehensive income, continued</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4"/>
          </w:tcPr>
          <w:p>
            <w:pPr>
              <w:jc w:val="right"/>
              <w:ind w:right="300"/>
              <w:spacing w:after="0"/>
              <w:rPr>
                <w:sz w:val="20"/>
                <w:szCs w:val="20"/>
                <w:color w:val="auto"/>
              </w:rPr>
            </w:pPr>
            <w:r>
              <w:rPr>
                <w:rFonts w:ascii="Arial" w:cs="Arial" w:eastAsia="Arial" w:hAnsi="Arial"/>
                <w:sz w:val="14"/>
                <w:szCs w:val="14"/>
                <w:color w:val="auto"/>
                <w:w w:val="98"/>
              </w:rPr>
              <w:t>Investment Securities</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5"/>
              </w:rPr>
              <w:t>Defined</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With</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All</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benefit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amount</w:t>
            </w:r>
          </w:p>
        </w:tc>
        <w:tc>
          <w:tcPr>
            <w:tcW w:w="4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OTTI (a)</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other</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plans</w:t>
            </w: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before tax</w:t>
            </w:r>
          </w:p>
        </w:tc>
        <w:tc>
          <w:tcPr>
            <w:tcW w:w="4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6"/>
          </w:tcPr>
          <w:p>
            <w:pPr>
              <w:ind w:left="40"/>
              <w:spacing w:after="0"/>
              <w:rPr>
                <w:sz w:val="20"/>
                <w:szCs w:val="20"/>
                <w:color w:val="auto"/>
              </w:rPr>
            </w:pPr>
            <w:r>
              <w:rPr>
                <w:rFonts w:ascii="Arial" w:cs="Arial" w:eastAsia="Arial" w:hAnsi="Arial"/>
                <w:sz w:val="14"/>
                <w:szCs w:val="14"/>
                <w:color w:val="auto"/>
              </w:rPr>
              <w:t>(in thousands)</w:t>
            </w:r>
          </w:p>
        </w:tc>
        <w:tc>
          <w:tcPr>
            <w:tcW w:w="4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12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$37,255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18,450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(161,617)</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w w:val="88"/>
              </w:rPr>
              <w:t>(105,797)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(64,159)</w:t>
            </w:r>
          </w:p>
        </w:tc>
        <w:tc>
          <w:tcPr>
            <w:tcW w:w="0" w:type="dxa"/>
            <w:vAlign w:val="bottom"/>
          </w:tcPr>
          <w:p>
            <w:pPr>
              <w:spacing w:after="0"/>
              <w:rPr>
                <w:sz w:val="1"/>
                <w:szCs w:val="1"/>
                <w:color w:val="auto"/>
              </w:rPr>
            </w:pPr>
          </w:p>
        </w:tc>
      </w:tr>
      <w:tr>
        <w:trPr>
          <w:trHeight w:val="324"/>
        </w:trPr>
        <w:tc>
          <w:tcPr>
            <w:tcW w:w="5140" w:type="dxa"/>
            <w:vAlign w:val="bottom"/>
            <w:gridSpan w:val="3"/>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net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10,842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156,764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167,606</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(65,774)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4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losses on cash flow hedges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(1,170)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2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156,764</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166,915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(65,481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Amounts reclassified from accumulated other comprehensive income</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that (increase) decrease net income:</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Accretion of unrealized holding losses on HTM securities</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1,702</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1,703</w:t>
            </w:r>
          </w:p>
        </w:tc>
        <w:tc>
          <w:tcPr>
            <w:tcW w:w="440" w:type="dxa"/>
            <w:vAlign w:val="bottom"/>
          </w:tcPr>
          <w:p>
            <w:pPr>
              <w:ind w:left="40"/>
              <w:spacing w:after="0"/>
              <w:rPr>
                <w:sz w:val="20"/>
                <w:szCs w:val="20"/>
                <w:color w:val="auto"/>
              </w:rPr>
            </w:pPr>
            <w:r>
              <w:rPr>
                <w:rFonts w:ascii="Arial" w:cs="Arial" w:eastAsia="Arial" w:hAnsi="Arial"/>
                <w:sz w:val="18"/>
                <w:szCs w:val="18"/>
                <w:color w:val="auto"/>
              </w:rPr>
              <w:t>(b)</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(3,955)</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(3,955) (e)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Amortization of actuarial losses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7,247</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7,247</w:t>
            </w:r>
          </w:p>
        </w:tc>
        <w:tc>
          <w:tcPr>
            <w:tcW w:w="440" w:type="dxa"/>
            <w:vAlign w:val="bottom"/>
          </w:tcPr>
          <w:p>
            <w:pPr>
              <w:ind w:left="40"/>
              <w:spacing w:after="0"/>
              <w:rPr>
                <w:sz w:val="20"/>
                <w:szCs w:val="20"/>
                <w:color w:val="auto"/>
              </w:rPr>
            </w:pPr>
            <w:r>
              <w:rPr>
                <w:rFonts w:ascii="Arial" w:cs="Arial" w:eastAsia="Arial" w:hAnsi="Arial"/>
                <w:sz w:val="18"/>
                <w:szCs w:val="18"/>
                <w:color w:val="auto"/>
              </w:rPr>
              <w:t>(e)</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3,292</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4,995</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0"/>
        </w:trPr>
        <w:tc>
          <w:tcPr>
            <w:tcW w:w="5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40" w:type="dxa"/>
            <w:vAlign w:val="bottom"/>
            <w:gridSpan w:val="3"/>
          </w:tcPr>
          <w:p>
            <w:pPr>
              <w:spacing w:after="0"/>
              <w:rPr>
                <w:sz w:val="20"/>
                <w:szCs w:val="20"/>
                <w:color w:val="auto"/>
              </w:rPr>
            </w:pPr>
            <w:r>
              <w:rPr>
                <w:rFonts w:ascii="Arial" w:cs="Arial" w:eastAsia="Arial" w:hAnsi="Arial"/>
                <w:sz w:val="18"/>
                <w:szCs w:val="18"/>
                <w:color w:val="auto"/>
              </w:rPr>
              <w:t>Total gain (loss) during the period</w:t>
            </w:r>
          </w:p>
        </w:tc>
        <w:tc>
          <w:tcPr>
            <w:tcW w:w="14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10,843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158,466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3,292</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171,910</w:t>
            </w:r>
          </w:p>
        </w:tc>
        <w:tc>
          <w:tcPr>
            <w:tcW w:w="4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(67,443)</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104,467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30, 2014</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48,098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176,916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(158,325)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(25,805)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loss on bank investment securities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1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Accumulated other comprehensive income (loss),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Defined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4"/>
                <w:szCs w:val="14"/>
                <w:color w:val="auto"/>
                <w:w w:val="94"/>
              </w:rPr>
              <w:t>Investment securities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benefit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color w:val="auto"/>
                <w:w w:val="97"/>
              </w:rPr>
              <w:t>With OTTI</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5"/>
              </w:rPr>
              <w:t>plans</w:t>
            </w: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Other</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color w:val="auto"/>
                <w:w w:val="92"/>
              </w:rPr>
              <w:t>(in thousands)</w:t>
            </w: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122,683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(305,589)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$(180,994)</w:t>
            </w: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3,471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(50,750)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10,442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(36,508)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2015</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71,933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(295,147)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(217,502)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40" w:type="dxa"/>
            <w:vAlign w:val="bottom"/>
            <w:gridSpan w:val="2"/>
          </w:tcPr>
          <w:p>
            <w:pPr>
              <w:jc w:val="right"/>
              <w:ind w:right="1328"/>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was not significant as of June 30, 2015.</w:t>
      </w:r>
    </w:p>
    <w:p>
      <w:pPr>
        <w:spacing w:after="0" w:line="193"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net effect of interest rate swap agreements was to increase net interest income by $11 million and $12 million for the three-month periods ended June 30, 2015 and 2014, respectively, and $22 million and $23 million for the six-month periods ended June 30, 2015 and 2014, respectively.</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67"/>
        </w:trPr>
        <w:tc>
          <w:tcPr>
            <w:tcW w:w="658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4"/>
                <w:szCs w:val="14"/>
                <w:color w:val="auto"/>
                <w:w w:val="97"/>
              </w:rPr>
              <w:t>Notional</w:t>
            </w: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color w:val="auto"/>
                <w:w w:val="88"/>
              </w:rPr>
              <w:t>Average</w:t>
            </w:r>
          </w:p>
        </w:tc>
        <w:tc>
          <w:tcPr>
            <w:tcW w:w="1640" w:type="dxa"/>
            <w:vAlign w:val="bottom"/>
            <w:gridSpan w:val="4"/>
          </w:tcPr>
          <w:p>
            <w:pPr>
              <w:jc w:val="right"/>
              <w:ind w:right="560"/>
              <w:spacing w:after="0"/>
              <w:rPr>
                <w:sz w:val="20"/>
                <w:szCs w:val="20"/>
                <w:color w:val="auto"/>
              </w:rPr>
            </w:pPr>
            <w:r>
              <w:rPr>
                <w:rFonts w:ascii="Arial" w:cs="Arial" w:eastAsia="Arial" w:hAnsi="Arial"/>
                <w:sz w:val="14"/>
                <w:szCs w:val="14"/>
                <w:color w:val="auto"/>
              </w:rPr>
              <w:t>average rate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80" w:type="dxa"/>
            <w:vAlign w:val="bottom"/>
            <w:gridSpan w:val="3"/>
          </w:tcPr>
          <w:p>
            <w:pPr>
              <w:jc w:val="center"/>
              <w:ind w:right="480"/>
              <w:spacing w:after="0" w:line="142" w:lineRule="exact"/>
              <w:rPr>
                <w:sz w:val="20"/>
                <w:szCs w:val="20"/>
                <w:color w:val="auto"/>
              </w:rPr>
            </w:pPr>
            <w:r>
              <w:rPr>
                <w:rFonts w:ascii="Arial" w:cs="Arial" w:eastAsia="Arial" w:hAnsi="Arial"/>
                <w:sz w:val="14"/>
                <w:szCs w:val="14"/>
                <w:color w:val="auto"/>
                <w:w w:val="94"/>
              </w:rPr>
              <w:t>amount</w:t>
            </w:r>
          </w:p>
        </w:tc>
        <w:tc>
          <w:tcPr>
            <w:tcW w:w="1000" w:type="dxa"/>
            <w:vAlign w:val="bottom"/>
            <w:gridSpan w:val="2"/>
          </w:tcPr>
          <w:p>
            <w:pPr>
              <w:jc w:val="center"/>
              <w:ind w:right="460"/>
              <w:spacing w:after="0" w:line="142" w:lineRule="exact"/>
              <w:rPr>
                <w:sz w:val="20"/>
                <w:szCs w:val="20"/>
                <w:color w:val="auto"/>
              </w:rPr>
            </w:pPr>
            <w:r>
              <w:rPr>
                <w:rFonts w:ascii="Arial" w:cs="Arial" w:eastAsia="Arial" w:hAnsi="Arial"/>
                <w:sz w:val="14"/>
                <w:szCs w:val="14"/>
                <w:color w:val="auto"/>
              </w:rPr>
              <w:t>maturity</w:t>
            </w:r>
          </w:p>
        </w:tc>
        <w:tc>
          <w:tcPr>
            <w:tcW w:w="960" w:type="dxa"/>
            <w:vAlign w:val="bottom"/>
            <w:tcBorders>
              <w:top w:val="single" w:sz="8" w:color="auto"/>
            </w:tcBorders>
            <w:gridSpan w:val="2"/>
          </w:tcPr>
          <w:p>
            <w:pPr>
              <w:jc w:val="right"/>
              <w:ind w:right="528"/>
              <w:spacing w:after="0" w:line="142" w:lineRule="exact"/>
              <w:rPr>
                <w:sz w:val="20"/>
                <w:szCs w:val="20"/>
                <w:color w:val="auto"/>
              </w:rPr>
            </w:pPr>
            <w:r>
              <w:rPr>
                <w:rFonts w:ascii="Arial" w:cs="Arial" w:eastAsia="Arial" w:hAnsi="Arial"/>
                <w:sz w:val="14"/>
                <w:szCs w:val="14"/>
                <w:color w:val="auto"/>
                <w:w w:val="99"/>
              </w:rPr>
              <w:t>Fixed</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60" w:type="dxa"/>
            <w:vAlign w:val="bottom"/>
            <w:gridSpan w:val="2"/>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years)</w:t>
            </w:r>
          </w:p>
        </w:tc>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Fair value hedges: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December 31, 2014</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960" w:type="dxa"/>
            <w:vAlign w:val="bottom"/>
            <w:gridSpan w:val="2"/>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use of cash flow hedges to manage the variability of cash flows associated with the then-forecasted issuance of long-term debt did not have a significant impact on the Company’s consolidated financial position or results of operations.</w:t>
      </w:r>
    </w:p>
    <w:p>
      <w:pPr>
        <w:spacing w:after="0" w:line="170"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$17.2 billion and $17.6 billion at June 30, 2015 and December 31, 2014, respectively. The notional amounts of foreign currency and other option and futures contracts entered into for trading account purposes aggregated $1.6 billion and $1.3 billion at June 30, 2015 and December 31, 2014, respectively.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4"/>
                <w:szCs w:val="14"/>
                <w:color w:val="auto"/>
              </w:rPr>
              <w:t>Asset derivatives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617"/>
              <w:spacing w:after="0" w:line="142" w:lineRule="exact"/>
              <w:rPr>
                <w:sz w:val="20"/>
                <w:szCs w:val="20"/>
                <w:color w:val="auto"/>
              </w:rPr>
            </w:pPr>
            <w:r>
              <w:rPr>
                <w:rFonts w:ascii="Arial" w:cs="Arial" w:eastAsia="Arial" w:hAnsi="Arial"/>
                <w:sz w:val="14"/>
                <w:szCs w:val="14"/>
                <w:color w:val="auto"/>
                <w:w w:val="91"/>
              </w:rPr>
              <w:t>Fair value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596"/>
              <w:spacing w:after="0" w:line="142" w:lineRule="exact"/>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4"/>
              <w:spacing w:after="0" w:line="123" w:lineRule="exact"/>
              <w:rPr>
                <w:sz w:val="20"/>
                <w:szCs w:val="20"/>
                <w:color w:val="auto"/>
              </w:rPr>
            </w:pPr>
            <w:r>
              <w:rPr>
                <w:rFonts w:ascii="Arial" w:cs="Arial" w:eastAsia="Arial" w:hAnsi="Arial"/>
                <w:sz w:val="14"/>
                <w:szCs w:val="14"/>
                <w:color w:val="auto"/>
                <w:w w:val="89"/>
              </w:rPr>
              <w:t>June 30,</w:t>
            </w:r>
          </w:p>
        </w:tc>
        <w:tc>
          <w:tcPr>
            <w:tcW w:w="48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4"/>
              <w:spacing w:after="0" w:line="123" w:lineRule="exact"/>
              <w:rPr>
                <w:sz w:val="20"/>
                <w:szCs w:val="20"/>
                <w:color w:val="auto"/>
              </w:rPr>
            </w:pPr>
            <w:r>
              <w:rPr>
                <w:rFonts w:ascii="Arial" w:cs="Arial" w:eastAsia="Arial" w:hAnsi="Arial"/>
                <w:sz w:val="14"/>
                <w:szCs w:val="14"/>
                <w:color w:val="auto"/>
                <w:w w:val="85"/>
              </w:rPr>
              <w:t>June 30,</w:t>
            </w:r>
          </w:p>
        </w:tc>
        <w:tc>
          <w:tcPr>
            <w:tcW w:w="48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2015</w:t>
            </w:r>
          </w:p>
        </w:tc>
        <w:tc>
          <w:tcPr>
            <w:tcW w:w="128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2015</w:t>
            </w:r>
          </w:p>
        </w:tc>
        <w:tc>
          <w:tcPr>
            <w:tcW w:w="12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gridSpan w:val="5"/>
          </w:tcPr>
          <w:p>
            <w:pPr>
              <w:jc w:val="right"/>
              <w:ind w:right="434"/>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Fair value hedges: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 agreements (a)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63,501</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73,251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Commitments to sell real estate loans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12,150</w:t>
            </w:r>
          </w:p>
        </w:tc>
        <w:tc>
          <w:tcPr>
            <w:tcW w:w="4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75,651</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w w:val="98"/>
              </w:rPr>
              <w:t>Derivatives not designated and qualifying as hedging instruments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Mortgage-related commitments to originate real estate loans for sale (a)</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17,396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2,645</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1,946</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202,052</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215,614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158,670</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173,513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31,112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233,876</w:t>
            </w:r>
          </w:p>
        </w:tc>
        <w:tc>
          <w:tcPr>
            <w:tcW w:w="4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175,991</w:t>
            </w:r>
          </w:p>
        </w:tc>
        <w:tc>
          <w:tcPr>
            <w:tcW w:w="4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309,527</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338,855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176,570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700"/>
        <w:spacing w:after="0" w:line="490" w:lineRule="auto"/>
        <w:rPr>
          <w:sz w:val="20"/>
          <w:szCs w:val="20"/>
          <w:color w:val="auto"/>
        </w:rPr>
      </w:pPr>
      <w:r>
        <w:rPr>
          <w:rFonts w:ascii="Arial" w:cs="Arial" w:eastAsia="Arial" w:hAnsi="Arial"/>
          <w:sz w:val="17"/>
          <w:szCs w:val="17"/>
          <w:color w:val="auto"/>
        </w:rPr>
        <w:t xml:space="preserve">NOTES TO FINANCIAL STATEMENTS, CONTINUED </w:t>
      </w:r>
      <w:r>
        <w:rPr>
          <w:rFonts w:ascii="Arial" w:cs="Arial" w:eastAsia="Arial" w:hAnsi="Arial"/>
          <w:sz w:val="17"/>
          <w:szCs w:val="17"/>
          <w:b w:val="1"/>
          <w:bCs w:val="1"/>
          <w:color w:val="auto"/>
        </w:rPr>
        <w:t>10. 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swap agreements: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Interest rate contracts (b)</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swap agreements: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Interest rate contracts (b)</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Amount of unrealized gain (loss) recognized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gridSpan w:val="5"/>
          </w:tcPr>
          <w:p>
            <w:pPr>
              <w:jc w:val="center"/>
              <w:ind w:right="420"/>
              <w:spacing w:after="0" w:line="123" w:lineRule="exact"/>
              <w:rPr>
                <w:sz w:val="20"/>
                <w:szCs w:val="20"/>
                <w:color w:val="auto"/>
              </w:rPr>
            </w:pPr>
            <w:r>
              <w:rPr>
                <w:rFonts w:ascii="Arial" w:cs="Arial" w:eastAsia="Arial" w:hAnsi="Arial"/>
                <w:sz w:val="14"/>
                <w:szCs w:val="14"/>
                <w:color w:val="auto"/>
                <w:w w:val="91"/>
              </w:rPr>
              <w:t>Three months ended</w:t>
            </w: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3"/>
          </w:tcPr>
          <w:p>
            <w:pPr>
              <w:jc w:val="center"/>
              <w:ind w:right="59"/>
              <w:spacing w:after="0" w:line="123" w:lineRule="exact"/>
              <w:rPr>
                <w:sz w:val="20"/>
                <w:szCs w:val="20"/>
                <w:color w:val="auto"/>
              </w:rPr>
            </w:pPr>
            <w:r>
              <w:rPr>
                <w:rFonts w:ascii="Arial" w:cs="Arial" w:eastAsia="Arial" w:hAnsi="Arial"/>
                <w:sz w:val="14"/>
                <w:szCs w:val="14"/>
                <w:color w:val="auto"/>
                <w:w w:val="91"/>
              </w:rPr>
              <w:t>Three months ended</w:t>
            </w:r>
          </w:p>
        </w:tc>
        <w:tc>
          <w:tcPr>
            <w:tcW w:w="20" w:type="dxa"/>
            <w:vAlign w:val="bottom"/>
          </w:tcPr>
          <w:p>
            <w:pPr>
              <w:spacing w:after="0"/>
              <w:rPr>
                <w:sz w:val="10"/>
                <w:szCs w:val="10"/>
                <w:color w:val="auto"/>
              </w:rPr>
            </w:pPr>
          </w:p>
        </w:tc>
      </w:tr>
      <w:tr>
        <w:trPr>
          <w:trHeight w:val="167"/>
        </w:trPr>
        <w:tc>
          <w:tcPr>
            <w:tcW w:w="140" w:type="dxa"/>
            <w:vAlign w:val="bottom"/>
          </w:tcPr>
          <w:p>
            <w:pPr>
              <w:spacing w:after="0"/>
              <w:rPr>
                <w:sz w:val="14"/>
                <w:szCs w:val="1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color w:val="auto"/>
                <w:w w:val="92"/>
              </w:rPr>
              <w:t>June 30, 2015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4"/>
                <w:szCs w:val="14"/>
                <w:color w:val="auto"/>
                <w:w w:val="90"/>
              </w:rPr>
              <w:t>June 30, 2014</w:t>
            </w:r>
          </w:p>
        </w:tc>
      </w:tr>
      <w:tr>
        <w:trPr>
          <w:trHeight w:val="142"/>
        </w:trPr>
        <w:tc>
          <w:tcPr>
            <w:tcW w:w="7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3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20" w:type="dxa"/>
            <w:vAlign w:val="bottom"/>
          </w:tcPr>
          <w:p>
            <w:pPr>
              <w:spacing w:after="0"/>
              <w:rPr>
                <w:sz w:val="12"/>
                <w:szCs w:val="12"/>
                <w:color w:val="auto"/>
              </w:rPr>
            </w:pPr>
          </w:p>
        </w:tc>
      </w:tr>
      <w:tr>
        <w:trPr>
          <w:trHeight w:val="176"/>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4"/>
          </w:tcPr>
          <w:p>
            <w:pPr>
              <w:jc w:val="center"/>
              <w:ind w:left="528"/>
              <w:spacing w:after="0"/>
              <w:rPr>
                <w:sz w:val="20"/>
                <w:szCs w:val="20"/>
                <w:color w:val="auto"/>
              </w:rPr>
            </w:pPr>
            <w:r>
              <w:rPr>
                <w:rFonts w:ascii="Arial" w:cs="Arial" w:eastAsia="Arial" w:hAnsi="Arial"/>
                <w:sz w:val="14"/>
                <w:szCs w:val="14"/>
                <w:color w:val="auto"/>
                <w:w w:val="92"/>
              </w:rPr>
              <w:t>(in thousands)</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5"/>
        </w:trPr>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 (9,354)</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8,952</w:t>
            </w:r>
          </w:p>
        </w:tc>
        <w:tc>
          <w:tcPr>
            <w:tcW w:w="1420" w:type="dxa"/>
            <w:vAlign w:val="bottom"/>
            <w:gridSpan w:val="4"/>
          </w:tcPr>
          <w:p>
            <w:pPr>
              <w:jc w:val="right"/>
              <w:ind w:right="500"/>
              <w:spacing w:after="0"/>
              <w:rPr>
                <w:sz w:val="20"/>
                <w:szCs w:val="20"/>
                <w:color w:val="auto"/>
              </w:rPr>
            </w:pPr>
            <w:r>
              <w:rPr>
                <w:rFonts w:ascii="Arial" w:cs="Arial" w:eastAsia="Arial" w:hAnsi="Arial"/>
                <w:sz w:val="18"/>
                <w:szCs w:val="18"/>
                <w:color w:val="auto"/>
              </w:rPr>
              <w:t>$ (1,675)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1,358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1,772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1,384</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(786)</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1,061</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598</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color w:val="auto"/>
                <w:w w:val="94"/>
              </w:rPr>
              <w:t>Amount of unrealized gain (loss) recognized</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3"/>
        </w:trPr>
        <w:tc>
          <w:tcPr>
            <w:tcW w:w="140" w:type="dxa"/>
            <w:vAlign w:val="bottom"/>
          </w:tcPr>
          <w:p>
            <w:pPr>
              <w:spacing w:after="0"/>
              <w:rPr>
                <w:sz w:val="10"/>
                <w:szCs w:val="10"/>
                <w:color w:val="auto"/>
              </w:rPr>
            </w:pPr>
          </w:p>
        </w:tc>
        <w:tc>
          <w:tcPr>
            <w:tcW w:w="2040" w:type="dxa"/>
            <w:vAlign w:val="bottom"/>
            <w:gridSpan w:val="5"/>
          </w:tcPr>
          <w:p>
            <w:pPr>
              <w:jc w:val="center"/>
              <w:ind w:right="420"/>
              <w:spacing w:after="0" w:line="123" w:lineRule="exact"/>
              <w:rPr>
                <w:sz w:val="20"/>
                <w:szCs w:val="20"/>
                <w:color w:val="auto"/>
              </w:rPr>
            </w:pPr>
            <w:r>
              <w:rPr>
                <w:rFonts w:ascii="Arial" w:cs="Arial" w:eastAsia="Arial" w:hAnsi="Arial"/>
                <w:sz w:val="14"/>
                <w:szCs w:val="14"/>
                <w:color w:val="auto"/>
                <w:w w:val="90"/>
              </w:rPr>
              <w:t>Six months ended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3"/>
          </w:tcPr>
          <w:p>
            <w:pPr>
              <w:jc w:val="center"/>
              <w:ind w:right="59"/>
              <w:spacing w:after="0" w:line="123" w:lineRule="exact"/>
              <w:rPr>
                <w:sz w:val="20"/>
                <w:szCs w:val="20"/>
                <w:color w:val="auto"/>
              </w:rPr>
            </w:pPr>
            <w:r>
              <w:rPr>
                <w:rFonts w:ascii="Arial" w:cs="Arial" w:eastAsia="Arial" w:hAnsi="Arial"/>
                <w:sz w:val="14"/>
                <w:szCs w:val="14"/>
                <w:color w:val="auto"/>
                <w:w w:val="90"/>
              </w:rPr>
              <w:t>Six months ended</w:t>
            </w:r>
          </w:p>
        </w:tc>
        <w:tc>
          <w:tcPr>
            <w:tcW w:w="20" w:type="dxa"/>
            <w:vAlign w:val="bottom"/>
          </w:tcPr>
          <w:p>
            <w:pPr>
              <w:spacing w:after="0"/>
              <w:rPr>
                <w:sz w:val="10"/>
                <w:szCs w:val="10"/>
                <w:color w:val="auto"/>
              </w:rPr>
            </w:pPr>
          </w:p>
        </w:tc>
      </w:tr>
      <w:tr>
        <w:trPr>
          <w:trHeight w:val="167"/>
        </w:trPr>
        <w:tc>
          <w:tcPr>
            <w:tcW w:w="140" w:type="dxa"/>
            <w:vAlign w:val="bottom"/>
          </w:tcPr>
          <w:p>
            <w:pPr>
              <w:spacing w:after="0"/>
              <w:rPr>
                <w:sz w:val="14"/>
                <w:szCs w:val="1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color w:val="auto"/>
                <w:w w:val="92"/>
              </w:rPr>
              <w:t>June 30, 2015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4"/>
                <w:szCs w:val="14"/>
                <w:color w:val="auto"/>
                <w:w w:val="90"/>
              </w:rPr>
              <w:t>June 30, 2014</w:t>
            </w:r>
          </w:p>
        </w:tc>
      </w:tr>
      <w:tr>
        <w:trPr>
          <w:trHeight w:val="142"/>
        </w:trPr>
        <w:tc>
          <w:tcPr>
            <w:tcW w:w="7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3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20" w:type="dxa"/>
            <w:vAlign w:val="bottom"/>
          </w:tcPr>
          <w:p>
            <w:pPr>
              <w:spacing w:after="0"/>
              <w:rPr>
                <w:sz w:val="12"/>
                <w:szCs w:val="12"/>
                <w:color w:val="auto"/>
              </w:rPr>
            </w:pPr>
          </w:p>
        </w:tc>
      </w:tr>
      <w:tr>
        <w:trPr>
          <w:trHeight w:val="176"/>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4"/>
          </w:tcPr>
          <w:p>
            <w:pPr>
              <w:jc w:val="center"/>
              <w:ind w:left="528"/>
              <w:spacing w:after="0"/>
              <w:rPr>
                <w:sz w:val="20"/>
                <w:szCs w:val="20"/>
                <w:color w:val="auto"/>
              </w:rPr>
            </w:pPr>
            <w:r>
              <w:rPr>
                <w:rFonts w:ascii="Arial" w:cs="Arial" w:eastAsia="Arial" w:hAnsi="Arial"/>
                <w:sz w:val="14"/>
                <w:szCs w:val="14"/>
                <w:color w:val="auto"/>
                <w:w w:val="92"/>
              </w:rPr>
              <w:t>(in thousands)</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5"/>
        </w:trPr>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 (9,750)</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9,113</w:t>
            </w:r>
          </w:p>
        </w:tc>
        <w:tc>
          <w:tcPr>
            <w:tcW w:w="1420" w:type="dxa"/>
            <w:vAlign w:val="bottom"/>
            <w:gridSpan w:val="4"/>
          </w:tcPr>
          <w:p>
            <w:pPr>
              <w:jc w:val="right"/>
              <w:ind w:right="500"/>
              <w:spacing w:after="0"/>
              <w:rPr>
                <w:sz w:val="20"/>
                <w:szCs w:val="20"/>
                <w:color w:val="auto"/>
              </w:rPr>
            </w:pPr>
            <w:r>
              <w:rPr>
                <w:rFonts w:ascii="Arial" w:cs="Arial" w:eastAsia="Arial" w:hAnsi="Arial"/>
                <w:sz w:val="18"/>
                <w:szCs w:val="18"/>
                <w:color w:val="auto"/>
              </w:rPr>
              <w:t>$ (9,835)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9,278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2,432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1,082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(5,816)</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1,554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w w:val="88"/>
              </w:rPr>
              <w:t>$ (4,734)</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5900" w:space="620"/>
            <w:col w:w="4340"/>
          </w:cols>
          <w:pgMar w:left="240" w:top="459" w:right="7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$29 million and $28 million at June 30, 2015 and December 31, 2014, respectively. Changes in unrealized gains and losses are included in mortgage banking revenues and, in general, are realized in subsequent periods as the related loans are sold and commitments satisfied.</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aggregate fair value of derivative financial instruments in a liability position, which are subject to enforceable master netting arrangements, was $124 million and $161 million at June 30, 2015 and December 31, 2014, respectively. After consideration of such netting arrangements, the net liability positions with counterparties aggregated $72 million and $103 million at June 30, 2015 and December 31, 2014, respectively. The Company was required to post collateral relating to those positions of $65 million and $90 million at June 30, 2015 and December 31, 2014,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2015 was $14 million, for which the Company had posted collateral of $8 million in the normal course of business. If the credit risk-related contingent features had been triggered on June 30, 2015, the maximum amount of additional collateral the Company would have been required to post to counterparties was $6 million.</w:t>
      </w:r>
    </w:p>
    <w:p>
      <w:pPr>
        <w:spacing w:after="0" w:line="16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aggregate fair value of derivative financial instruments in an asset position, which are subject to enforceable master netting arrangements, was $89 million and $104 million at June 30, 2015 and December 31, 2014, respectively. After consideration of such netting arrangements, the net asset positions with counterparties aggregated $37 million and $46 million at June 30, 2015 and December 31, 2014, respectively. Counterparties posted collateral relating to those positions of $37 million and $46 million at June 30, 2015 and December 31, 2014, respectively. Trading account interest rate swap agreements entered into with customers are subject to the Company’s credit risk standards and often contain collateral provisions.</w:t>
      </w:r>
    </w:p>
    <w:p>
      <w:pPr>
        <w:spacing w:after="0" w:line="173"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additional collateral for contracts in a net liability position. The net fair values of derivative instruments cleared through clearinghouses was a net liability position of $35 million at each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June 30, 2015 and December 31, 2014. Collateral posted with clearinghouses was $70 million and $61 million at June 30, 2015 and December 31, 2014,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During the three and six months ended June 30, 2015, the Company securitized approximately $23 million and $36 million, respectively, of one-to-four family residential real estate loans that had been originated for sale in guaranteed mortgage securitizations with the Government National Mortgage Association (</w:t>
      </w:r>
      <w:r>
        <w:rPr>
          <w:rFonts w:ascii="Arial" w:cs="Arial" w:eastAsia="Arial" w:hAnsi="Arial"/>
          <w:sz w:val="18"/>
          <w:szCs w:val="18"/>
          <w:b w:val="1"/>
          <w:bCs w:val="1"/>
          <w:color w:val="auto"/>
        </w:rPr>
        <w:t>“</w:t>
      </w:r>
      <w:r>
        <w:rPr>
          <w:rFonts w:ascii="Arial" w:cs="Arial" w:eastAsia="Arial" w:hAnsi="Arial"/>
          <w:sz w:val="18"/>
          <w:szCs w:val="18"/>
          <w:color w:val="auto"/>
        </w:rPr>
        <w:t>Ginnie Mae</w:t>
      </w:r>
      <w:r>
        <w:rPr>
          <w:rFonts w:ascii="Arial" w:cs="Arial" w:eastAsia="Arial" w:hAnsi="Arial"/>
          <w:sz w:val="18"/>
          <w:szCs w:val="18"/>
          <w:b w:val="1"/>
          <w:bCs w:val="1"/>
          <w:color w:val="auto"/>
        </w:rPr>
        <w:t>”</w:t>
      </w:r>
      <w:r>
        <w:rPr>
          <w:rFonts w:ascii="Arial" w:cs="Arial" w:eastAsia="Arial" w:hAnsi="Arial"/>
          <w:sz w:val="18"/>
          <w:szCs w:val="18"/>
          <w:color w:val="auto"/>
        </w:rPr>
        <w:t>) and retained the resulting securities in its investment securities portfolio. In similar transactions for the three months and six months ended June 30, 2014, the Company securitized $46 million and $75 million, respectively, of one-to-four family residential real estate loans. Gains associated with those transactions were not significant.</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June 30, 2015 and December 31, 2014, the carrying values of the loans in the securitization trust were $88 million and $98 million, respectively. The outstanding principal amount of mortgage-backed securities issued by the qualified special purpose trust that was held by parties unrelated to M&amp;T at June 30, 2015 and December 31, 2014 was $14 million and $15 million, respectively. Because the transaction was non-recourse, the Company’s maximum exposure to loss as a result of its association with the trust at June 30, 2015 is limited to realizing the carrying value of the loans less the amount of the mortgage-backed securities held by third parties.</w:t>
      </w:r>
    </w:p>
    <w:p>
      <w:pPr>
        <w:spacing w:after="0" w:line="16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 xml:space="preserve">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June 30, 2015 and December 31, 2014, the Company included the junior subordinated debentures as “long-term borrowings” in its consolidated balance sheet. The Company has recognized $24 million and $34 million, respectively, in other assets for its </w:t>
      </w:r>
      <w:r>
        <w:rPr>
          <w:rFonts w:ascii="Arial" w:cs="Arial" w:eastAsia="Arial" w:hAnsi="Arial"/>
          <w:sz w:val="17"/>
          <w:szCs w:val="17"/>
          <w:b w:val="1"/>
          <w:bCs w:val="1"/>
          <w:color w:val="auto"/>
        </w:rPr>
        <w:t>“</w:t>
      </w:r>
      <w:r>
        <w:rPr>
          <w:rFonts w:ascii="Arial" w:cs="Arial" w:eastAsia="Arial" w:hAnsi="Arial"/>
          <w:sz w:val="17"/>
          <w:szCs w:val="17"/>
          <w:color w:val="auto"/>
        </w:rPr>
        <w:t>investment</w:t>
      </w:r>
      <w:r>
        <w:rPr>
          <w:rFonts w:ascii="Arial" w:cs="Arial" w:eastAsia="Arial" w:hAnsi="Arial"/>
          <w:sz w:val="17"/>
          <w:szCs w:val="17"/>
          <w:b w:val="1"/>
          <w:bCs w:val="1"/>
          <w:color w:val="auto"/>
        </w:rPr>
        <w:t>”</w:t>
      </w:r>
      <w:r>
        <w:rPr>
          <w:rFonts w:ascii="Arial" w:cs="Arial" w:eastAsia="Arial" w:hAnsi="Arial"/>
          <w:sz w:val="17"/>
          <w:szCs w:val="17"/>
          <w:color w:val="auto"/>
        </w:rPr>
        <w:t xml:space="preserve"> in the common securities of the trusts that will be concomitantly repaid to M&amp;T by the respective trust from the proceeds of M&amp;T’s repayment of the junior subordinated debentures associated with Capital Securities described in note 5.</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has invested as a limited partner in various partnerships that collectively had total assets of approximately $1.2 billion at June 30, 2015 and December 31, 2014.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on its investments in such partnerships was $295 million, including $76 million of unfunded commitments, at June 30, 2015 and $243 million, including $56 million of unfunded commitments, at December 31, 2014. Contingent commitments to provide additional capital contributions to these partnerships were not material at June 30, 2015. The Company has not provided financial or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support to the partnerships that was not contractually required. Management currently estimates that no material losses are probable as a result of the Company’s involvement with such entities. The Company, in its position as a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As described in note 1, effective January 1, 2015 the Company retrospectively adopted for all periods presented amended accounting guidance on the accounting for investments in qualified affordable housing projects whereby the Company’s investment cost is amortized to income taxes in the consolidated statement of income as tax credits and other tax benefits resulting from deductible losses associated with the projects are received. The Company amortized $11 million and $21 million of its investments in qualified affordable housing projects to income tax expense during the three months and six months ended June 30, 2015, respectively, and recognized $15 million and $29 million of tax credits and other tax benefits during those respective periods. Similarly, for the three months and six months ended June 30, 2014, the Company amortized $14 million and $26 million, respectively, of its investments in qualified affordable housing projects to income tax expense, and recognized $18 million and $35 million of tax credits and other tax benefits during those respective periods.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June 30, 2015.</w:t>
      </w:r>
    </w:p>
    <w:p>
      <w:pPr>
        <w:spacing w:after="0" w:line="170"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87"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color w:val="auto"/>
        </w:rPr>
      </w:pPr>
    </w:p>
    <w:p>
      <w:pPr>
        <w:ind w:left="900" w:right="440" w:hanging="325"/>
        <w:spacing w:after="0" w:line="34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color w:val="auto"/>
        </w:rPr>
      </w:pPr>
    </w:p>
    <w:p>
      <w:pPr>
        <w:ind w:left="900" w:right="100" w:hanging="325"/>
        <w:spacing w:after="0" w:line="308"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4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and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June 30, 2015 and December 31, 2014.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10%, with a weighted-average of 7%, was used. Significant unobservable inputs used in the determination of estimated fair value of collateralized debt obligations are included in the accompanying table of significant unobservable inputs to Level 3 measurements. At June 30, 2015, the total amortized cost and fair value of securities backed by trust preferred securities issued by financial institutions and other entities were $28 million and $50 million, respectively, and at December 31, 2014 were $30 million and $50 million, respectively. Securities backed by trust preferred securities issued by financial institutions and other entities constituted substantially all of the available-for-sale investment securities classified as Level 3 valuations.</w:t>
      </w:r>
    </w:p>
    <w:p>
      <w:pPr>
        <w:spacing w:after="0" w:line="18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Level 3 fair value measurements. Internal pricing models used for significant valuation measurements have generally been subjected to validation procedures including review of mathematical constructs, valuation methodology and significant assumptions used.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 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assets and liabilities at June 30, 2015 and December 31, 2014 measured at estimated fair value on a recurring basis: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9"/>
              </w:rPr>
              <w:t>June 30,</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color w:val="auto"/>
                <w:w w:val="89"/>
              </w:rPr>
              <w:t>2015</w:t>
            </w:r>
          </w:p>
        </w:tc>
        <w:tc>
          <w:tcPr>
            <w:tcW w:w="4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Level 1 (a)</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4"/>
          </w:tcPr>
          <w:p>
            <w:pPr>
              <w:jc w:val="right"/>
              <w:ind w:right="116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277,009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49,052</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227,957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198,718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198,718</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7,504</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7,504</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10,771,892</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10,771,892</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50,483</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121,954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121,954</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100,238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75,427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24,811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11,250,877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75,427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11,124,879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50,571</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0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798,404</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798,404</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91,051</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78,296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920" w:type="dxa"/>
            <w:vAlign w:val="bottom"/>
            <w:gridSpan w:val="2"/>
          </w:tcPr>
          <w:p>
            <w:pPr>
              <w:ind w:left="18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12,417,341</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124,479</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12,229,536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63,326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3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172,496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172,496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liabilities (b)</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4,074</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2,525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176,570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175,021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920" w:type="dxa"/>
            <w:vAlign w:val="bottom"/>
            <w:gridSpan w:val="2"/>
          </w:tcPr>
          <w:p>
            <w:pPr>
              <w:ind w:left="680"/>
              <w:spacing w:after="0"/>
              <w:rPr>
                <w:sz w:val="20"/>
                <w:szCs w:val="20"/>
                <w:color w:val="auto"/>
              </w:rPr>
            </w:pPr>
            <w:r>
              <w:rPr>
                <w:rFonts w:ascii="Arial" w:cs="Arial" w:eastAsia="Arial" w:hAnsi="Arial"/>
                <w:sz w:val="18"/>
                <w:szCs w:val="18"/>
                <w:color w:val="auto"/>
              </w:rPr>
              <w:t>–40–</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Fair value</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December 31,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2"/>
              <w:spacing w:after="0"/>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Level 1 (a)</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308,175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51,416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256,759</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161,947</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161,947</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8,198</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8,198</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8,731,123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8,731,123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50,316</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121,488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121,488</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83,757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64,841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18,916</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9,156,932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64,841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9,041,672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50,419</w:t>
            </w: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742,249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742,249</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92,129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74,733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10,299,485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116,257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10,115,413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67,815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203,464</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203,464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liabilities (b)</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8,596</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8,547</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212,060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right="240" w:hanging="572"/>
        <w:spacing w:after="0" w:line="258" w:lineRule="auto"/>
        <w:tabs>
          <w:tab w:leader="none" w:pos="5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six months ended June 30, 2015 and the year ended December 31, 2014.</w:t>
      </w:r>
    </w:p>
    <w:p>
      <w:pPr>
        <w:spacing w:after="0" w:line="1" w:lineRule="exact"/>
        <w:rPr>
          <w:rFonts w:ascii="Arial" w:cs="Arial" w:eastAsia="Arial" w:hAnsi="Arial"/>
          <w:sz w:val="18"/>
          <w:szCs w:val="18"/>
          <w:i w:val="1"/>
          <w:iCs w:val="1"/>
          <w:color w:val="auto"/>
        </w:rPr>
      </w:pPr>
    </w:p>
    <w:p>
      <w:pPr>
        <w:ind w:left="580" w:right="320" w:hanging="572"/>
        <w:spacing w:after="0" w:line="261" w:lineRule="auto"/>
        <w:tabs>
          <w:tab w:leader="none" w:pos="5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2015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gridSpan w:val="6"/>
          </w:tcPr>
          <w:p>
            <w:pPr>
              <w:jc w:val="right"/>
              <w:ind w:right="1060"/>
              <w:spacing w:after="0"/>
              <w:rPr>
                <w:sz w:val="20"/>
                <w:szCs w:val="20"/>
                <w:color w:val="auto"/>
              </w:rPr>
            </w:pPr>
            <w:r>
              <w:rPr>
                <w:rFonts w:ascii="Arial" w:cs="Arial" w:eastAsia="Arial" w:hAnsi="Arial"/>
                <w:sz w:val="14"/>
                <w:szCs w:val="14"/>
                <w:color w:val="auto"/>
                <w:w w:val="98"/>
              </w:rPr>
              <w:t>Investment securities available for sale</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440"/>
              <w:spacing w:after="0" w:line="123" w:lineRule="exact"/>
              <w:rPr>
                <w:sz w:val="20"/>
                <w:szCs w:val="20"/>
                <w:color w:val="auto"/>
              </w:rPr>
            </w:pPr>
            <w:r>
              <w:rPr>
                <w:rFonts w:ascii="Arial" w:cs="Arial" w:eastAsia="Arial" w:hAnsi="Arial"/>
                <w:sz w:val="14"/>
                <w:szCs w:val="14"/>
                <w:color w:val="auto"/>
                <w:w w:val="91"/>
              </w:rPr>
              <w:t>Privately issued</w:t>
            </w:r>
          </w:p>
        </w:tc>
        <w:tc>
          <w:tcPr>
            <w:tcW w:w="3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8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w w:val="95"/>
              </w:rPr>
              <w:t>mortgage-backed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87"/>
              </w:rPr>
              <w:t>debt</w:t>
            </w: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color w:val="auto"/>
              </w:rPr>
              <w:t>securities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940"/>
              <w:spacing w:after="0"/>
              <w:rPr>
                <w:sz w:val="20"/>
                <w:szCs w:val="20"/>
                <w:color w:val="auto"/>
              </w:rPr>
            </w:pPr>
            <w:r>
              <w:rPr>
                <w:rFonts w:ascii="Arial" w:cs="Arial" w:eastAsia="Arial" w:hAnsi="Arial"/>
                <w:sz w:val="14"/>
                <w:szCs w:val="14"/>
                <w:color w:val="auto"/>
                <w:w w:val="95"/>
              </w:rPr>
              <w:t>obligations</w:t>
            </w: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100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47,278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26,230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gains realized/unrealized: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16,132(a)</w:t>
            </w: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7,629(d)</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Settlements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(4,424)</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(b)</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(31,156)(c)</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Balance – June 30, 2015</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50,483</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7"/>
              </w:rPr>
              <w:t>11,206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Changes in unrealized gains included in earnings related to</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still held at June 30, 2015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6,330(a)</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2014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gridSpan w:val="6"/>
          </w:tcPr>
          <w:p>
            <w:pPr>
              <w:ind w:left="100"/>
              <w:spacing w:after="0"/>
              <w:rPr>
                <w:sz w:val="20"/>
                <w:szCs w:val="20"/>
                <w:color w:val="auto"/>
              </w:rPr>
            </w:pPr>
            <w:r>
              <w:rPr>
                <w:rFonts w:ascii="Arial" w:cs="Arial" w:eastAsia="Arial" w:hAnsi="Arial"/>
                <w:sz w:val="14"/>
                <w:szCs w:val="14"/>
                <w:color w:val="auto"/>
              </w:rPr>
              <w:t>Investment securities available for sale</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20" w:type="dxa"/>
            <w:vAlign w:val="bottom"/>
            <w:tcBorders>
              <w:top w:val="single" w:sz="8" w:color="auto"/>
            </w:tcBorders>
            <w:gridSpan w:val="3"/>
          </w:tcPr>
          <w:p>
            <w:pPr>
              <w:jc w:val="center"/>
              <w:ind w:right="480"/>
              <w:spacing w:after="0" w:line="123" w:lineRule="exact"/>
              <w:rPr>
                <w:sz w:val="20"/>
                <w:szCs w:val="20"/>
                <w:color w:val="auto"/>
              </w:rPr>
            </w:pPr>
            <w:r>
              <w:rPr>
                <w:rFonts w:ascii="Arial" w:cs="Arial" w:eastAsia="Arial" w:hAnsi="Arial"/>
                <w:sz w:val="14"/>
                <w:szCs w:val="14"/>
                <w:color w:val="auto"/>
                <w:w w:val="93"/>
              </w:rPr>
              <w:t>Privately issued</w:t>
            </w:r>
          </w:p>
        </w:tc>
        <w:tc>
          <w:tcPr>
            <w:tcW w:w="4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6"/>
              </w:rPr>
              <w:t>Collateralized</w:t>
            </w:r>
          </w:p>
        </w:tc>
        <w:tc>
          <w:tcPr>
            <w:tcW w:w="8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1"/>
              </w:rPr>
              <w:t>mortgage-backed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980"/>
              <w:spacing w:after="0" w:line="149" w:lineRule="exact"/>
              <w:rPr>
                <w:sz w:val="20"/>
                <w:szCs w:val="20"/>
                <w:color w:val="auto"/>
              </w:rPr>
            </w:pPr>
            <w:r>
              <w:rPr>
                <w:rFonts w:ascii="Arial" w:cs="Arial" w:eastAsia="Arial" w:hAnsi="Arial"/>
                <w:sz w:val="14"/>
                <w:szCs w:val="14"/>
                <w:color w:val="auto"/>
                <w:w w:val="95"/>
              </w:rPr>
              <w:t>debt</w:t>
            </w: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color w:val="auto"/>
                <w:w w:val="91"/>
              </w:rPr>
              <w:t>securities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960"/>
              <w:spacing w:after="0"/>
              <w:rPr>
                <w:sz w:val="20"/>
                <w:szCs w:val="20"/>
                <w:color w:val="auto"/>
              </w:rPr>
            </w:pPr>
            <w:r>
              <w:rPr>
                <w:rFonts w:ascii="Arial" w:cs="Arial" w:eastAsia="Arial" w:hAnsi="Arial"/>
                <w:sz w:val="14"/>
                <w:szCs w:val="14"/>
                <w:color w:val="auto"/>
                <w:w w:val="95"/>
              </w:rPr>
              <w:t>obligations</w:t>
            </w: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tcPr>
          <w:p>
            <w:pPr>
              <w:jc w:val="right"/>
              <w:ind w:right="108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61,768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Total gains realized/unrealized: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31,517(a)</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205(d)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4,486(d)</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Settlements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(782)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(10,054)</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(b)</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(22,083)(c)</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Balance – June 30, 2014</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119</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56,200</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7"/>
              </w:rPr>
              <w:t>22,023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Changes in unrealized gains included in earnings related</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assets still held at June 30, 2014</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20,215(a)</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2015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6"/>
          </w:tcPr>
          <w:p>
            <w:pPr>
              <w:jc w:val="right"/>
              <w:ind w:right="920"/>
              <w:spacing w:after="0"/>
              <w:rPr>
                <w:sz w:val="20"/>
                <w:szCs w:val="20"/>
                <w:color w:val="auto"/>
              </w:rPr>
            </w:pPr>
            <w:r>
              <w:rPr>
                <w:rFonts w:ascii="Arial" w:cs="Arial" w:eastAsia="Arial" w:hAnsi="Arial"/>
                <w:sz w:val="14"/>
                <w:szCs w:val="14"/>
                <w:color w:val="auto"/>
                <w:w w:val="96"/>
              </w:rPr>
              <w:t>Investment securities available for sale</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380"/>
              <w:spacing w:after="0" w:line="123" w:lineRule="exact"/>
              <w:rPr>
                <w:sz w:val="20"/>
                <w:szCs w:val="20"/>
                <w:color w:val="auto"/>
              </w:rPr>
            </w:pPr>
            <w:r>
              <w:rPr>
                <w:rFonts w:ascii="Arial" w:cs="Arial" w:eastAsia="Arial" w:hAnsi="Arial"/>
                <w:sz w:val="14"/>
                <w:szCs w:val="14"/>
                <w:color w:val="auto"/>
                <w:w w:val="93"/>
              </w:rPr>
              <w:t>Privately issued</w:t>
            </w: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7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mortgage-backed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5"/>
              </w:rPr>
              <w:t>debt</w:t>
            </w: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securities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820"/>
              <w:spacing w:after="0"/>
              <w:rPr>
                <w:sz w:val="20"/>
                <w:szCs w:val="20"/>
                <w:color w:val="auto"/>
              </w:rPr>
            </w:pPr>
            <w:r>
              <w:rPr>
                <w:rFonts w:ascii="Arial" w:cs="Arial" w:eastAsia="Arial" w:hAnsi="Arial"/>
                <w:sz w:val="14"/>
                <w:szCs w:val="14"/>
                <w:color w:val="auto"/>
                <w:w w:val="95"/>
              </w:rPr>
              <w:t>obligations</w:t>
            </w: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103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50,316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17,347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 gains realized/unrealized: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45,902(a)</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5,625(d)</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Transfers in and/or out of Level 3 (b)</w:t>
            </w:r>
          </w:p>
        </w:tc>
        <w:tc>
          <w:tcPr>
            <w:tcW w:w="10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5"/>
              </w:rPr>
              <w:t>(52,043)(c)</w:t>
            </w:r>
          </w:p>
        </w:tc>
        <w:tc>
          <w:tcPr>
            <w:tcW w:w="0" w:type="dxa"/>
            <w:vAlign w:val="bottom"/>
          </w:tcPr>
          <w:p>
            <w:pPr>
              <w:spacing w:after="0"/>
              <w:rPr>
                <w:sz w:val="1"/>
                <w:szCs w:val="1"/>
                <w:color w:val="auto"/>
              </w:rPr>
            </w:pPr>
          </w:p>
        </w:tc>
      </w:tr>
      <w:tr>
        <w:trPr>
          <w:trHeight w:val="75"/>
        </w:trPr>
        <w:tc>
          <w:tcPr>
            <w:tcW w:w="5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50,483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w w:val="97"/>
              </w:rPr>
              <w:t>Changes in unrealized gains included in earnings related to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still held at June 30,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8,763(a)</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4620"/>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2014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14"/>
                <w:szCs w:val="14"/>
                <w:color w:val="auto"/>
                <w:w w:val="94"/>
              </w:rPr>
              <w:t>Investment securities available for sale</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180" w:type="dxa"/>
            <w:vAlign w:val="bottom"/>
          </w:tcPr>
          <w:p>
            <w:pPr>
              <w:spacing w:after="0"/>
              <w:rPr>
                <w:sz w:val="10"/>
                <w:szCs w:val="10"/>
                <w:color w:val="auto"/>
              </w:rPr>
            </w:pPr>
          </w:p>
        </w:tc>
        <w:tc>
          <w:tcPr>
            <w:tcW w:w="1440" w:type="dxa"/>
            <w:vAlign w:val="bottom"/>
            <w:tcBorders>
              <w:top w:val="single" w:sz="8" w:color="auto"/>
            </w:tcBorders>
            <w:gridSpan w:val="3"/>
          </w:tcPr>
          <w:p>
            <w:pPr>
              <w:ind w:left="60"/>
              <w:spacing w:after="0" w:line="123" w:lineRule="exact"/>
              <w:rPr>
                <w:sz w:val="20"/>
                <w:szCs w:val="20"/>
                <w:color w:val="auto"/>
              </w:rPr>
            </w:pPr>
            <w:r>
              <w:rPr>
                <w:rFonts w:ascii="Arial" w:cs="Arial" w:eastAsia="Arial" w:hAnsi="Arial"/>
                <w:sz w:val="14"/>
                <w:szCs w:val="14"/>
                <w:color w:val="auto"/>
              </w:rPr>
              <w:t>Privately issued</w:t>
            </w: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7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87"/>
              </w:rPr>
              <w:t>debt</w:t>
            </w: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securities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20"/>
              <w:spacing w:after="0"/>
              <w:rPr>
                <w:sz w:val="20"/>
                <w:szCs w:val="20"/>
                <w:color w:val="auto"/>
              </w:rPr>
            </w:pPr>
            <w:r>
              <w:rPr>
                <w:rFonts w:ascii="Arial" w:cs="Arial" w:eastAsia="Arial" w:hAnsi="Arial"/>
                <w:sz w:val="14"/>
                <w:szCs w:val="14"/>
                <w:color w:val="auto"/>
                <w:w w:val="95"/>
              </w:rPr>
              <w:t>obligations</w:t>
            </w: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63,083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gains realized/unrealized: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53,900(a)</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272(d)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9,132(d)</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(16,015)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Transfers in and/or out of Level 3 (b)</w:t>
            </w:r>
          </w:p>
        </w:tc>
        <w:tc>
          <w:tcPr>
            <w:tcW w:w="140" w:type="dxa"/>
            <w:vAlign w:val="bottom"/>
          </w:tcPr>
          <w:p>
            <w:pPr>
              <w:spacing w:after="0"/>
              <w:rPr>
                <w:sz w:val="18"/>
                <w:szCs w:val="18"/>
                <w:color w:val="auto"/>
              </w:rPr>
            </w:pP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(35,818)(c)</w:t>
            </w:r>
          </w:p>
        </w:tc>
        <w:tc>
          <w:tcPr>
            <w:tcW w:w="0" w:type="dxa"/>
            <w:vAlign w:val="bottom"/>
          </w:tcPr>
          <w:p>
            <w:pPr>
              <w:spacing w:after="0"/>
              <w:rPr>
                <w:sz w:val="1"/>
                <w:szCs w:val="1"/>
                <w:color w:val="auto"/>
              </w:rPr>
            </w:pPr>
          </w:p>
        </w:tc>
      </w:tr>
      <w:tr>
        <w:trPr>
          <w:trHeight w:val="75"/>
        </w:trPr>
        <w:tc>
          <w:tcPr>
            <w:tcW w:w="5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56,200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22,023</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 related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assets still held at June 30, 2014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24,099(a)</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46" w:lineRule="exact"/>
        <w:rPr>
          <w:rFonts w:ascii="Arial" w:cs="Arial" w:eastAsia="Arial" w:hAnsi="Arial"/>
          <w:sz w:val="16"/>
          <w:szCs w:val="16"/>
          <w:i w:val="1"/>
          <w:iCs w:val="1"/>
          <w:color w:val="auto"/>
        </w:rPr>
      </w:pPr>
    </w:p>
    <w:p>
      <w:pPr>
        <w:ind w:left="580" w:right="80" w:hanging="572"/>
        <w:spacing w:after="0" w:line="250" w:lineRule="auto"/>
        <w:tabs>
          <w:tab w:leader="none" w:pos="58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580" w:hanging="572"/>
        <w:spacing w:after="0"/>
        <w:tabs>
          <w:tab w:leader="none" w:pos="58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580" w:hanging="572"/>
        <w:spacing w:after="0"/>
        <w:tabs>
          <w:tab w:leader="none" w:pos="58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(losses) on investment securities in the consolidated statement of comprehensive income.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90% at June 30, 2015. As these discounts are not readily observable and are considered significant, the valuations have been classified as Level 3. Loans subject to nonrecurring fair value measurement were $147 million at June 30, 2015 ($89 million and $58 million of which were classified as Level 2 and Level 3, respectively), $173 million at December 31, 2014 ($94 million and $79 million of which were classified as Level 2 and Level 3, respectively) and $212 million at June 30, 2014 ($129 million and $83 million of which were classified as Level 2 and Level 3, respectively). Changes in fair value recognized for partial charge-offs of loans and loan impairment reserves on loans held by the Company on June 30, 2015 were decreases of $34 million and $42 million for the three- and six-month periods ended June 30, 2015, respectively. Changes in fair value recognized for partial charge-offs of loans and loan impairment reserves on loans held by the Company on June 30, 2014 were decreases of $32 million and $47 million for the three- and six-month periods ended June 30, 2014,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$13 million and $15 million at June 30, 2015 and 2014, respectively. Changes in fair value recognized for those foreclosed assets held by the Company were not material during the three-month and six-month periods ended June 30, 2015 and 2014.</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in the fair value measurements for Level 3 assets and liabilities at June 30, 2015 and December 31,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60" w:type="dxa"/>
            <w:vAlign w:val="bottom"/>
            <w:gridSpan w:val="2"/>
          </w:tcPr>
          <w:p>
            <w:pPr>
              <w:jc w:val="center"/>
              <w:ind w:left="118"/>
              <w:spacing w:after="0"/>
              <w:rPr>
                <w:sz w:val="20"/>
                <w:szCs w:val="20"/>
                <w:color w:val="auto"/>
              </w:rPr>
            </w:pPr>
            <w:r>
              <w:rPr>
                <w:rFonts w:ascii="Arial" w:cs="Arial" w:eastAsia="Arial" w:hAnsi="Arial"/>
                <w:sz w:val="14"/>
                <w:szCs w:val="14"/>
                <w:color w:val="auto"/>
                <w:w w:val="87"/>
              </w:rPr>
              <w:t>Range</w:t>
            </w: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3"/>
              </w:rPr>
              <w:t>Fair value at</w:t>
            </w:r>
          </w:p>
        </w:tc>
        <w:tc>
          <w:tcPr>
            <w:tcW w:w="320" w:type="dxa"/>
            <w:vAlign w:val="bottom"/>
          </w:tcPr>
          <w:p>
            <w:pPr>
              <w:spacing w:after="0"/>
              <w:rPr>
                <w:sz w:val="12"/>
                <w:szCs w:val="12"/>
                <w:color w:val="auto"/>
              </w:rPr>
            </w:pPr>
          </w:p>
        </w:tc>
        <w:tc>
          <w:tcPr>
            <w:tcW w:w="1180" w:type="dxa"/>
            <w:vAlign w:val="bottom"/>
          </w:tcPr>
          <w:p>
            <w:pPr>
              <w:ind w:left="180"/>
              <w:spacing w:after="0" w:line="149" w:lineRule="exact"/>
              <w:rPr>
                <w:sz w:val="20"/>
                <w:szCs w:val="20"/>
                <w:color w:val="auto"/>
              </w:rPr>
            </w:pPr>
            <w:r>
              <w:rPr>
                <w:rFonts w:ascii="Arial" w:cs="Arial" w:eastAsia="Arial" w:hAnsi="Arial"/>
                <w:sz w:val="14"/>
                <w:szCs w:val="14"/>
                <w:color w:val="auto"/>
              </w:rPr>
              <w:t>Valuation</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Unobservable</w:t>
            </w:r>
          </w:p>
        </w:tc>
        <w:tc>
          <w:tcPr>
            <w:tcW w:w="1760" w:type="dxa"/>
            <w:vAlign w:val="bottom"/>
            <w:gridSpan w:val="2"/>
          </w:tcPr>
          <w:p>
            <w:pPr>
              <w:jc w:val="center"/>
              <w:ind w:left="138"/>
              <w:spacing w:after="0" w:line="149" w:lineRule="exact"/>
              <w:rPr>
                <w:sz w:val="20"/>
                <w:szCs w:val="20"/>
                <w:color w:val="auto"/>
              </w:rPr>
            </w:pPr>
            <w:r>
              <w:rPr>
                <w:rFonts w:ascii="Arial" w:cs="Arial" w:eastAsia="Arial" w:hAnsi="Arial"/>
                <w:sz w:val="14"/>
                <w:szCs w:val="14"/>
                <w:color w:val="auto"/>
                <w:w w:val="94"/>
              </w:rPr>
              <w:t>(weighted-</w:t>
            </w: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color w:val="auto"/>
                <w:w w:val="90"/>
              </w:rPr>
              <w:t>June 30, 2015</w:t>
            </w:r>
          </w:p>
        </w:tc>
        <w:tc>
          <w:tcPr>
            <w:tcW w:w="32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technique</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input/assumptions</w:t>
            </w:r>
          </w:p>
        </w:tc>
        <w:tc>
          <w:tcPr>
            <w:tcW w:w="1760" w:type="dxa"/>
            <w:vAlign w:val="bottom"/>
            <w:gridSpan w:val="2"/>
          </w:tcPr>
          <w:p>
            <w:pPr>
              <w:jc w:val="center"/>
              <w:ind w:left="138"/>
              <w:spacing w:after="0"/>
              <w:rPr>
                <w:sz w:val="20"/>
                <w:szCs w:val="20"/>
                <w:color w:val="auto"/>
              </w:rPr>
            </w:pPr>
            <w:r>
              <w:rPr>
                <w:rFonts w:ascii="Arial" w:cs="Arial" w:eastAsia="Arial" w:hAnsi="Arial"/>
                <w:sz w:val="14"/>
                <w:szCs w:val="14"/>
                <w:color w:val="auto"/>
                <w:w w:val="90"/>
              </w:rPr>
              <w:t>average)</w:t>
            </w: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9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460" w:type="dxa"/>
            <w:vAlign w:val="bottom"/>
            <w:gridSpan w:val="4"/>
          </w:tcPr>
          <w:p>
            <w:pPr>
              <w:spacing w:after="0" w:line="201" w:lineRule="exact"/>
              <w:rPr>
                <w:sz w:val="20"/>
                <w:szCs w:val="20"/>
                <w:color w:val="auto"/>
              </w:rPr>
            </w:pPr>
            <w:r>
              <w:rPr>
                <w:rFonts w:ascii="Arial" w:cs="Arial" w:eastAsia="Arial" w:hAnsi="Arial"/>
                <w:sz w:val="18"/>
                <w:szCs w:val="18"/>
                <w:color w:val="auto"/>
              </w:rPr>
              <w:t>Privately issued mortgage–backed securities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Two</w:t>
            </w:r>
          </w:p>
        </w:tc>
        <w:tc>
          <w:tcPr>
            <w:tcW w:w="1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independent</w:t>
            </w: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pricing</w:t>
            </w: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80" w:type="dxa"/>
            <w:vAlign w:val="bottom"/>
            <w:gridSpan w:val="5"/>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quotes</w:t>
            </w:r>
          </w:p>
        </w:tc>
        <w:tc>
          <w:tcPr>
            <w:tcW w:w="1700" w:type="dxa"/>
            <w:vAlign w:val="bottom"/>
          </w:tcPr>
          <w:p>
            <w:pPr>
              <w:ind w:left="10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14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Discounted</w:t>
            </w:r>
          </w:p>
        </w:tc>
        <w:tc>
          <w:tcPr>
            <w:tcW w:w="1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Probability</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50,483</w:t>
            </w: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flow</w:t>
            </w:r>
          </w:p>
        </w:tc>
        <w:tc>
          <w:tcPr>
            <w:tcW w:w="1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default</w:t>
            </w:r>
          </w:p>
        </w:tc>
        <w:tc>
          <w:tcPr>
            <w:tcW w:w="1660" w:type="dxa"/>
            <w:vAlign w:val="bottom"/>
            <w:shd w:val="clear" w:color="auto" w:fill="CCEEFF"/>
          </w:tcPr>
          <w:p>
            <w:pPr>
              <w:jc w:val="center"/>
              <w:ind w:left="278"/>
              <w:spacing w:after="0"/>
              <w:rPr>
                <w:sz w:val="20"/>
                <w:szCs w:val="20"/>
                <w:color w:val="auto"/>
              </w:rPr>
            </w:pPr>
            <w:r>
              <w:rPr>
                <w:rFonts w:ascii="Arial" w:cs="Arial" w:eastAsia="Arial" w:hAnsi="Arial"/>
                <w:sz w:val="18"/>
                <w:szCs w:val="18"/>
                <w:color w:val="auto"/>
                <w:w w:val="93"/>
              </w:rPr>
              <w:t>12%-57% (37%)</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severity</w:t>
            </w:r>
          </w:p>
        </w:tc>
        <w:tc>
          <w:tcPr>
            <w:tcW w:w="1660" w:type="dxa"/>
            <w:vAlign w:val="bottom"/>
            <w:shd w:val="clear" w:color="auto" w:fill="CCEEFF"/>
          </w:tcPr>
          <w:p>
            <w:pPr>
              <w:jc w:val="center"/>
              <w:ind w:left="278"/>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Net other assets (liabilities) (a)</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Discounted</w:t>
            </w:r>
          </w:p>
        </w:tc>
        <w:tc>
          <w:tcPr>
            <w:tcW w:w="1700" w:type="dxa"/>
            <w:vAlign w:val="bottom"/>
          </w:tcPr>
          <w:p>
            <w:pPr>
              <w:ind w:left="340"/>
              <w:spacing w:after="0" w:line="201" w:lineRule="exact"/>
              <w:rPr>
                <w:sz w:val="20"/>
                <w:szCs w:val="20"/>
                <w:color w:val="auto"/>
              </w:rPr>
            </w:pPr>
            <w:r>
              <w:rPr>
                <w:rFonts w:ascii="Arial" w:cs="Arial" w:eastAsia="Arial" w:hAnsi="Arial"/>
                <w:sz w:val="18"/>
                <w:szCs w:val="18"/>
                <w:color w:val="auto"/>
              </w:rPr>
              <w:t>Commitment</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11,206</w:t>
            </w: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cash flow</w:t>
            </w:r>
          </w:p>
        </w:tc>
        <w:tc>
          <w:tcPr>
            <w:tcW w:w="1700" w:type="dxa"/>
            <w:vAlign w:val="bottom"/>
          </w:tcPr>
          <w:p>
            <w:pPr>
              <w:ind w:left="340"/>
              <w:spacing w:after="0"/>
              <w:rPr>
                <w:sz w:val="20"/>
                <w:szCs w:val="20"/>
                <w:color w:val="auto"/>
              </w:rPr>
            </w:pPr>
            <w:r>
              <w:rPr>
                <w:rFonts w:ascii="Arial" w:cs="Arial" w:eastAsia="Arial" w:hAnsi="Arial"/>
                <w:sz w:val="18"/>
                <w:szCs w:val="18"/>
                <w:color w:val="auto"/>
              </w:rPr>
              <w:t>expirations</w:t>
            </w:r>
          </w:p>
        </w:tc>
        <w:tc>
          <w:tcPr>
            <w:tcW w:w="1660" w:type="dxa"/>
            <w:vAlign w:val="bottom"/>
          </w:tcPr>
          <w:p>
            <w:pPr>
              <w:jc w:val="center"/>
              <w:ind w:left="278"/>
              <w:spacing w:after="0"/>
              <w:rPr>
                <w:sz w:val="20"/>
                <w:szCs w:val="20"/>
                <w:color w:val="auto"/>
              </w:rPr>
            </w:pPr>
            <w:r>
              <w:rPr>
                <w:rFonts w:ascii="Arial" w:cs="Arial" w:eastAsia="Arial" w:hAnsi="Arial"/>
                <w:sz w:val="18"/>
                <w:szCs w:val="18"/>
                <w:color w:val="auto"/>
                <w:w w:val="94"/>
              </w:rPr>
              <w:t>0%-95% (24%)</w:t>
            </w:r>
          </w:p>
        </w:tc>
        <w:tc>
          <w:tcPr>
            <w:tcW w:w="100" w:type="dxa"/>
            <w:vAlign w:val="bottom"/>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color w:val="auto"/>
                <w:w w:val="93"/>
              </w:rPr>
              <w:t>Fair value at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60" w:type="dxa"/>
            <w:vAlign w:val="bottom"/>
            <w:gridSpan w:val="2"/>
          </w:tcPr>
          <w:p>
            <w:pPr>
              <w:jc w:val="center"/>
              <w:ind w:left="118"/>
              <w:spacing w:after="0"/>
              <w:rPr>
                <w:sz w:val="20"/>
                <w:szCs w:val="20"/>
                <w:color w:val="auto"/>
              </w:rPr>
            </w:pPr>
            <w:r>
              <w:rPr>
                <w:rFonts w:ascii="Arial" w:cs="Arial" w:eastAsia="Arial" w:hAnsi="Arial"/>
                <w:sz w:val="14"/>
                <w:szCs w:val="14"/>
                <w:color w:val="auto"/>
                <w:w w:val="87"/>
              </w:rPr>
              <w:t>Range</w:t>
            </w: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0"/>
              </w:rPr>
              <w:t>December 31,</w:t>
            </w:r>
          </w:p>
        </w:tc>
        <w:tc>
          <w:tcPr>
            <w:tcW w:w="320" w:type="dxa"/>
            <w:vAlign w:val="bottom"/>
          </w:tcPr>
          <w:p>
            <w:pPr>
              <w:spacing w:after="0"/>
              <w:rPr>
                <w:sz w:val="12"/>
                <w:szCs w:val="12"/>
                <w:color w:val="auto"/>
              </w:rPr>
            </w:pPr>
          </w:p>
        </w:tc>
        <w:tc>
          <w:tcPr>
            <w:tcW w:w="1180" w:type="dxa"/>
            <w:vAlign w:val="bottom"/>
          </w:tcPr>
          <w:p>
            <w:pPr>
              <w:ind w:left="180"/>
              <w:spacing w:after="0" w:line="149" w:lineRule="exact"/>
              <w:rPr>
                <w:sz w:val="20"/>
                <w:szCs w:val="20"/>
                <w:color w:val="auto"/>
              </w:rPr>
            </w:pPr>
            <w:r>
              <w:rPr>
                <w:rFonts w:ascii="Arial" w:cs="Arial" w:eastAsia="Arial" w:hAnsi="Arial"/>
                <w:sz w:val="14"/>
                <w:szCs w:val="14"/>
                <w:color w:val="auto"/>
              </w:rPr>
              <w:t>Valuation</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Unobservable</w:t>
            </w:r>
          </w:p>
        </w:tc>
        <w:tc>
          <w:tcPr>
            <w:tcW w:w="1760" w:type="dxa"/>
            <w:vAlign w:val="bottom"/>
            <w:gridSpan w:val="2"/>
          </w:tcPr>
          <w:p>
            <w:pPr>
              <w:jc w:val="center"/>
              <w:ind w:left="138"/>
              <w:spacing w:after="0" w:line="149" w:lineRule="exact"/>
              <w:rPr>
                <w:sz w:val="20"/>
                <w:szCs w:val="20"/>
                <w:color w:val="auto"/>
              </w:rPr>
            </w:pPr>
            <w:r>
              <w:rPr>
                <w:rFonts w:ascii="Arial" w:cs="Arial" w:eastAsia="Arial" w:hAnsi="Arial"/>
                <w:sz w:val="14"/>
                <w:szCs w:val="14"/>
                <w:color w:val="auto"/>
                <w:w w:val="94"/>
              </w:rPr>
              <w:t>(weighted-</w:t>
            </w: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73"/>
              <w:spacing w:after="0"/>
              <w:rPr>
                <w:sz w:val="20"/>
                <w:szCs w:val="20"/>
                <w:color w:val="auto"/>
              </w:rPr>
            </w:pPr>
            <w:r>
              <w:rPr>
                <w:rFonts w:ascii="Arial" w:cs="Arial" w:eastAsia="Arial" w:hAnsi="Arial"/>
                <w:sz w:val="14"/>
                <w:szCs w:val="14"/>
                <w:color w:val="auto"/>
                <w:w w:val="89"/>
              </w:rPr>
              <w:t>2014</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technique</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input/assumptions</w:t>
            </w:r>
          </w:p>
        </w:tc>
        <w:tc>
          <w:tcPr>
            <w:tcW w:w="1760" w:type="dxa"/>
            <w:vAlign w:val="bottom"/>
            <w:gridSpan w:val="2"/>
          </w:tcPr>
          <w:p>
            <w:pPr>
              <w:jc w:val="center"/>
              <w:ind w:left="138"/>
              <w:spacing w:after="0"/>
              <w:rPr>
                <w:sz w:val="20"/>
                <w:szCs w:val="20"/>
                <w:color w:val="auto"/>
              </w:rPr>
            </w:pPr>
            <w:r>
              <w:rPr>
                <w:rFonts w:ascii="Arial" w:cs="Arial" w:eastAsia="Arial" w:hAnsi="Arial"/>
                <w:sz w:val="14"/>
                <w:szCs w:val="14"/>
                <w:color w:val="auto"/>
                <w:w w:val="90"/>
              </w:rPr>
              <w:t>average)</w:t>
            </w: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9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460" w:type="dxa"/>
            <w:vAlign w:val="bottom"/>
            <w:gridSpan w:val="4"/>
          </w:tcPr>
          <w:p>
            <w:pPr>
              <w:spacing w:after="0" w:line="201" w:lineRule="exact"/>
              <w:rPr>
                <w:sz w:val="20"/>
                <w:szCs w:val="20"/>
                <w:color w:val="auto"/>
              </w:rPr>
            </w:pPr>
            <w:r>
              <w:rPr>
                <w:rFonts w:ascii="Arial" w:cs="Arial" w:eastAsia="Arial" w:hAnsi="Arial"/>
                <w:sz w:val="18"/>
                <w:szCs w:val="18"/>
                <w:color w:val="auto"/>
              </w:rPr>
              <w:t>Privately issued mortgage–backed securities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Two</w:t>
            </w:r>
          </w:p>
        </w:tc>
        <w:tc>
          <w:tcPr>
            <w:tcW w:w="1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independent</w:t>
            </w: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pricing</w:t>
            </w: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80" w:type="dxa"/>
            <w:vAlign w:val="bottom"/>
            <w:gridSpan w:val="5"/>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quotes</w:t>
            </w:r>
          </w:p>
        </w:tc>
        <w:tc>
          <w:tcPr>
            <w:tcW w:w="1700" w:type="dxa"/>
            <w:vAlign w:val="bottom"/>
          </w:tcPr>
          <w:p>
            <w:pPr>
              <w:ind w:left="10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left="98"/>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Discounted</w:t>
            </w:r>
          </w:p>
        </w:tc>
        <w:tc>
          <w:tcPr>
            <w:tcW w:w="1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Probability</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50,316</w:t>
            </w: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flow</w:t>
            </w:r>
          </w:p>
        </w:tc>
        <w:tc>
          <w:tcPr>
            <w:tcW w:w="1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default</w:t>
            </w:r>
          </w:p>
        </w:tc>
        <w:tc>
          <w:tcPr>
            <w:tcW w:w="1660" w:type="dxa"/>
            <w:vAlign w:val="bottom"/>
            <w:shd w:val="clear" w:color="auto" w:fill="CCEEFF"/>
          </w:tcPr>
          <w:p>
            <w:pPr>
              <w:jc w:val="center"/>
              <w:ind w:left="198"/>
              <w:spacing w:after="0"/>
              <w:rPr>
                <w:sz w:val="20"/>
                <w:szCs w:val="20"/>
                <w:color w:val="auto"/>
              </w:rPr>
            </w:pPr>
            <w:r>
              <w:rPr>
                <w:rFonts w:ascii="Arial" w:cs="Arial" w:eastAsia="Arial" w:hAnsi="Arial"/>
                <w:sz w:val="18"/>
                <w:szCs w:val="18"/>
                <w:color w:val="auto"/>
                <w:w w:val="93"/>
              </w:rPr>
              <w:t>12%-57% (36%)</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severity</w:t>
            </w:r>
          </w:p>
        </w:tc>
        <w:tc>
          <w:tcPr>
            <w:tcW w:w="1660" w:type="dxa"/>
            <w:vAlign w:val="bottom"/>
            <w:shd w:val="clear" w:color="auto" w:fill="CCEEFF"/>
          </w:tcPr>
          <w:p>
            <w:pPr>
              <w:jc w:val="center"/>
              <w:ind w:left="198"/>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Net other assets (liabilities) (a)</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Discounted</w:t>
            </w:r>
          </w:p>
        </w:tc>
        <w:tc>
          <w:tcPr>
            <w:tcW w:w="1700" w:type="dxa"/>
            <w:vAlign w:val="bottom"/>
          </w:tcPr>
          <w:p>
            <w:pPr>
              <w:ind w:left="340"/>
              <w:spacing w:after="0" w:line="201" w:lineRule="exact"/>
              <w:rPr>
                <w:sz w:val="20"/>
                <w:szCs w:val="20"/>
                <w:color w:val="auto"/>
              </w:rPr>
            </w:pPr>
            <w:r>
              <w:rPr>
                <w:rFonts w:ascii="Arial" w:cs="Arial" w:eastAsia="Arial" w:hAnsi="Arial"/>
                <w:sz w:val="18"/>
                <w:szCs w:val="18"/>
                <w:color w:val="auto"/>
              </w:rPr>
              <w:t>Commitment</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17,347</w:t>
            </w: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cash flow</w:t>
            </w:r>
          </w:p>
        </w:tc>
        <w:tc>
          <w:tcPr>
            <w:tcW w:w="1700" w:type="dxa"/>
            <w:vAlign w:val="bottom"/>
          </w:tcPr>
          <w:p>
            <w:pPr>
              <w:ind w:left="340"/>
              <w:spacing w:after="0"/>
              <w:rPr>
                <w:sz w:val="20"/>
                <w:szCs w:val="20"/>
                <w:color w:val="auto"/>
              </w:rPr>
            </w:pPr>
            <w:r>
              <w:rPr>
                <w:rFonts w:ascii="Arial" w:cs="Arial" w:eastAsia="Arial" w:hAnsi="Arial"/>
                <w:sz w:val="18"/>
                <w:szCs w:val="18"/>
                <w:color w:val="auto"/>
              </w:rPr>
              <w:t>expirations</w:t>
            </w:r>
          </w:p>
        </w:tc>
        <w:tc>
          <w:tcPr>
            <w:tcW w:w="1660" w:type="dxa"/>
            <w:vAlign w:val="bottom"/>
          </w:tcPr>
          <w:p>
            <w:pPr>
              <w:jc w:val="center"/>
              <w:ind w:left="178"/>
              <w:spacing w:after="0"/>
              <w:rPr>
                <w:sz w:val="20"/>
                <w:szCs w:val="20"/>
                <w:color w:val="auto"/>
              </w:rPr>
            </w:pPr>
            <w:r>
              <w:rPr>
                <w:rFonts w:ascii="Arial" w:cs="Arial" w:eastAsia="Arial" w:hAnsi="Arial"/>
                <w:sz w:val="18"/>
                <w:szCs w:val="18"/>
                <w:color w:val="auto"/>
                <w:w w:val="92"/>
              </w:rPr>
              <w:t>0%-96% (17%)</w:t>
            </w:r>
          </w:p>
        </w:tc>
        <w:tc>
          <w:tcPr>
            <w:tcW w:w="100" w:type="dxa"/>
            <w:vAlign w:val="bottom"/>
          </w:tcPr>
          <w:p>
            <w:pPr>
              <w:spacing w:after="0"/>
              <w:rPr>
                <w:sz w:val="20"/>
                <w:szCs w:val="20"/>
                <w:color w:val="auto"/>
              </w:rPr>
            </w:pPr>
          </w:p>
        </w:tc>
      </w:tr>
    </w:tbl>
    <w:p>
      <w:pPr>
        <w:spacing w:after="0" w:line="22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 increase (decrease) in the probability of default and loss severity for collateralized debt securities would generally result in a lower (higher) fair value measurement.</w:t>
      </w:r>
    </w:p>
    <w:p>
      <w:pPr>
        <w:spacing w:after="0" w:line="17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color w:val="auto"/>
              </w:rPr>
              <w:t>June 30, 2015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104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rPr>
              <w:t>Estimated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fair 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r>
      <w:tr>
        <w:trPr>
          <w:trHeight w:val="142"/>
        </w:trPr>
        <w:tc>
          <w:tcPr>
            <w:tcW w:w="5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color w:val="auto"/>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1,350,858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1,350,858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1,291,501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59,357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4,045,852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4,045,852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4,045,852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277,009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277,009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227,957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14,751,637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14,762,899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14,479,134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208,338</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20,111,028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19,822,748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19,822,748</w:t>
            </w: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28,442,488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28,321,200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319,877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28,001,323</w:t>
            </w: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8,444,542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8,465,046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5,024,771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3,440,275</w:t>
            </w: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11,133,194</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11,014,334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11,014,334</w:t>
            </w: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(929,987)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440" w:type="dxa"/>
            <w:vAlign w:val="bottom"/>
          </w:tcPr>
          <w:p>
            <w:pPr>
              <w:ind w:left="1080"/>
              <w:spacing w:after="0"/>
              <w:rPr>
                <w:sz w:val="20"/>
                <w:szCs w:val="20"/>
                <w:color w:val="auto"/>
              </w:rPr>
            </w:pPr>
            <w:r>
              <w:rPr>
                <w:rFonts w:ascii="Arial" w:cs="Arial" w:eastAsia="Arial" w:hAnsi="Arial"/>
                <w:sz w:val="18"/>
                <w:szCs w:val="18"/>
                <w:color w:val="auto"/>
              </w:rPr>
              <w:t>Loans and leases, net</w:t>
            </w:r>
          </w:p>
        </w:tc>
        <w:tc>
          <w:tcPr>
            <w:tcW w:w="10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67,201,265</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67,623,328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5,344,648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62,278,680</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228,126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(27,674,588)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(27,674,588)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(27,674,588)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(41,885,954)</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(41,885,954)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(41,885,954)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(2,901,636)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(2,921,070)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(2,921,070)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(167,441)</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(167,441)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(153,299)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(10,175,912)</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(10,219,668)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(10,219,668)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(72,062)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(172,496)</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(172,496)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(172,496)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11,206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11,206</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12,270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(121,385)</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(121,385)</w:t>
            </w:r>
          </w:p>
        </w:tc>
      </w:tr>
      <w:tr>
        <w:trPr>
          <w:trHeight w:val="202"/>
        </w:trPr>
        <w:tc>
          <w:tcPr>
            <w:tcW w:w="5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63,501</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63,501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63,501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65"/>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8"/>
                <w:szCs w:val="18"/>
                <w:color w:val="auto"/>
                <w:w w:val="84"/>
              </w:rPr>
              <w:t>–47–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92"/>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96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Estimated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r>
      <w:tr>
        <w:trPr>
          <w:trHeight w:val="142"/>
        </w:trPr>
        <w:tc>
          <w:tcPr>
            <w:tcW w:w="5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1,373,357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1,373,357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1,296,923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76,434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6,470,867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6,470,867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6,470,867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308,175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308,175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51,416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256,759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12,993,542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13,023,956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12,750,396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208,719</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19,461,292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19,188,574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19,188,574</w:t>
            </w: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27,567,569</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27,487,818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307,667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27,180,151</w:t>
            </w: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8,657,301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8,729,056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3,539,970</w:t>
            </w: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10,982,794</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10,909,623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10,909,623</w:t>
            </w: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(919,562)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440" w:type="dxa"/>
            <w:vAlign w:val="bottom"/>
          </w:tcPr>
          <w:p>
            <w:pPr>
              <w:ind w:left="1080"/>
              <w:spacing w:after="0"/>
              <w:rPr>
                <w:sz w:val="20"/>
                <w:szCs w:val="20"/>
                <w:color w:val="auto"/>
              </w:rPr>
            </w:pPr>
            <w:r>
              <w:rPr>
                <w:rFonts w:ascii="Arial" w:cs="Arial" w:eastAsia="Arial" w:hAnsi="Arial"/>
                <w:sz w:val="18"/>
                <w:szCs w:val="18"/>
                <w:color w:val="auto"/>
              </w:rPr>
              <w:t>Loans and leases, net</w:t>
            </w:r>
          </w:p>
        </w:tc>
        <w:tc>
          <w:tcPr>
            <w:tcW w:w="10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65,749,394</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66,315,071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5,496,753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60,818,318</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227,348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227,348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(26,947,880)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(26,947,880)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(26,947,880)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(43,393,618)</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(43,393,618)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(43,393,618)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(3,063,973)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(3,086,126)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(3,086,126)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(176,582)</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(176,582)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(176,582)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(192,676)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(9,006,959)</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(9,139,789)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(9,139,789)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(203,464)</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(203,464)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(203,464)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17,347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17,347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17,347</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(119,079)</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(119,079)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(119,079)</w:t>
            </w:r>
          </w:p>
        </w:tc>
      </w:tr>
      <w:tr>
        <w:trPr>
          <w:trHeight w:val="202"/>
        </w:trPr>
        <w:tc>
          <w:tcPr>
            <w:tcW w:w="5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73,251</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73,251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73,251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real estate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29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67"/>
        </w:trPr>
        <w:tc>
          <w:tcPr>
            <w:tcW w:w="5020" w:type="dxa"/>
            <w:vAlign w:val="bottom"/>
          </w:tcPr>
          <w:p>
            <w:pPr>
              <w:spacing w:after="0"/>
              <w:rPr>
                <w:sz w:val="14"/>
                <w:szCs w:val="14"/>
                <w:color w:val="auto"/>
              </w:rPr>
            </w:pPr>
          </w:p>
        </w:tc>
        <w:tc>
          <w:tcPr>
            <w:tcW w:w="2480" w:type="dxa"/>
            <w:vAlign w:val="bottom"/>
            <w:gridSpan w:val="2"/>
          </w:tcPr>
          <w:p>
            <w:pPr>
              <w:jc w:val="right"/>
              <w:ind w:right="468"/>
              <w:spacing w:after="0"/>
              <w:rPr>
                <w:sz w:val="20"/>
                <w:szCs w:val="20"/>
                <w:color w:val="auto"/>
              </w:rPr>
            </w:pPr>
            <w:r>
              <w:rPr>
                <w:rFonts w:ascii="Arial" w:cs="Arial" w:eastAsia="Arial" w:hAnsi="Arial"/>
                <w:sz w:val="14"/>
                <w:szCs w:val="14"/>
                <w:color w:val="auto"/>
              </w:rPr>
              <w:t>2015</w:t>
            </w:r>
          </w:p>
        </w:tc>
        <w:tc>
          <w:tcPr>
            <w:tcW w:w="1080" w:type="dxa"/>
            <w:vAlign w:val="bottom"/>
          </w:tcPr>
          <w:p>
            <w:pPr>
              <w:jc w:val="right"/>
              <w:ind w:right="213"/>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Borders>
              <w:top w:val="single" w:sz="8" w:color="auto"/>
            </w:tcBorders>
            <w:gridSpan w:val="2"/>
          </w:tcPr>
          <w:p>
            <w:pPr>
              <w:jc w:val="right"/>
              <w:ind w:right="6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Home equity lines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$ 5,612,243</w:t>
            </w:r>
          </w:p>
        </w:tc>
        <w:tc>
          <w:tcPr>
            <w:tcW w:w="1080" w:type="dxa"/>
            <w:vAlign w:val="bottom"/>
          </w:tcPr>
          <w:p>
            <w:pPr>
              <w:jc w:val="right"/>
              <w:spacing w:after="0"/>
              <w:rPr>
                <w:sz w:val="20"/>
                <w:szCs w:val="20"/>
                <w:color w:val="auto"/>
              </w:rPr>
            </w:pPr>
            <w:r>
              <w:rPr>
                <w:rFonts w:ascii="Arial" w:cs="Arial" w:eastAsia="Arial" w:hAnsi="Arial"/>
                <w:sz w:val="18"/>
                <w:szCs w:val="18"/>
                <w:color w:val="auto"/>
              </w:rPr>
              <w:t>6,194,516</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104,832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212,257</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Other commercial real estate and construction</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5,601,820</w:t>
            </w:r>
          </w:p>
        </w:tc>
        <w:tc>
          <w:tcPr>
            <w:tcW w:w="1080" w:type="dxa"/>
            <w:vAlign w:val="bottom"/>
          </w:tcPr>
          <w:p>
            <w:pPr>
              <w:jc w:val="right"/>
              <w:spacing w:after="0"/>
              <w:rPr>
                <w:sz w:val="20"/>
                <w:szCs w:val="20"/>
                <w:color w:val="auto"/>
              </w:rPr>
            </w:pPr>
            <w:r>
              <w:rPr>
                <w:rFonts w:ascii="Arial" w:cs="Arial" w:eastAsia="Arial" w:hAnsi="Arial"/>
                <w:sz w:val="18"/>
                <w:szCs w:val="18"/>
                <w:color w:val="auto"/>
              </w:rPr>
              <w:t>4,834,699</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671,670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432,352</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Other residential real estate</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719,788</w:t>
            </w:r>
          </w:p>
        </w:tc>
        <w:tc>
          <w:tcPr>
            <w:tcW w:w="1080" w:type="dxa"/>
            <w:vAlign w:val="bottom"/>
          </w:tcPr>
          <w:p>
            <w:pPr>
              <w:jc w:val="right"/>
              <w:spacing w:after="0"/>
              <w:rPr>
                <w:sz w:val="20"/>
                <w:szCs w:val="20"/>
                <w:color w:val="auto"/>
              </w:rPr>
            </w:pPr>
            <w:r>
              <w:rPr>
                <w:rFonts w:ascii="Arial" w:cs="Arial" w:eastAsia="Arial" w:hAnsi="Arial"/>
                <w:sz w:val="18"/>
                <w:szCs w:val="18"/>
                <w:color w:val="auto"/>
              </w:rPr>
              <w:t>524,399</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other</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11,439,086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11,080,856</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3,531,401</w:t>
            </w:r>
          </w:p>
        </w:tc>
        <w:tc>
          <w:tcPr>
            <w:tcW w:w="1080" w:type="dxa"/>
            <w:vAlign w:val="bottom"/>
          </w:tcPr>
          <w:p>
            <w:pPr>
              <w:jc w:val="right"/>
              <w:spacing w:after="0"/>
              <w:rPr>
                <w:sz w:val="20"/>
                <w:szCs w:val="20"/>
                <w:color w:val="auto"/>
              </w:rPr>
            </w:pPr>
            <w:r>
              <w:rPr>
                <w:rFonts w:ascii="Arial" w:cs="Arial" w:eastAsia="Arial" w:hAnsi="Arial"/>
                <w:sz w:val="18"/>
                <w:szCs w:val="18"/>
                <w:color w:val="auto"/>
              </w:rPr>
              <w:t>3,706,888</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42,858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46,965</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2,795,007</w:t>
            </w:r>
          </w:p>
        </w:tc>
        <w:tc>
          <w:tcPr>
            <w:tcW w:w="1080" w:type="dxa"/>
            <w:vAlign w:val="bottom"/>
          </w:tcPr>
          <w:p>
            <w:pPr>
              <w:jc w:val="right"/>
              <w:spacing w:after="0"/>
              <w:rPr>
                <w:sz w:val="20"/>
                <w:szCs w:val="20"/>
                <w:color w:val="auto"/>
              </w:rPr>
            </w:pPr>
            <w:r>
              <w:rPr>
                <w:rFonts w:ascii="Arial" w:cs="Arial" w:eastAsia="Arial" w:hAnsi="Arial"/>
                <w:sz w:val="18"/>
                <w:szCs w:val="18"/>
                <w:color w:val="auto"/>
              </w:rPr>
              <w:t>2,490,050</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1,354,654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1,237,294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Underwriting and Servicing program. The Company’s maximum credit risk for recourse associated with loans sold under this program totaled approximately $2.5 billion and $2.4 billion at June 30, 2015 and December 31, 2014, respectively.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0"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22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Subject to the outcome of the matter discussed in the following paragraph, at June 30, 2015, management believes that any further liability arising out of the Company’s obligation to loan purchasers is not material to the Company’s consolidated financial position.</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is the subject of an investigation by government agencies relating to the origination of Federal Housing Administration (“FHA”) insured residential home loans and residential home loans sold to The Federal Home Loan Mortgage Corporation (“Freddie Mac”) and The Federal National Mortgage Association (“Fannie Mae”). A number of other U.S. financial institutions have announced similar investigations. Regarding FHA loans, the U.S. Department of Housing and Urban Development (“HUD”) Office of Inspector General and the U.S. Department of Justice (collectively, the “Government”) are investigating whether the Company complied with underwriting guidelines concerning certain loans where HUD paid FHA insurance claims. The Company is fully cooperating with the investigation. The Government has advised the Company that based upon its review of a sample of loans for which an FHA insurance claim was paid by HUD, some of the loans do not meet underwriting guidelines. The Company, based on its own review of the sample, does not agree with the sampling methodology and loan analysis employed by the Government. Regarding loans originated by the Company and sold to Freddie Mac and Fannie Mae, the investigation concerns whether the mortgages sold to Freddie Mac and Fannie Mae comply with applicable underwriting guidelines. The Company is also cooperating with that portion of the investigation. The investigation could lead to claims by the Government under the False Claims Act and the Financial Institutions Reform, Recovery, and Enforcement Act of 1989, which allow treble and other special damages substantially in excess of actual losses. Remedies in these proceedings or settlements may include restitution, fines, penalties, or alterations in the Company’s business practices. The Company and the Government have begun settlement discussions regarding the investigation.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1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22 to the Company’s consolidated financial statements as of and for the year ended December 31, 2014.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Effective January 1, 2015, the Company made certain changes to its methodology for measuring segment profit and loss. Those changes in the measurement of segment profitability were largely the result of updated funds transfer pricing and various cost allocation reviews. The most significant changes to the funds transfer pricing resulted from ascribing a longer duration to non-maturity deposits, which significantly benefitted the Retail Banking segment. The cost allocation review having the largest impact related to a branch cost study. That study consisted of transaction reviews and time studies which resulted in a higher cost allocation from the Retail Banking segment to the Business Banking segment. As a result of the changes, prior period financial information has been restated to provide segment information on a comparable basis, as noted in the following tables.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80" w:type="dxa"/>
            <w:vAlign w:val="bottom"/>
            <w:gridSpan w:val="8"/>
          </w:tcPr>
          <w:p>
            <w:pPr>
              <w:jc w:val="center"/>
              <w:ind w:right="460"/>
              <w:spacing w:after="0"/>
              <w:rPr>
                <w:sz w:val="20"/>
                <w:szCs w:val="20"/>
                <w:color w:val="auto"/>
              </w:rPr>
            </w:pPr>
            <w:r>
              <w:rPr>
                <w:rFonts w:ascii="Arial" w:cs="Arial" w:eastAsia="Arial" w:hAnsi="Arial"/>
                <w:sz w:val="14"/>
                <w:szCs w:val="14"/>
                <w:color w:val="auto"/>
                <w:w w:val="90"/>
              </w:rPr>
              <w:t>Three months ended June 30, 2014</w:t>
            </w:r>
          </w:p>
        </w:tc>
      </w:tr>
      <w:tr>
        <w:trPr>
          <w:trHeight w:val="123"/>
        </w:trPr>
        <w:tc>
          <w:tcPr>
            <w:tcW w:w="5440" w:type="dxa"/>
            <w:vAlign w:val="bottom"/>
          </w:tcPr>
          <w:p>
            <w:pPr>
              <w:spacing w:after="0"/>
              <w:rPr>
                <w:sz w:val="10"/>
                <w:szCs w:val="10"/>
                <w:color w:val="auto"/>
              </w:rPr>
            </w:pPr>
          </w:p>
        </w:tc>
        <w:tc>
          <w:tcPr>
            <w:tcW w:w="1440" w:type="dxa"/>
            <w:vAlign w:val="bottom"/>
            <w:tcBorders>
              <w:top w:val="single" w:sz="8" w:color="auto"/>
            </w:tcBorders>
            <w:gridSpan w:val="4"/>
          </w:tcPr>
          <w:p>
            <w:pPr>
              <w:ind w:left="20"/>
              <w:spacing w:after="0" w:line="123" w:lineRule="exact"/>
              <w:rPr>
                <w:sz w:val="20"/>
                <w:szCs w:val="20"/>
                <w:color w:val="auto"/>
              </w:rPr>
            </w:pPr>
            <w:r>
              <w:rPr>
                <w:rFonts w:ascii="Arial" w:cs="Arial" w:eastAsia="Arial" w:hAnsi="Arial"/>
                <w:sz w:val="14"/>
                <w:szCs w:val="14"/>
                <w:color w:val="auto"/>
              </w:rPr>
              <w:t>Net income (loss) as</w:t>
            </w:r>
          </w:p>
        </w:tc>
        <w:tc>
          <w:tcPr>
            <w:tcW w:w="3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600"/>
              <w:spacing w:after="0" w:line="123" w:lineRule="exact"/>
              <w:rPr>
                <w:sz w:val="20"/>
                <w:szCs w:val="20"/>
                <w:color w:val="auto"/>
              </w:rPr>
            </w:pPr>
            <w:r>
              <w:rPr>
                <w:rFonts w:ascii="Arial" w:cs="Arial" w:eastAsia="Arial" w:hAnsi="Arial"/>
                <w:sz w:val="14"/>
                <w:szCs w:val="14"/>
                <w:color w:val="auto"/>
                <w:w w:val="97"/>
              </w:rPr>
              <w:t>Impact of</w:t>
            </w: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Net income (loss)</w:t>
            </w:r>
          </w:p>
        </w:tc>
        <w:tc>
          <w:tcPr>
            <w:tcW w:w="100" w:type="dxa"/>
            <w:vAlign w:val="bottom"/>
          </w:tcPr>
          <w:p>
            <w:pPr>
              <w:spacing w:after="0"/>
              <w:rPr>
                <w:sz w:val="10"/>
                <w:szCs w:val="10"/>
                <w:color w:val="auto"/>
              </w:rPr>
            </w:pPr>
          </w:p>
        </w:tc>
      </w:tr>
      <w:tr>
        <w:trPr>
          <w:trHeight w:val="167"/>
        </w:trPr>
        <w:tc>
          <w:tcPr>
            <w:tcW w:w="544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previously reported</w:t>
            </w:r>
          </w:p>
        </w:tc>
        <w:tc>
          <w:tcPr>
            <w:tcW w:w="36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color w:val="auto"/>
                <w:w w:val="86"/>
              </w:rPr>
              <w:t>changes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as restated</w:t>
            </w:r>
          </w:p>
        </w:tc>
      </w:tr>
      <w:tr>
        <w:trPr>
          <w:trHeight w:val="142"/>
        </w:trPr>
        <w:tc>
          <w:tcPr>
            <w:tcW w:w="54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center"/>
              <w:ind w:right="380"/>
              <w:spacing w:after="0" w:line="142" w:lineRule="exact"/>
              <w:rPr>
                <w:sz w:val="20"/>
                <w:szCs w:val="20"/>
                <w:color w:val="auto"/>
              </w:rPr>
            </w:pPr>
            <w:r>
              <w:rPr>
                <w:rFonts w:ascii="Arial" w:cs="Arial" w:eastAsia="Arial" w:hAnsi="Arial"/>
                <w:sz w:val="14"/>
                <w:szCs w:val="14"/>
                <w:color w:val="auto"/>
                <w:w w:val="92"/>
              </w:rPr>
              <w:t>(in thousands)</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27,760</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(4,008)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Commercial Banking</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105,358</w:t>
            </w:r>
          </w:p>
        </w:tc>
        <w:tc>
          <w:tcPr>
            <w:tcW w:w="220" w:type="dxa"/>
            <w:vAlign w:val="bottom"/>
          </w:tcPr>
          <w:p>
            <w:pPr>
              <w:spacing w:after="0"/>
              <w:rPr>
                <w:sz w:val="18"/>
                <w:szCs w:val="18"/>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(1,267)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104,091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77,526</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(1,798)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75,728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14,980</w:t>
            </w:r>
          </w:p>
        </w:tc>
        <w:tc>
          <w:tcPr>
            <w:tcW w:w="220" w:type="dxa"/>
            <w:vAlign w:val="bottom"/>
          </w:tcPr>
          <w:p>
            <w:pPr>
              <w:spacing w:after="0"/>
              <w:rPr>
                <w:sz w:val="18"/>
                <w:szCs w:val="18"/>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63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15,043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27,712</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(1,063)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Retail Banking</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32,034</w:t>
            </w:r>
          </w:p>
        </w:tc>
        <w:tc>
          <w:tcPr>
            <w:tcW w:w="220" w:type="dxa"/>
            <w:vAlign w:val="bottom"/>
          </w:tcPr>
          <w:p>
            <w:pPr>
              <w:spacing w:after="0"/>
              <w:rPr>
                <w:sz w:val="18"/>
                <w:szCs w:val="18"/>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40,939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72,973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(1,034)</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(32,866)</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(33,900)</w:t>
            </w:r>
          </w:p>
        </w:tc>
      </w:tr>
      <w:tr>
        <w:trPr>
          <w:trHeight w:val="291"/>
        </w:trPr>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284,336</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284,336</w:t>
            </w:r>
          </w:p>
        </w:tc>
        <w:tc>
          <w:tcPr>
            <w:tcW w:w="100" w:type="dxa"/>
            <w:vAlign w:val="bottom"/>
          </w:tcPr>
          <w:p>
            <w:pPr>
              <w:spacing w:after="0"/>
              <w:rPr>
                <w:sz w:val="24"/>
                <w:szCs w:val="24"/>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592"/>
              <w:spacing w:after="0"/>
              <w:rPr>
                <w:sz w:val="20"/>
                <w:szCs w:val="20"/>
                <w:color w:val="auto"/>
              </w:rPr>
            </w:pPr>
            <w:r>
              <w:rPr>
                <w:rFonts w:ascii="Arial" w:cs="Arial" w:eastAsia="Arial" w:hAnsi="Arial"/>
                <w:sz w:val="14"/>
                <w:szCs w:val="14"/>
                <w:color w:val="auto"/>
                <w:w w:val="91"/>
              </w:rPr>
              <w:t>Six months ended June 30, 2014</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5440" w:type="dxa"/>
            <w:vAlign w:val="bottom"/>
          </w:tcPr>
          <w:p>
            <w:pPr>
              <w:spacing w:after="0"/>
              <w:rPr>
                <w:sz w:val="10"/>
                <w:szCs w:val="10"/>
                <w:color w:val="auto"/>
              </w:rPr>
            </w:pPr>
          </w:p>
        </w:tc>
        <w:tc>
          <w:tcPr>
            <w:tcW w:w="1440" w:type="dxa"/>
            <w:vAlign w:val="bottom"/>
            <w:gridSpan w:val="4"/>
          </w:tcPr>
          <w:p>
            <w:pPr>
              <w:ind w:left="20"/>
              <w:spacing w:after="0" w:line="123" w:lineRule="exact"/>
              <w:rPr>
                <w:sz w:val="20"/>
                <w:szCs w:val="20"/>
                <w:color w:val="auto"/>
              </w:rPr>
            </w:pPr>
            <w:r>
              <w:rPr>
                <w:rFonts w:ascii="Arial" w:cs="Arial" w:eastAsia="Arial" w:hAnsi="Arial"/>
                <w:sz w:val="14"/>
                <w:szCs w:val="14"/>
                <w:color w:val="auto"/>
              </w:rPr>
              <w:t>Net income (loss) as</w:t>
            </w:r>
          </w:p>
        </w:tc>
        <w:tc>
          <w:tcPr>
            <w:tcW w:w="360" w:type="dxa"/>
            <w:vAlign w:val="bottom"/>
          </w:tcPr>
          <w:p>
            <w:pPr>
              <w:spacing w:after="0"/>
              <w:rPr>
                <w:sz w:val="10"/>
                <w:szCs w:val="10"/>
                <w:color w:val="auto"/>
              </w:rPr>
            </w:pPr>
          </w:p>
        </w:tc>
        <w:tc>
          <w:tcPr>
            <w:tcW w:w="1200" w:type="dxa"/>
            <w:vAlign w:val="bottom"/>
            <w:gridSpan w:val="2"/>
          </w:tcPr>
          <w:p>
            <w:pPr>
              <w:jc w:val="center"/>
              <w:ind w:right="600"/>
              <w:spacing w:after="0" w:line="123" w:lineRule="exact"/>
              <w:rPr>
                <w:sz w:val="20"/>
                <w:szCs w:val="20"/>
                <w:color w:val="auto"/>
              </w:rPr>
            </w:pPr>
            <w:r>
              <w:rPr>
                <w:rFonts w:ascii="Arial" w:cs="Arial" w:eastAsia="Arial" w:hAnsi="Arial"/>
                <w:sz w:val="14"/>
                <w:szCs w:val="14"/>
                <w:color w:val="auto"/>
                <w:w w:val="97"/>
              </w:rPr>
              <w:t>Impact of</w:t>
            </w:r>
          </w:p>
        </w:tc>
        <w:tc>
          <w:tcPr>
            <w:tcW w:w="1040" w:type="dxa"/>
            <w:vAlign w:val="bottom"/>
          </w:tcPr>
          <w:p>
            <w:pPr>
              <w:jc w:val="center"/>
              <w:spacing w:after="0" w:line="123" w:lineRule="exact"/>
              <w:rPr>
                <w:sz w:val="20"/>
                <w:szCs w:val="20"/>
                <w:color w:val="auto"/>
              </w:rPr>
            </w:pPr>
            <w:r>
              <w:rPr>
                <w:rFonts w:ascii="Arial" w:cs="Arial" w:eastAsia="Arial" w:hAnsi="Arial"/>
                <w:sz w:val="14"/>
                <w:szCs w:val="14"/>
                <w:color w:val="auto"/>
                <w:w w:val="95"/>
              </w:rPr>
              <w:t>Net income (loss)</w:t>
            </w:r>
          </w:p>
        </w:tc>
        <w:tc>
          <w:tcPr>
            <w:tcW w:w="100" w:type="dxa"/>
            <w:vAlign w:val="bottom"/>
          </w:tcPr>
          <w:p>
            <w:pPr>
              <w:spacing w:after="0"/>
              <w:rPr>
                <w:sz w:val="10"/>
                <w:szCs w:val="10"/>
                <w:color w:val="auto"/>
              </w:rPr>
            </w:pPr>
          </w:p>
        </w:tc>
      </w:tr>
      <w:tr>
        <w:trPr>
          <w:trHeight w:val="167"/>
        </w:trPr>
        <w:tc>
          <w:tcPr>
            <w:tcW w:w="544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previously reported</w:t>
            </w:r>
          </w:p>
        </w:tc>
        <w:tc>
          <w:tcPr>
            <w:tcW w:w="36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color w:val="auto"/>
                <w:w w:val="86"/>
              </w:rPr>
              <w:t>changes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as restated</w:t>
            </w:r>
          </w:p>
        </w:tc>
      </w:tr>
      <w:tr>
        <w:trPr>
          <w:trHeight w:val="142"/>
        </w:trPr>
        <w:tc>
          <w:tcPr>
            <w:tcW w:w="54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center"/>
              <w:ind w:right="380"/>
              <w:spacing w:after="0" w:line="142" w:lineRule="exact"/>
              <w:rPr>
                <w:sz w:val="20"/>
                <w:szCs w:val="20"/>
                <w:color w:val="auto"/>
              </w:rPr>
            </w:pPr>
            <w:r>
              <w:rPr>
                <w:rFonts w:ascii="Arial" w:cs="Arial" w:eastAsia="Arial" w:hAnsi="Arial"/>
                <w:sz w:val="14"/>
                <w:szCs w:val="14"/>
                <w:color w:val="auto"/>
                <w:w w:val="92"/>
              </w:rPr>
              <w:t>(in thousands)</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56,358</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(7,633)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Commercial Banking</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205,123</w:t>
            </w:r>
          </w:p>
        </w:tc>
        <w:tc>
          <w:tcPr>
            <w:tcW w:w="220" w:type="dxa"/>
            <w:vAlign w:val="bottom"/>
          </w:tcPr>
          <w:p>
            <w:pPr>
              <w:spacing w:after="0"/>
              <w:rPr>
                <w:sz w:val="18"/>
                <w:szCs w:val="18"/>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(2,191)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202,932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152,087</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(3,807)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148,280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26,259</w:t>
            </w:r>
          </w:p>
        </w:tc>
        <w:tc>
          <w:tcPr>
            <w:tcW w:w="220" w:type="dxa"/>
            <w:vAlign w:val="bottom"/>
          </w:tcPr>
          <w:p>
            <w:pPr>
              <w:spacing w:after="0"/>
              <w:rPr>
                <w:sz w:val="18"/>
                <w:szCs w:val="18"/>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144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26,403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47,123</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(1,894)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Retail Banking</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61,745</w:t>
            </w:r>
          </w:p>
        </w:tc>
        <w:tc>
          <w:tcPr>
            <w:tcW w:w="220" w:type="dxa"/>
            <w:vAlign w:val="bottom"/>
          </w:tcPr>
          <w:p>
            <w:pPr>
              <w:spacing w:after="0"/>
              <w:rPr>
                <w:sz w:val="18"/>
                <w:szCs w:val="18"/>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80,262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142,007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(35,342)</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(64,881)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(100,223)</w:t>
            </w:r>
          </w:p>
        </w:tc>
      </w:tr>
      <w:tr>
        <w:trPr>
          <w:trHeight w:val="291"/>
        </w:trPr>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513,353</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513,353</w:t>
            </w:r>
          </w:p>
        </w:tc>
        <w:tc>
          <w:tcPr>
            <w:tcW w:w="100" w:type="dxa"/>
            <w:vAlign w:val="bottom"/>
          </w:tcPr>
          <w:p>
            <w:pPr>
              <w:spacing w:after="0"/>
              <w:rPr>
                <w:sz w:val="24"/>
                <w:szCs w:val="24"/>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also described in note 22 to the Company’s 2014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color w:val="auto"/>
                <w:w w:val="89"/>
              </w:rPr>
              <w:t>Three months ended June 30</w:t>
            </w: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38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97"/>
              </w:rPr>
              <w:t>Inter-</w:t>
            </w:r>
          </w:p>
        </w:tc>
        <w:tc>
          <w:tcPr>
            <w:tcW w:w="8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r>
      <w:tr>
        <w:trPr>
          <w:trHeight w:val="149"/>
        </w:trPr>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Total</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segment</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income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Total</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r>
      <w:tr>
        <w:trPr>
          <w:trHeight w:val="167"/>
        </w:trPr>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revenues (a)</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revenues</w:t>
            </w: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(loss)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revenues (a)</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w:t>
            </w:r>
          </w:p>
        </w:tc>
      </w:tr>
      <w:tr>
        <w:trPr>
          <w:trHeight w:val="142"/>
        </w:trPr>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center"/>
              <w:ind w:right="340"/>
              <w:spacing w:after="0" w:line="142" w:lineRule="exact"/>
              <w:rPr>
                <w:sz w:val="20"/>
                <w:szCs w:val="20"/>
                <w:color w:val="auto"/>
              </w:rPr>
            </w:pPr>
            <w:r>
              <w:rPr>
                <w:rFonts w:ascii="Arial" w:cs="Arial" w:eastAsia="Arial" w:hAnsi="Arial"/>
                <w:sz w:val="14"/>
                <w:szCs w:val="14"/>
                <w:color w:val="auto"/>
                <w:w w:val="92"/>
              </w:rPr>
              <w:t>(in thousands)</w:t>
            </w: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111,131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25,354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112,734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Commercial Banking</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257,257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1,099</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108,081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252,347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1,356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104,091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178,949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79,751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164,262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75,728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20,477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(5,376)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10,756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29,912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(5,282)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15,043</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112,029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27,699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109,837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11,772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Retail Banking</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305,573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3,259</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68,806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311,554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3,897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72,973</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194,739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(12,967)</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(33,759)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144,880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(13,488)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(33,900)</w:t>
            </w:r>
          </w:p>
        </w:tc>
      </w:tr>
      <w:tr>
        <w:trPr>
          <w:trHeight w:val="20"/>
        </w:trPr>
        <w:tc>
          <w:tcPr>
            <w:tcW w:w="3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1,180,155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286,688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1,125,526</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284,336</w:t>
            </w:r>
          </w:p>
        </w:tc>
      </w:tr>
      <w:tr>
        <w:trPr>
          <w:trHeight w:val="20"/>
        </w:trPr>
        <w:tc>
          <w:tcPr>
            <w:tcW w:w="3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w w:val="91"/>
              </w:rPr>
              <w:t>Six months ended June 30</w:t>
            </w: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38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97"/>
              </w:rPr>
              <w:t>Inter-</w:t>
            </w:r>
          </w:p>
        </w:tc>
        <w:tc>
          <w:tcPr>
            <w:tcW w:w="8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r>
      <w:tr>
        <w:trPr>
          <w:trHeight w:val="149"/>
        </w:trPr>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Total</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segment</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income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Total</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r>
      <w:tr>
        <w:trPr>
          <w:trHeight w:val="167"/>
        </w:trPr>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revenues (a)</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revenues</w:t>
            </w: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(loss)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revenues (a)</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w:t>
            </w:r>
          </w:p>
        </w:tc>
      </w:tr>
      <w:tr>
        <w:trPr>
          <w:trHeight w:val="142"/>
        </w:trPr>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center"/>
              <w:ind w:right="340"/>
              <w:spacing w:after="0" w:line="142" w:lineRule="exact"/>
              <w:rPr>
                <w:sz w:val="20"/>
                <w:szCs w:val="20"/>
                <w:color w:val="auto"/>
              </w:rPr>
            </w:pPr>
            <w:r>
              <w:rPr>
                <w:rFonts w:ascii="Arial" w:cs="Arial" w:eastAsia="Arial" w:hAnsi="Arial"/>
                <w:sz w:val="14"/>
                <w:szCs w:val="14"/>
                <w:color w:val="auto"/>
                <w:w w:val="92"/>
              </w:rPr>
              <w:t>(in thousands)</w:t>
            </w: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219,691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50,165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224,504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48,725</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Commercial Banking</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503,838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2,184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204,504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501,696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2,553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202,932</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342,269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159,837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321,585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148,280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35,951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(10,819)</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16,710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54,569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(10,321)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26,403</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223,487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23,823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59,664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203,602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21,520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Retail Banking</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605,964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6,396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137,694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618,334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7,402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142,007</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348,746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(24,260)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(100,273)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277,776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(24,304)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(100,223)</w:t>
            </w:r>
          </w:p>
        </w:tc>
      </w:tr>
      <w:tr>
        <w:trPr>
          <w:trHeight w:val="20"/>
        </w:trPr>
        <w:tc>
          <w:tcPr>
            <w:tcW w:w="3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2,279,946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528,301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2,202,066</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513,353</w:t>
            </w:r>
          </w:p>
        </w:tc>
      </w:tr>
      <w:tr>
        <w:trPr>
          <w:trHeight w:val="20"/>
        </w:trPr>
        <w:tc>
          <w:tcPr>
            <w:tcW w:w="3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880" w:type="dxa"/>
            <w:vAlign w:val="bottom"/>
          </w:tcPr>
          <w:p>
            <w:pPr>
              <w:spacing w:after="0"/>
              <w:rPr>
                <w:sz w:val="24"/>
                <w:szCs w:val="24"/>
                <w:color w:val="auto"/>
              </w:rPr>
            </w:pPr>
          </w:p>
        </w:tc>
        <w:tc>
          <w:tcPr>
            <w:tcW w:w="2280" w:type="dxa"/>
            <w:vAlign w:val="bottom"/>
            <w:gridSpan w:val="2"/>
          </w:tcPr>
          <w:p>
            <w:pPr>
              <w:jc w:val="right"/>
              <w:ind w:right="179"/>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4"/>
                <w:szCs w:val="14"/>
                <w:color w:val="auto"/>
                <w:w w:val="89"/>
              </w:rPr>
              <w:t>Average total assets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4"/>
          </w:tcPr>
          <w:p>
            <w:pPr>
              <w:jc w:val="center"/>
              <w:ind w:right="620"/>
              <w:spacing w:after="0" w:line="123" w:lineRule="exact"/>
              <w:rPr>
                <w:sz w:val="20"/>
                <w:szCs w:val="20"/>
                <w:color w:val="auto"/>
              </w:rPr>
            </w:pPr>
            <w:r>
              <w:rPr>
                <w:rFonts w:ascii="Arial" w:cs="Arial" w:eastAsia="Arial" w:hAnsi="Arial"/>
                <w:sz w:val="14"/>
                <w:szCs w:val="14"/>
                <w:color w:val="auto"/>
                <w:w w:val="92"/>
              </w:rPr>
              <w:t>Six months ended</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3"/>
          </w:tcPr>
          <w:p>
            <w:pPr>
              <w:jc w:val="center"/>
              <w:ind w:right="1120"/>
              <w:spacing w:after="0"/>
              <w:rPr>
                <w:sz w:val="20"/>
                <w:szCs w:val="20"/>
                <w:color w:val="auto"/>
              </w:rPr>
            </w:pPr>
            <w:r>
              <w:rPr>
                <w:rFonts w:ascii="Arial" w:cs="Arial" w:eastAsia="Arial" w:hAnsi="Arial"/>
                <w:sz w:val="14"/>
                <w:szCs w:val="14"/>
                <w:color w:val="auto"/>
                <w:w w:val="88"/>
              </w:rPr>
              <w:t>June 30</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31</w:t>
            </w:r>
          </w:p>
        </w:tc>
      </w:tr>
      <w:tr>
        <w:trPr>
          <w:trHeight w:val="167"/>
        </w:trPr>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2015</w:t>
            </w:r>
          </w:p>
        </w:tc>
        <w:tc>
          <w:tcPr>
            <w:tcW w:w="10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5,286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23,997</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22,742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22,892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18,191</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16,878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23,029</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19,417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20,798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3,226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10,830</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10,229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10,449</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11,977</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12,277</w:t>
            </w: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96,750</w:t>
            </w: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88,278</w:t>
            </w:r>
          </w:p>
        </w:tc>
        <w:tc>
          <w:tcPr>
            <w:tcW w:w="5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92,143</w:t>
            </w:r>
          </w:p>
        </w:tc>
      </w:tr>
      <w:tr>
        <w:trPr>
          <w:trHeight w:val="20"/>
        </w:trPr>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line="272" w:lineRule="auto"/>
        <w:tabs>
          <w:tab w:leader="none" w:pos="46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s internal funds transfer pricing and allocation methodology. Segments are charged a cost to fund any assets (e.g. loans) and are paid a funding credit for any funds provided (e.g. deposits). The taxable-equivalent adjustment aggregated $6,020,000 and $5,849,000 for the three-month periods ended June 30, 2015 and 2014, respectively, and $11,858,000 and $11,794,000 for the six-month periods ended June 30, 2015 and 2014, respectively, and is eliminated in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All Other</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total revenues. Intersegment revenues are included in total revenues of the reportable segments. The elimination of intersegment revenues is included in the determination of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All Other</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total revenues.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The carrying value of that investment was $38 million at June 30, 2015.</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$4.5 billion and $4.8 billion at June 30, 2015 and December 31, 2014, respectively. Revenues from those servicing rights were $6 million and $7 million during the three months ended June 30, 2015 and 2014, respectively, and $12 million and $14 million for the six months ended June 30, 2015 and June 30, 2014, respectively. The Company sub-services residential mortgage loans for Bayview Financial having outstanding principal balances totaling $41.5 billion and $41.3 billion at June 30, 2015 and December 31, 2014, respectively. Revenues earned for sub-servicing loans for Bayview Financial were $30 million and $27 million for the three-month periods ended June 30, 2015 and 2014, respectively, and $65 million and $53 million for the six-month periods ended June 30, 2015 and 2014, respectively. In addition, the Company held $192 million and $202 million of mortgage-backed securities in its held-to-maturity portfolio at June 30, 2015 and December 31, 2014, respectively, that were securitized by Bayview Financial.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Sale of trust accounts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2015, the Company sold the trade processing business within the retirement services division of its Institutional Client Services business. That sale resulted in an after-tax gain of $23 million ($45 million pre-tax) that reflected the allocation of approximately $11 million of previously recorded goodwill to the divested business. Revenues of the sold business had been included in “trust income” and were $9 million during the three months ended March 31, 2015; $10 million and $18 million during the three months and six months ended June 30, 2014, respectively; and $34 million during the year ended December 31, 2014. After considering related expenses, net income attributable to the business that was sold was not material to the consolidated results of operations of the Company in any of those periods.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income for M&amp;T Bank Corporation (“M&amp;T”) in the second quarter of 2015 was $287 million, compared with $284 million in the year-earlier quarter. Diluted earnings per common share for the recent quarter were $1.98, equal to the year-earlier period. During the initial quarter of 2015, net income totaled $242 million or $1.65 of diluted earnings per common share. Basic earnings per common share were $1.99 in each of the recent quarter and the second quarter of 2014 and were $1.66 in the first quarter of 2015. For the first half of 2015, net income totaled $528 million or $3.63 of diluted earnings per common share, compared with $513 million or $3.59 of diluted earnings per common share in the first six months of 2014. Basic earnings per common share for the six-month periods ended June 30, 2015 and 2014 were $3.65 and $3.62, respectively.</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recent quarter was 1.18%, compared with 1.27% in the year-earlier quarter and 1.02% in the first quarter of 2015. The annualized rate of return on average common shareholders’ equity was 9.37% in the second quarter of 2015, compared with 9.79% and 7.99% in the three-month periods ended June 30, 2014 and March 31, 2015, respectively. During the six-month period ended June 30, 2015, the annualized rates of return on average assets and average common shareholders’ equity were 1.10% and 8.69%, respectively, compared with 1.17% and 9.02%, respectively, in the first half of 2014.</w:t>
      </w:r>
    </w:p>
    <w:p>
      <w:pPr>
        <w:spacing w:after="0" w:line="17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recent quarter’s results reflect two noteworthy items. In early April 2015, the Company sold the trade processing business within the retirement services division of its Institutional Client Services business. That sale resulted in an after-tax gain of approximately $23 million ($45 million pre-tax). Also during the second quarter of 2015, the Company made $40 million of tax-deductible cash contributions to The M&amp;T Charitable Foundation. The after-tax impact of those two items lowered net income and diluted earnings per common share during the recent quarter by approximately $1 million and $.01, respectively.</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common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The estimated purchase price considering the closing price of M&amp;T’s common stock of $124.93 on June 30, 2015 was $5.5 billion.</w:t>
      </w:r>
    </w:p>
    <w:p>
      <w:pPr>
        <w:spacing w:after="0" w:line="1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of June 30, 2015, Hudson City reported $35.4 billion of assets, including $19.9 billion of loans (predominantly residential real estate loans) and $8.1 billion of investment securities, and $30.6 billion of liabilities, including $18.2 billion of deposits. The merger has received the approval of the common shareholders of M&amp;T and Hudson City. However, the merger is subject to a number of conditions, including regulatory approvals.</w:t>
      </w:r>
    </w:p>
    <w:p>
      <w:pPr>
        <w:spacing w:after="0" w:line="16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June 17, 2013, M&amp;T and M&amp;T Bank, the principal bank subsidiary of M&amp;T, entered into a written agreement with the Federal Reserve Bank of New York. Under the terms of the agreement, M&amp;T and M&amp;T Bank are required to submit to the Federal Reserve Bank of New York a revised compliance risk management program designed to ensure compliance with the Bank Secrecy Act and anti-money-laundering laws and regulations (“BSA/AML”) and to take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certain other steps to enhance their compliance practices. M&amp;T and M&amp;T Bank continue to make progress towards completing this initiative. On April 3, 2015, M&amp;T was advised by the Federal Reserve that the Federal Reserve Board intends to act on the M&amp;T and Hudson City merger application no later than September 30, 2015. As a result, M&amp;T and Hudson City extended the date after which either party may elect to terminate the merger agreement if the merger has not yet been completed from April 30, 2015 to October 31, 2015. Nevertheless, M&amp;T’s pending acquisition of Hudson City still remains subject to regulatory approval, including approval by the Federal Reserve, and certain other closing conditions and, as a result, there can be no assurances that the merger will be completed by that date.</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Effective January 1, 2015, the Company elected to account for its investments in qualified affordable housing projects using the proportional amortization method as allowed by the Financial Accounting Standards Board (“FASB”). Under the proportional amortization method, an entity amortizes the initial cost of the investment in proportion to the tax credits and other tax benefits received and recognizes the net investment performance in the income statement as a component of income tax expense. The adoption is required to be applied retrospectively. As a result, financial statements for periods prior to 2015 have been restated. The adoption did not have a significant effect on the Company’s financial position or results of operations, but the restatement of the consolidated statement of income for the three- and six- month periods ended June 30, 2014 resulted in the removal of $14 million and $26 million, respectively, of losses associated with qualified affordable housing projects from “other costs of operations” and added the amortization of the initial cost of the investment of a similar amount to income tax expense. The similar restatement for the third and fourth quarters of 2014 each reflected approximately $14 million of amortization.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and Regulatory Developments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discussed in M&amp;T’s Form 10-K for the year ended December 31, 2014,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As required by the Dodd-Frank Act, various federal regulatory agencies have adopted a broad range of implementing rules and regulations and have prepared numerous studies and reports for Congress. The implications of the Dodd-Frank Act for the Company’s businesses continue to depend to a large extent on the provisions of those implementing regulations.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discussion of the provisions of the Dodd-Frank Act is included in Part I, Item 1 of M&amp;T’s Form 10-K for the year ended December 31, 2014.</w:t>
      </w:r>
    </w:p>
    <w:p>
      <w:pPr>
        <w:spacing w:after="0" w:line="23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July 2013, the Federal Reserve, the Office of the Comptroller of the Currency and the Federal Deposit Insurance Corporation approved final rules (the “New Capital Rules”) establishing a new comprehensive capital framework for U.S. banking organizations. These rules went into effect as to M&amp;T on January 1, 2015. The New Capital Rules substantially revise the risk-based capital requirements applicable to bank holding companies and their depository institution subsidiaries, including M&amp;T and M&amp;T Bank, as compared to the U.S. general risk-based capital rules that were applicable to M&amp;T and M&amp;T Bank through December 31, 2014.</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New Capital Rules also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are includable in Tier 1 capital, and in 2016 and thereafter, none of M&amp;T’s trust preferred securities will be includable in Tier 1 capital.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On April 15, 2015, in accordance with its 2015 capital plan, M&amp;T redeemed the junior subordinated debentures associated with $310 million of trust preferred securities of M&amp;T Capital Trust I, II and III. A detailed discussion of the New Capital Rules is included in Part I, Item 1 of M&amp;T’s Form 10-K for the year ended December 31, 2014 under the heading “Capital Requirements.” A further discussion of the Company’s regulatory capital ratios is presented herein under the heading “Capital.”</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10, 2013, the Federal Reserve, the Office of the Comptroller of the Currency, the Federal Deposit Insurance Corporation and the Securities and Exchange Commission adopted the final version of the Volcker Rule, which was mandated under the Dodd-Frank Act. Pursuant to the Volcker Rule, banking entities are generally prohibited from engaging in proprietary trading and owning or sponsoring private equity or hedge funds, which are “covered funds” under that rule. Under the Volcker Rule, the Company is now required to be in compliance with the prohibition on proprietary trading and covered funds formed after December 31, 2013. The Federal Reserve extended the compliance period to July 21, 2016 for investments in and relationships with covered funds that were in place prior to January 1, 2014. The Federal Reserve has indicated that it intends to further extend that compliance period to July 21, 2017.</w:t>
      </w:r>
    </w:p>
    <w:p>
      <w:pPr>
        <w:spacing w:after="0" w:line="18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Company believes that it has not engaged in any significant amount of proprietary trading as defined in the Volcker Rule. In addition, a review of the Company’s investments was undertaken to determine if any meet the Volcker Rule’s definition of covered funds. Based on that review, the Company believes that any impact related to investments considered to be covered funds would not have a material effect on the Company’s financial condition or its results of operations. Nevertheless, the Company may be required to divest certain investments subject to the Volcker Rule by the end of the compliance period, as extended.</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September 3, 2014, various federal banking regulators adopted final rules (“Final LCR Rule”) implementing a U.S. version of the Basel Committee’s Liquidity Coverage Ratio requirement (“LCR”) including the modified version applicable to bank holding companies, such as M&amp;T, with $50 billion in total consolidated assets that are not “advanced approaches” institutions. The LCR is intended to ensure that banks hold a sufficient amount of “high quality liquid assets” (“HQLA”) to cover the anticipated net cash outflows during a hypothetical acute 30-day stress scenario. The LCR is the ratio of an institution’s amount of HQLA (the numerator) over projected net cash outflows over the 30-day period (the denominator), in each case, as calculated pursuant to the Final LCR Rule. Once fully phased-in, a subject institution must maintain an LCR equal to at least 100% in order to satisfy this regulatory requirement. Only specific classes of assets, including U.S. Treasury securities, other U.S. government obligations and agency mortgage-backed securities, qualify under the rule as HQLA, with classes of assets deemed relatively less liquid and/or subject to a greater degree of credit risk subject to certain haircuts and caps for purposes of calculating the numerator under the Final LCR Rule.</w:t>
      </w:r>
    </w:p>
    <w:p>
      <w:pPr>
        <w:spacing w:after="0" w:line="18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initial compliance date for the modified LCR is January 1, 2016, with the requirement fully phased-in by January 1, 2017. The Company intends to comply with the LCR as it is phased-in. A detailed discussion of the LCR and its requirements is included in Part I, Item 1 of M&amp;T’s Form 10-K for the year ended December 31, 2014 under the heading “Liquidity Ratios under Basel III.”</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if any, associated with merging acquired operations into the Company, since such items are considered by management to be “nonoperating” in nature. As a result of business combinations and other acquisitions, the Company had intangible assets consisting of goodwill and core deposit and other intangible assets totaling $3.5 billion at June 30, 2015 and $3.6 billion at each of June 30, 2014 and December 31, 2014. Included in such intangible assets was goodwill of $3.5 billion at each of those dates. Amortization of core deposit and other intangible assets, after tax effect, was $4 million or $.03 per diluted common share during each of the two most recent quarters, compared with $6 million ($.04 per diluted common share) during the second quarter of 2014. For the six-month periods ended June 30, 2015 and 2014, amortization of core deposit and other intangible assets, after tax effect, totaled $8 million ($.06 per diluted common share) and $12 million ($.09 per diluted common share), respectively. There were no merger-related expenses in the first six months of 2015 or 2014. Although “net operating income” as defined by M&amp;T is not a GAAP measure, M&amp;T’s management believes that this information helps investors understand the effect of acquisition activity in reported results.</w:t>
      </w:r>
    </w:p>
    <w:p>
      <w:pPr>
        <w:spacing w:after="0" w:line="17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Net operating income during each of the second quarters of 2015 and 2014 was $290 million, compared with $246 million in the initial 2015 quarter. Diluted net operating earnings per common share were $2.01 in the recent quarter, compared with $2.02 and $1.68 in the year-earlier quarter and the first quarter of 2015, respectively. For the first six months of 2015, net operating income and diluted net operating earnings per common share were $536 million and $3.69, respectively, compared with $525 million and $3.68, respectively, in the similar 2014 period.</w:t>
      </w:r>
    </w:p>
    <w:p>
      <w:pPr>
        <w:spacing w:after="0" w:line="17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Net operating income in the second quarter of 2015 expressed as an annualized rate of return on average tangible assets was 1.24%, compared with 1.35% and 1.08% in the second quarter of 2014 and initial 2015 quarter, respectively. Net operating income represented an annualized return on average tangible common equity of 13.76% in the recently completed quarter, compared with 14.92% and 11.90% in the quarters ended June 30, 2014 and March 31, 2015, respectively. For the first six months of 2015, net operating income represented an annualized return on average tangible assets and average tangible common shareholders’ equity of 1.16% and 12.85%, respectively, compared with 1.25% and 13.86%, respectively, in the corresponding 2014 period.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Taxable-equivalent net interest income was $689 million in the recent quarter, up 2% from $675 million in the second quarter of 2014. That improvement reflects the impact of a $7.8 billion or 10% rise in average earning assets that was partially offset by a 23 basis point (hundredths of one percent) narrowing of the Company’s net interest margin, or taxable-equivalent net interest income expressed as an annualized percentage of average earning assets. The increase in average earning assets was attributable to higher average loans and leases of $3.3 billion, investment securities of $3.2 billion and interest-bearing deposits at banks of $1.2 billion. Lower yields on average investment securities and average loans and leases outstanding contributed to the narrowing of the net interest margin. Taxable-equivalent net interest income in the recent quarter was 4% higher than the $665 million recorded in the first quarter of 2015. That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improvement resulted from a $2.1 billion increase in average earning assets that included higher average balances of loans and leases of $1.1 billion, investment securities of $819 million and other earning assets of $219 million. The net interest margin in the recent quarter was 3.17%, unchanged from the first quarter of 2015.</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first half of 2015, taxable-equivalent net interest income was $1.35 billion, up 1% from $1.34 billion in the first six months of 2014. That increase was largely attributable to higher average earning assets, which rose $8.3 billion, or 11%, from the first half of 2014 to $86.3 billion in the first six months of 2015, partially offset by a 29 basis point narrowing of the net interest margin to 3.17% in 2015 from 3.46% in 2014. That narrowing reflected lower yields on average investment securities and average loans outstanding.</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Average loans and leases increased 5% to $67.7 billion in the recent quarter from $64.3 billion in the second quarter of 2014. Average commercial loans and leases were $20.0 billion in the second quarter of 2015, up $1.0 billion, or 5%, from $19.0 billion in the year-earlier quarter. Commercial real estate loans averaged $28.2 billion in the recent quarter, an increase of $2.1 billion, or 8%, from $26.1 billion in the second quarter of 2014. Average residential real estate loans outstanding declined $299 million to $8.4 billion in the second quarter of 2015 from $8.7 billion in the similar quarter of 2014. Included in that portfolio were loans originated for sale, which averaged $437 million in the recent quarter, compared with $421 million in the second quarter of 2014. Average consumer loans and leases totaled $11.0 billion in the recent quarter, $563 million or 5% higher than $10.5 billion in 2014’s second quarter. That growth reflects a $543 million increase in average automobile loan balances.</w:t>
      </w:r>
    </w:p>
    <w:p>
      <w:pPr>
        <w:spacing w:after="0" w:line="17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Average loan and lease balances in the recent quarter rose $1.1 billion from the initial quarter of 2015. Average commercial loan and lease balances increased $516 million, or 3%, average commercial real estate loan balances increased $611 million, or 2%, and average balances of consumer loans increased $80 million, or 1%, while average residential real estate loans declined $125 million, or 1%, from 2015’s first quarter. The accompanying table summarizes quarterly changes in the major components of the loan and lease portfolio.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color w:val="auto"/>
              </w:rPr>
              <w:t>Percent increase</w:t>
            </w:r>
          </w:p>
        </w:tc>
      </w:tr>
      <w:tr>
        <w:trPr>
          <w:trHeight w:val="149"/>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20" w:type="dxa"/>
            <w:vAlign w:val="bottom"/>
            <w:gridSpan w:val="4"/>
          </w:tcPr>
          <w:p>
            <w:pPr>
              <w:jc w:val="right"/>
              <w:ind w:right="500"/>
              <w:spacing w:after="0" w:line="149" w:lineRule="exact"/>
              <w:rPr>
                <w:sz w:val="20"/>
                <w:szCs w:val="20"/>
                <w:color w:val="auto"/>
              </w:rPr>
            </w:pPr>
            <w:r>
              <w:rPr>
                <w:rFonts w:ascii="Arial" w:cs="Arial" w:eastAsia="Arial" w:hAnsi="Arial"/>
                <w:sz w:val="14"/>
                <w:szCs w:val="14"/>
                <w:color w:val="auto"/>
              </w:rPr>
              <w:t>(decrease) from</w:t>
            </w:r>
          </w:p>
        </w:tc>
      </w:tr>
      <w:tr>
        <w:trPr>
          <w:trHeight w:val="149"/>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2nd Qtr.</w:t>
            </w: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90"/>
              </w:rPr>
              <w:t>2nd Qtr.</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1st Qtr.</w:t>
            </w:r>
          </w:p>
        </w:tc>
      </w:tr>
      <w:tr>
        <w:trPr>
          <w:trHeight w:val="167"/>
        </w:trPr>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$19,973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28,208</w:t>
            </w:r>
          </w:p>
        </w:tc>
        <w:tc>
          <w:tcPr>
            <w:tcW w:w="4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8,447</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Home equity lines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5,660</w:t>
            </w:r>
          </w:p>
        </w:tc>
        <w:tc>
          <w:tcPr>
            <w:tcW w:w="4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loans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Other</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3,024</w:t>
            </w:r>
          </w:p>
        </w:tc>
        <w:tc>
          <w:tcPr>
            <w:tcW w:w="4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75"/>
        </w:trPr>
        <w:tc>
          <w:tcPr>
            <w:tcW w:w="67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r>
      <w:tr>
        <w:trPr>
          <w:trHeight w:val="216"/>
        </w:trPr>
        <w:tc>
          <w:tcPr>
            <w:tcW w:w="6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consumer</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r>
      <w:tr>
        <w:trPr>
          <w:trHeight w:val="291"/>
        </w:trPr>
        <w:tc>
          <w:tcPr>
            <w:tcW w:w="6760" w:type="dxa"/>
            <w:vAlign w:val="bottom"/>
          </w:tcPr>
          <w:p>
            <w:pPr>
              <w:ind w:left="1080"/>
              <w:spacing w:after="0"/>
              <w:rPr>
                <w:sz w:val="20"/>
                <w:szCs w:val="20"/>
                <w:color w:val="auto"/>
              </w:rPr>
            </w:pPr>
            <w:r>
              <w:rPr>
                <w:rFonts w:ascii="Arial" w:cs="Arial" w:eastAsia="Arial" w:hAnsi="Arial"/>
                <w:sz w:val="18"/>
                <w:szCs w:val="18"/>
                <w:color w:val="auto"/>
              </w:rPr>
              <w:t>Total</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67,670</w:t>
            </w:r>
          </w:p>
        </w:tc>
        <w:tc>
          <w:tcPr>
            <w:tcW w:w="48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For the first six months of 2015, average loans and leases totaled $67.1 billion, $3.1 billion, or 5%, higher than in the year-earlier period. The most significant factors contributing to that increase were growth in the commercial real estate and commercial loan and lease portfolios.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investment securities portfolio averaged $14.2 billion in the second quarter of 2015, up $3.2 billion, or 30%, from $11.0 billion in the year-earlier quarter and $819 million above the $13.4 billion averaged in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first quarter of 2015. For the first six months of 2015 and 2014, investment securities averaged $13.8 billion and $10.1 billion, respectively. Each of the increases from the respective prior periods reflects the net effect of purchases, partially offset by maturities and paydowns of mortgage-backed securities. The Company purchased approximately $4.6 billion of Fannie Mae securities and $602 million of Ginnie Mae securities that were added to the investment securities portfolio during 2014, and another $2.5 billion of Fannie Mae securities and $470 million of Ginnie Mae securities were purchased during the first six months of 2015. Those purchases reflect increased holdings of investment securities to satisfy the requirements of the LCR that will become effective in January 2016.</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liquidity position and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17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Company regularly reviews its investment securities for declines in value below amortized cost that might be characterized as “other than temporary.” There were no other-than-temporary impairment charges recognized in either of the first six months of 2015 or 2014. Additional information about the investment securities portfolio is included in notes 3 and 12 of Notes to Financial Statements.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earning assets include deposits at the Federal Reserve Bank of New York and other banks, trading account assets, federal funds sold and agreements to resell securities. Those other earning assets in the aggregate averaged $5.5 billion in the recently completed quarter, compared with $4.3 billion and $5.2 billion in the second quarter of 2014 and the first quarter of 2015, respectively. Interest-bearing deposits at banks are the largest component of those other earning assets and averaged $5.3 billion in the second quarter of 2015, $4.1 billion in the year-earlier period and $5.1 billion in the first quarter of 2015. The amounts of investment securities and other earning assets held by the Company are influenced by such factors as demand for loans, which generally yield more than investment securities and other earning assets, liquidity requirements, ongoing repayments, the levels of deposits, and management of balance sheet size and resulting capital ratios.</w:t>
      </w:r>
    </w:p>
    <w:p>
      <w:pPr>
        <w:spacing w:after="0" w:line="18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a result of the changes described herein, average earning assets aggregated $87.3 billion in the recent quarter, compared with $79.6 billion in the corresponding quarter of 2014 and $85.2 billion in the initial quarter of 2015. Average earning assets totaled $86.3 billion and $77.9 billion during the six-month periods ended June 30, 2015 and 2014, respectively.</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$71.2 billion in the second quarter of 2015, up 5% from $67.8 billion in the year-earlier quarter and 2% higher than $70.1 billion in the first quarter of 2015. The growth in core deposits was due, in part, to the lack of attractive alternative investments available to the Company’s customers resulting from lower interest rates and from the economic environment in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U.S. The low interest rate environment has resulted in a shift in customer savings trends, as average time deposits have continued to decline, while average noninterest-bearing deposits and savings deposits have generally increased. The following table provides an analysis of quarterly changes in the components of average core deposits. For the six-month periods ended June 30, 2015 and 2014, core deposits averaged $70.7 billion and $66.7 billion,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color w:val="auto"/>
              </w:rPr>
              <w:t>Percent increase</w:t>
            </w:r>
          </w:p>
        </w:tc>
      </w:t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gridSpan w:val="4"/>
          </w:tcPr>
          <w:p>
            <w:pPr>
              <w:jc w:val="right"/>
              <w:ind w:right="520"/>
              <w:spacing w:after="0" w:line="149" w:lineRule="exact"/>
              <w:rPr>
                <w:sz w:val="20"/>
                <w:szCs w:val="20"/>
                <w:color w:val="auto"/>
              </w:rPr>
            </w:pPr>
            <w:r>
              <w:rPr>
                <w:rFonts w:ascii="Arial" w:cs="Arial" w:eastAsia="Arial" w:hAnsi="Arial"/>
                <w:sz w:val="14"/>
                <w:szCs w:val="14"/>
                <w:color w:val="auto"/>
              </w:rPr>
              <w:t>(decrease) from</w:t>
            </w:r>
          </w:p>
        </w:tc>
      </w:tr>
      <w:tr>
        <w:trPr>
          <w:trHeight w:val="149"/>
        </w:trPr>
        <w:tc>
          <w:tcPr>
            <w:tcW w:w="6740" w:type="dxa"/>
            <w:vAlign w:val="bottom"/>
          </w:tcPr>
          <w:p>
            <w:pPr>
              <w:spacing w:after="0"/>
              <w:rPr>
                <w:sz w:val="12"/>
                <w:szCs w:val="12"/>
                <w:color w:val="auto"/>
              </w:rPr>
            </w:pPr>
          </w:p>
        </w:tc>
        <w:tc>
          <w:tcPr>
            <w:tcW w:w="112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2nd Qtr.</w:t>
            </w:r>
          </w:p>
        </w:tc>
        <w:tc>
          <w:tcPr>
            <w:tcW w:w="10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0"/>
              </w:rPr>
              <w:t>2nd Qtr.</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1st Qtr.</w:t>
            </w:r>
          </w:p>
        </w:tc>
      </w:tr>
      <w:tr>
        <w:trPr>
          <w:trHeight w:val="167"/>
        </w:trPr>
        <w:tc>
          <w:tcPr>
            <w:tcW w:w="6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2015</w:t>
            </w: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40,618</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Time deposits $250,000 or less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2,565</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26,753</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r>
        <w:trPr>
          <w:trHeight w:val="75"/>
        </w:trPr>
        <w:tc>
          <w:tcPr>
            <w:tcW w:w="67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71,242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has additional funding sources including branch-related time deposits over $250,000, deposits associated with the Company’s Cayman Islands office, and brokered deposits. Time deposits over $250,000 averaged $353 million in the second quarter of 2015, compared with $378 million and $347 million in the year-earlier quarter and the first quarter of 2015, respectively. Cayman Islands office deposits averaged $212 million, $339 million and $224 million for the three-month periods ended June 30, 2015, June 30, 2014 and March 31, 2015, respectively. Brokered time deposits were not significant in the quarters ended June 30, 2015, June 30, 2014 or March 31, 2015. The Company has brokered NOW and brokered money-market deposit accounts, which in the aggregate averaged $1.1 billion during each of the recent quarter and year-earlier quarter and $1.0 billion during the initial 2015 quarter. The levels of brokered deposit accounts reflect the demand for such deposits, largely resulting from the desire of brokerage firms to earn reasonable yields while ensuring that customer deposits are fully insured. The level of Cayman Islands office deposits are also reflective of customer demand. Additional amounts of Cayman Islands office deposits and brokered deposits may be added in the future depending on market conditions, including demand by customers and other investors for those deposits, and the cost of funds available from alternative sources at the time.</w:t>
      </w:r>
    </w:p>
    <w:p>
      <w:pPr>
        <w:spacing w:after="0" w:line="16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of New York and others as sources of funding. Average short-term borrowings totaled $195 million in the recent quarter, compared with $220 million in the second quarter of 2014 and $196 million in the initial 2015 quarter. Short-term borrowings were largely comprised of unsecured federal funds borrowings, which generally mature on the next business day.</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Long-term borrowings averaged $10.2 billion in the recent quarter, compared with $6.5 billion in the second quarter of 2014 and $9.8 billion in the initial 2015 quarter. During 2013, M&amp;T Bank initiated a Bank Note Program whereby M&amp;T Bank may offer unsecured senior and subordinated notes. Average balances of the unsecured senior notes issued under that program were $5.5 billion, $2.3 billion and $4.9 billion during the three-month periods ended June 30, 2015, June 30, 2014 and March 31, 2015, respectively. During February 2015, M&amp;T Bank issued $1.5 billion of senior notes of which $750 million mature in 2020 and $750 million mature in 2025. The proceeds from the issuances of borrowings under the Bank Note Program have been predominantly utilized to purchase high-quality liquid assets that will meet the requirements of the LCR. Also included in average long-term borrowings were amounts borrowed from the Federal Home Loan Banks of New York, Atlanta and Pittsburgh of $1.2 billion in each of the first two quarters of 2015 and $396 million in the second quarter of 2014. During the second quarter of 2014, M&amp;T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Bank borrowed approximately $1.1 billion from the Federal Home Loan Bank (“FHLB”) of New York. Subordinated capital notes included in long-term borrowings averaged $1.5 billion in each of the two most recent quarters and $1.6 billion in the quarter ended June 30, 2014. Junior subordinated debentures associated with trust preferred securities that were included in average long-term borrowings totaled $562 million in the recent quarter, compared with $834 million in the second quarter of 2014 and $835 million in the first quarter of 2015. In accordance with its 2015 capital plan, on April 15, 2015 M&amp;T redeemed the junior subordinated debentures associated with the $310 million of trust preferred securities of M&amp;T Capital Trusts I, II and III. Those borrowings had a weighted-average interest rate of 8.24%. Further information regarding junior subordinated debentures is provided in note 5 of Notes to Financial Statements. Also included in long-term borrowings were agreements to repurchase securities, which averaged $1.4 billion during each of the second quarters of 2015 and 2014 and the first quarter of 2015. The agreements have various repurchase dates through 2017, however, the contractual maturities of the underlying securities extend beyond such repurchase dates. The Company has utilized interest rate swap agreements to modify the repricing characteristics of certain components of long-term debt. As of June 30, 2015, interest rate swap agreements were used to hedge approximately $1.4 billion of outstanding fixed rate long-term borrowings. Further information on interest rate swap agreements is provided in note 10 of Notes to Financial Statements.</w:t>
      </w:r>
    </w:p>
    <w:p>
      <w:pPr>
        <w:spacing w:after="0" w:line="17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2.97% in the second quarter of 2015, compared with 3.22% in the year-earlier quarter. The yield on earning assets during the recent quarter was 3.52%, down 21 basis points from 3.73% in the second quarter of 2014, while the rate paid on interest-bearing liabilities increased 4 basis points to .55% from .51%. In the initial quarter of 2015, the net interest spread was 2.97%, the yield on earning assets was 3.54% and the rate paid on interest-bearing liabilities was .57%. For the first half of 2015, the net interest spread was 2.97%, down 30 basis points from the corresponding 2014 period. The yield on earning assets and the rate paid on interest-bearing liabilities were 3.53% and .56%, respectively, during the first six months of 2015, compared with</w:t>
      </w:r>
    </w:p>
    <w:p>
      <w:pPr>
        <w:spacing w:after="0" w:line="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3.80% and .53%, respectively, in the year-earlier period. The narrowing of the net interest spread in the 2015 periods as compared with the three months and six months ended June 30, 2014 reflects the higher level of deposits held at the Federal Reserve Bank of New York, higher average balances of investment securities and long-term borrowings, and the ongoing impact of the low interest rate environment on the yields earned on investment securities and loans.</w:t>
      </w:r>
    </w:p>
    <w:p>
      <w:pPr>
        <w:spacing w:after="0" w:line="15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$30.8 billion in the second quarter of 2015, compared with $28.6 billion in the year-earlier quarter and $29.3 billion in the initial quarter of 2015. The increase in net interest-free funds in the recent quarter as compared with the earlier quarters was largely the result of higher average balances of noninterest-bearing deposits. Such deposits averaged $26.8 billion, $25.5 billion and $25.8 billion in the quarters ended June 30, 2015, June 30, 2014 and March 31, 2015, respectively. During the first six months of 2015 and 2014, average net interest-free funds aggregated $30.0 billion and $27.8 billion, respectively. That increase was also reflective of higher average balances of noninterest-bearing deposits, which totaled $26.3 billion and $24.8 billion during the first six months of 2015 and 2014, respectively. Goodwill and core deposit and other intangible assets averaged $3.5 billion during the recent quarter, compared with $3.6 billion in each of the quarters ended June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30, 2014 and March 31, 2015. Goodwill was reduced by approximately $11 million during the recent quarter as a result of the previously noted sale of the Company’s trade processing business. The cash surrender value of bank owned life insurance averaged $1.7 billion in each of the three-month periods ended June 30, 2015, June 30, 2014 and March 31, 2015. Increases in the cash surrender value of bank owned life insurance and benefits received are not included in interest income, but rather are recorded in “other revenues from operations.” The contribution of net interest-free funds to net interest margin was .20% in the two most recent quarters, compared with .18% in the second quarter of 2014. That contribution for the first six months of 2015 and 2014 was .20% and .19%, respectively.</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3.17% in the recent quarter, unchanged from the first quarter of 2015, but down from 3.40% in the year-earlier quarter. During the first six months of 2015 and 2014, the net interest margin was 3.17% and 3.46%,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spacing w:after="0" w:line="19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interest-bearing liabilities. Periodic settlement amounts arising from these agreements are reflected in the rates paid on interest-bearing liabilities. The notional amount of interest rate swap agreements entered into for interest rate risk management purposes was $1.4 billion at each of March 31 and June 30, 2015, compared with $1.7 billion at June 30, 2014. Under the terms of the interest rate swap agreements outstanding at March 31 and June 30, 2015 and $1.4 billion of the interest rate swap agreements outstanding at June 30, 2014 that were designated as fair value hedges of certain fixed rate long-term borrowings, the Company received payments based on the outstanding notional amount at fixed rates and made payments at variable rates. Under the terms of the remaining $300 million of interest rate swap agreements outstanding at June 30, 2014 that were designated as cash flow hedges related to the forecasted issuance of senior note borrowings in July 2014, the Company was to pay a fixed rate of interest and receive a variable rate. Those forward-starting interest rate swap agreements were terminated upon issuance of the senior note borrowings in July 2014.</w:t>
      </w:r>
    </w:p>
    <w:p>
      <w:pPr>
        <w:spacing w:after="0" w:line="16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The amounts of hedge ineffectiveness recognized during the quarters ended June 30, 2015, June 30, 2014 and March 31, 2015 were not material to the Company’s results of operations. The estimated aggregate fair value of interest rate swap agreements designated as fair value hedges represented gains of approximately $64 million at June 30, 2015, $93 million at June 30, 2014, and $73 million at each of March 31, 2015 and December 31, 2014. The fair values of such interest rate swap agreements were substantially offset by changes in the fair values of the hedged items. The changes in the fair values of the interest rate swap agreements and the hedged items primarily result from the effects of changing interest rates and spreads. The Company’s credit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exposure as of June 30, 2015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$36 million of collateral with the Company.</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4.42% and 1.24%, respectively, at June 30, 2015. The average notional amounts of interest rate swap agreements entered into for interest rate risk management purposes, the related effect on net interest income and margin, and the weighted-average interest rates paid or received on those interest rate swap agreements are presented in the accompanying table. Additional information about the Company’s use of interest rate swap agreements and other derivatives is included in note 10 of Notes to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color w:val="auto"/>
                <w:w w:val="95"/>
              </w:rPr>
              <w:t>Three months ended 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2"/>
                <w:szCs w:val="12"/>
                <w:color w:val="auto"/>
              </w:rPr>
            </w:pP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40"/>
              <w:spacing w:after="0" w:line="142" w:lineRule="exact"/>
              <w:rPr>
                <w:sz w:val="20"/>
                <w:szCs w:val="20"/>
                <w:color w:val="auto"/>
              </w:rPr>
            </w:pPr>
            <w:r>
              <w:rPr>
                <w:rFonts w:ascii="Arial" w:cs="Arial" w:eastAsia="Arial" w:hAnsi="Arial"/>
                <w:sz w:val="14"/>
                <w:szCs w:val="14"/>
                <w:color w:val="auto"/>
              </w:rPr>
              <w:t>Amount</w:t>
            </w: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(11,143)</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(11,264)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Net interest income/margin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11,143</w:t>
            </w:r>
          </w:p>
        </w:tc>
        <w:tc>
          <w:tcPr>
            <w:tcW w:w="300" w:type="dxa"/>
            <w:vAlign w:val="bottom"/>
          </w:tcPr>
          <w:p>
            <w:pPr>
              <w:spacing w:after="0"/>
              <w:rPr>
                <w:sz w:val="24"/>
                <w:szCs w:val="2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11,264</w:t>
            </w:r>
          </w:p>
        </w:tc>
        <w:tc>
          <w:tcPr>
            <w:tcW w:w="46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1,421,978</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Rate received (b)</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line="20" w:lineRule="exact"/>
              <w:rPr>
                <w:sz w:val="1"/>
                <w:szCs w:val="1"/>
                <w:color w:val="auto"/>
              </w:rPr>
            </w:pPr>
          </w:p>
        </w:tc>
      </w:tr>
      <w:tr>
        <w:trPr>
          <w:trHeight w:val="278"/>
        </w:trPr>
        <w:tc>
          <w:tcPr>
            <w:tcW w:w="42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2"/>
                <w:szCs w:val="12"/>
                <w:color w:val="auto"/>
              </w:rPr>
            </w:pP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40"/>
              <w:spacing w:after="0" w:line="142" w:lineRule="exact"/>
              <w:rPr>
                <w:sz w:val="20"/>
                <w:szCs w:val="20"/>
                <w:color w:val="auto"/>
              </w:rPr>
            </w:pPr>
            <w:r>
              <w:rPr>
                <w:rFonts w:ascii="Arial" w:cs="Arial" w:eastAsia="Arial" w:hAnsi="Arial"/>
                <w:sz w:val="14"/>
                <w:szCs w:val="14"/>
                <w:color w:val="auto"/>
              </w:rPr>
              <w:t>Amount</w:t>
            </w: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(22,420)</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(22,556)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Net interest income/margin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22,420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22,556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1,411,050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Rate received (b)</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line="20" w:lineRule="exact"/>
              <w:rPr>
                <w:sz w:val="1"/>
                <w:szCs w:val="1"/>
                <w:color w:val="auto"/>
              </w:rPr>
            </w:pPr>
          </w:p>
        </w:tc>
      </w:tr>
      <w:tr>
        <w:trPr>
          <w:trHeight w:val="278"/>
        </w:trPr>
        <w:tc>
          <w:tcPr>
            <w:tcW w:w="42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720" w:hanging="256"/>
        <w:spacing w:after="0"/>
        <w:tabs>
          <w:tab w:leader="none" w:pos="72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720" w:hanging="256"/>
        <w:spacing w:after="0"/>
        <w:tabs>
          <w:tab w:leader="none" w:pos="72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generally qualify under the Federal Reserve Board’s risk-based capital guidelines for inclusion in the Company’s capital. However, pursuant to the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Dodd-Frank Act, junior subordinated debentures associated with trust preferred securities are being phased-out of the definition of Tier 1 capital. Effective January 1, 2015, 75% of such junior subordinated debentures are excluded from the Company’s Tier 1 capital, and beginning January 1, 2016, 100% will be excluded. The amounts excluded from Tier 1 capital are includable in total capital.</w:t>
      </w:r>
    </w:p>
    <w:p>
      <w:pPr>
        <w:spacing w:after="0" w:line="18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aggregated $111 million, $132 million and $135 million at June 30, 2015, June 30, 2014 and December 31, 2014, respectively. In general, those borrowings were unsecured and matured on the next business day. In addition to satisfying customer demand, Cayman Islands office deposits may be used by the Company as an alternative to short-term borrowings. Cayman Islands office deposits totaled $167 million at June 30, 2015, $238 million at June 30, 2014 and $177 million at December 31, 2014. The Company has also benefited from the placement of brokered deposits. The Company has brokered NOW and brokered money-market deposit accounts which aggregated $1.1 billion at each of June 30, 2015, June 30, 2014 and December 31, 2014. Brokered time deposits were not a significant source of funding as of those dates.</w:t>
      </w:r>
    </w:p>
    <w:p>
      <w:pPr>
        <w:spacing w:after="0" w:line="16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$4 million at June 30, 2014 while there were no outstanding VRDBs in the Company’s trading account at June 30, 2015 or December 31, 2014. The total amount of VRDBs outstanding backed by M&amp;T Bank letters of credit was $1.8 billion at June 30, 2015, compared with $1.7 billion at June 30, 2014 and $2.0 billion at December 31, 2014. M&amp;T Bank also serves as remarketing agent for most of those bonds.</w:t>
      </w:r>
    </w:p>
    <w:p>
      <w:pPr>
        <w:spacing w:after="0" w:line="16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2015 approximately $1.3 billion was available for payment of dividends to M&amp;T from banking subsidiaries. Information regarding the long-term debt obligations of M&amp;T is included in note 5 of Notes to Financial Statements.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finalized rules requiring a banking company to maintain a minimum amount of liquid assets to withstand a standardized supervisory liquidity stress scenario. The effective date for those rules for the Company is January 1, 2016, subject to a phase-in period. The Company has taken steps as noted herein to enhance its liquidity and will take further action, as necessary, to comply with the final regulations when they take effect.</w:t>
      </w:r>
    </w:p>
    <w:p>
      <w:pPr>
        <w:spacing w:after="0" w:line="18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that is reflective of current interest rates.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accompanying table as of June 30, 2015 and December 31, 2014 displays the estimated impact on net interest income from non-trading financial instruments in the base scenario described above resulting from parallel changes in interest rates across repricing categories during the first modeling year.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4"/>
                <w:szCs w:val="14"/>
                <w:color w:val="auto"/>
              </w:rPr>
              <w:t>Calculated increase (decrease) in</w:t>
            </w:r>
          </w:p>
        </w:tc>
        <w:tc>
          <w:tcPr>
            <w:tcW w:w="0" w:type="dxa"/>
            <w:vAlign w:val="bottom"/>
          </w:tcPr>
          <w:p>
            <w:pPr>
              <w:spacing w:after="0"/>
              <w:rPr>
                <w:sz w:val="1"/>
                <w:szCs w:val="1"/>
                <w:color w:val="auto"/>
              </w:rPr>
            </w:pPr>
          </w:p>
        </w:tc>
      </w:tr>
      <w:tr>
        <w:trPr>
          <w:trHeight w:val="16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500" w:type="dxa"/>
            <w:vAlign w:val="bottom"/>
          </w:tcPr>
          <w:p>
            <w:pPr>
              <w:spacing w:after="0"/>
              <w:rPr>
                <w:sz w:val="14"/>
                <w:szCs w:val="14"/>
                <w:color w:val="auto"/>
              </w:rPr>
            </w:pPr>
          </w:p>
        </w:tc>
        <w:tc>
          <w:tcPr>
            <w:tcW w:w="2760" w:type="dxa"/>
            <w:vAlign w:val="bottom"/>
            <w:gridSpan w:val="5"/>
          </w:tcPr>
          <w:p>
            <w:pPr>
              <w:jc w:val="right"/>
              <w:ind w:right="600"/>
              <w:spacing w:after="0"/>
              <w:rPr>
                <w:sz w:val="20"/>
                <w:szCs w:val="20"/>
                <w:color w:val="auto"/>
              </w:rPr>
            </w:pPr>
            <w:r>
              <w:rPr>
                <w:rFonts w:ascii="Arial" w:cs="Arial" w:eastAsia="Arial" w:hAnsi="Arial"/>
                <w:sz w:val="14"/>
                <w:szCs w:val="14"/>
                <w:color w:val="auto"/>
              </w:rPr>
              <w:t>projected net interest income</w:t>
            </w:r>
          </w:p>
        </w:tc>
        <w:tc>
          <w:tcPr>
            <w:tcW w:w="0" w:type="dxa"/>
            <w:vAlign w:val="bottom"/>
          </w:tcPr>
          <w:p>
            <w:pPr>
              <w:spacing w:after="0"/>
              <w:rPr>
                <w:sz w:val="1"/>
                <w:szCs w:val="1"/>
                <w:color w:val="auto"/>
              </w:rPr>
            </w:pPr>
          </w:p>
        </w:tc>
      </w:tr>
      <w:tr>
        <w:trPr>
          <w:trHeight w:val="167"/>
        </w:trPr>
        <w:tc>
          <w:tcPr>
            <w:tcW w:w="1420" w:type="dxa"/>
            <w:vAlign w:val="bottom"/>
            <w:vMerge w:val="continue"/>
          </w:tcPr>
          <w:p>
            <w:pPr>
              <w:spacing w:after="0"/>
              <w:rPr>
                <w:sz w:val="14"/>
                <w:szCs w:val="14"/>
                <w:color w:val="auto"/>
              </w:rPr>
            </w:pPr>
          </w:p>
        </w:tc>
        <w:tc>
          <w:tcPr>
            <w:tcW w:w="5680" w:type="dxa"/>
            <w:vAlign w:val="bottom"/>
            <w:gridSpan w:val="3"/>
          </w:tcPr>
          <w:p>
            <w:pPr>
              <w:jc w:val="right"/>
              <w:ind w:right="380"/>
              <w:spacing w:after="0"/>
              <w:rPr>
                <w:sz w:val="20"/>
                <w:szCs w:val="20"/>
                <w:color w:val="auto"/>
              </w:rPr>
            </w:pPr>
            <w:r>
              <w:rPr>
                <w:rFonts w:ascii="Arial" w:cs="Arial" w:eastAsia="Arial" w:hAnsi="Arial"/>
                <w:sz w:val="14"/>
                <w:szCs w:val="14"/>
                <w:color w:val="auto"/>
              </w:rPr>
              <w:t>June 30, 2015</w:t>
            </w:r>
          </w:p>
        </w:tc>
        <w:tc>
          <w:tcPr>
            <w:tcW w:w="158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 2014</w:t>
            </w: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+200 basis points</w:t>
            </w:r>
          </w:p>
        </w:tc>
        <w:tc>
          <w:tcPr>
            <w:tcW w:w="4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285,026</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153,675</w:t>
            </w:r>
          </w:p>
        </w:tc>
        <w:tc>
          <w:tcPr>
            <w:tcW w:w="3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134,393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(74,351)</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(74,634)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increases in interest rates during a twelve-month period of 100 and 200 basis points, as compared with the assumed base scenario, as well as a gradual decrease of 100 basis points. In the second quarter of 2015, the Company suspended the -200 basis points scenario due to the persistent low level of interest rates. This scenario will be reinstated if and when interest rates rise sufficiently to make the analysis more meaningful. In the declining rate scenario, the rate changes may be limited to lesser amounts such that interest rates remain positive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83"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such securities is presented herein under the heading “Capital” and in notes 3 and 12 of Notes to Financial Statements.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positions that are also included in the trading account. The fair values of the offsetting trading account positions associated with</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5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notional amounts of interest rate contracts entered into for trading account purposes totaled $17.2 billion at June 30, 2015, compared with $17.6 billion at each of June 30, 2014 and December 31, 2014. The notional amounts of foreign currency and other option and futures contracts entered into for trading account purposes aggregated $1.6 billion at June 30, 2015, compared with $866 million at June 30, 2014 and $1.3 billion at December 31, 2014. Although the notional amounts of these contracts are not recorded in the consolidated balance sheet, the fair values of all financial instruments used for trading account activities are recorded in the consolidated balance sheet. The fair values of all trading account assets and liabilities totaled $277 million and $172 million, respectively, at June 30, 2015, $313 million and $202 million, respectively, at June 30, 2014, and $308 million and $203 million, respectively, at December 31, 2014. Included in trading account assets were assets related to deferred compensation plans totaling $24 million at June 30, 2015, $26 million at June 30, 2014 and $27 million at December 31, 2014. Changes in the fair value of such assets are recorded as “trading account and foreign exchange gains” in the consolidated statement of income. Included in “other liabilities” in the consolidated balance sheet at June 30, 2015 were $28 million of liabilities related to deferred compensation plans, compared with $30 million at each of June 30, 2014 and December 31, 2014. Changes in the balances of such liabilities due to the valuation of allocated investment options to which the liabilities are indexed are recorded in “other costs of operations” in the consolidated statement of income.</w:t>
      </w:r>
    </w:p>
    <w:p>
      <w:pPr>
        <w:spacing w:after="0" w:line="1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$30 million in each of the second quarters of 2015 and 2014, compared with $38 million in the initial quarter of 2015. For the six-month periods ended June 30, 2015 and 2014, the provision for credit losses was $68 million and $62 million, respectively. Net charge-offs of loans were $21 million in the recently completed quarter, compared with $29 million in the year-earlier quarter and $36 million in the first quarter of 2015. Net charge-offs as an annualized percentage of average loans and leases were .13% in the second quarter of 2015, compared with .18% and .22% in the quarters ended June 30, 2014 and March 31, 2015, respectively. Net loan charge-offs for the six-month period ended June 30 aggregated $58 million in 2015 and $61 million in 2014, representing an annualized rate of .17% and .19%, respectively,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 A summary of net charge–offs by loan type is presented in the table that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1st Qtr.</w:t>
            </w:r>
          </w:p>
        </w:tc>
        <w:tc>
          <w:tcPr>
            <w:tcW w:w="10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2nd Qtr.</w:t>
            </w:r>
          </w:p>
        </w:tc>
        <w:tc>
          <w:tcPr>
            <w:tcW w:w="5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to-date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financial,leasing, etc.</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12,467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2,429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c>
          <w:tcPr>
            <w:tcW w:w="4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2,071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19,555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12,830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32,385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36,189</w:t>
            </w:r>
          </w:p>
        </w:tc>
        <w:tc>
          <w:tcPr>
            <w:tcW w:w="44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21,386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57,575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1st Qtr.</w:t>
            </w:r>
          </w:p>
        </w:tc>
        <w:tc>
          <w:tcPr>
            <w:tcW w:w="10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2nd Qtr.</w:t>
            </w:r>
          </w:p>
        </w:tc>
        <w:tc>
          <w:tcPr>
            <w:tcW w:w="5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to-date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financial,leasing, etc.</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10,140</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19,286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5,822</w:t>
            </w:r>
          </w:p>
        </w:tc>
        <w:tc>
          <w:tcPr>
            <w:tcW w:w="4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2,701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16,651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14,939</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31,590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31,908</w:t>
            </w:r>
          </w:p>
        </w:tc>
        <w:tc>
          <w:tcPr>
            <w:tcW w:w="44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29,102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61,010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Included in net charge-offs of consumer loans were net charge-offs during the quarters ended June 30, 2015, June 30, 2014 and March 31, 2015, respectively, of: automobile loans of $2 million, $2 million and $4 million; recreational vehicle loans of $2 million, $3 million and $3 million; and home equity loans and lines of credit, including Alt-A second lien loans, of $3 million, $5 million and $6 million. Alt-A loans represent loans secured by residential real estate that at origination typically included some form of limited borrower documentation requirements as compared with more traditional loans. Loans in the Company’s Alt-A portfolio were originated by the Company prior to 2008.</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$2.2 billion, $3.2 billion and $2.6 billion at June 30, 2015, June 30, 2014 and December 31, 2014, respectively. The portion of the nonaccretable balance related to remaining principal losses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well as life–to–date principal losses charged against the nonaccretable balance as of June 30, 2015 and December 31, 2014 are presented in the accompanying table.</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color w:val="auto"/>
                <w:w w:val="94"/>
              </w:rPr>
              <w:t>Nonaccretable balance – principal</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4"/>
          </w:tcPr>
          <w:p>
            <w:pPr>
              <w:jc w:val="right"/>
              <w:ind w:right="900"/>
              <w:spacing w:after="0" w:line="142" w:lineRule="exact"/>
              <w:rPr>
                <w:sz w:val="20"/>
                <w:szCs w:val="20"/>
                <w:color w:val="auto"/>
              </w:rPr>
            </w:pPr>
            <w:r>
              <w:rPr>
                <w:rFonts w:ascii="Arial" w:cs="Arial" w:eastAsia="Arial" w:hAnsi="Arial"/>
                <w:sz w:val="14"/>
                <w:szCs w:val="14"/>
                <w:color w:val="auto"/>
              </w:rPr>
              <w:t>Remaining balance</w:t>
            </w:r>
          </w:p>
        </w:tc>
        <w:tc>
          <w:tcPr>
            <w:tcW w:w="1940" w:type="dxa"/>
            <w:vAlign w:val="bottom"/>
            <w:gridSpan w:val="3"/>
          </w:tcPr>
          <w:p>
            <w:pPr>
              <w:ind w:left="360"/>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r>
      <w:tr>
        <w:trPr>
          <w:trHeight w:val="123"/>
        </w:trPr>
        <w:tc>
          <w:tcPr>
            <w:tcW w:w="6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580"/>
              <w:spacing w:after="0" w:line="123" w:lineRule="exact"/>
              <w:rPr>
                <w:sz w:val="20"/>
                <w:szCs w:val="20"/>
                <w:color w:val="auto"/>
              </w:rPr>
            </w:pPr>
            <w:r>
              <w:rPr>
                <w:rFonts w:ascii="Arial" w:cs="Arial" w:eastAsia="Arial" w:hAnsi="Arial"/>
                <w:sz w:val="14"/>
                <w:szCs w:val="14"/>
                <w:color w:val="auto"/>
                <w:w w:val="89"/>
              </w:rPr>
              <w:t>June 30,</w:t>
            </w: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48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580"/>
              <w:spacing w:after="0" w:line="123" w:lineRule="exact"/>
              <w:rPr>
                <w:sz w:val="20"/>
                <w:szCs w:val="20"/>
                <w:color w:val="auto"/>
              </w:rPr>
            </w:pPr>
            <w:r>
              <w:rPr>
                <w:rFonts w:ascii="Arial" w:cs="Arial" w:eastAsia="Arial" w:hAnsi="Arial"/>
                <w:sz w:val="14"/>
                <w:szCs w:val="14"/>
                <w:color w:val="auto"/>
              </w:rPr>
              <w:t>June 30,</w:t>
            </w: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r>
      <w:tr>
        <w:trPr>
          <w:trHeight w:val="167"/>
        </w:trPr>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20" w:type="dxa"/>
            <w:vAlign w:val="bottom"/>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18,628</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19,589</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78,489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78,736</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51,796</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70,261</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267,046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276,681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13,906</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15,958</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60,686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59,552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26,398</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29,582</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79,502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77,819</w:t>
            </w:r>
          </w:p>
        </w:tc>
      </w:tr>
      <w:tr>
        <w:trPr>
          <w:trHeight w:val="75"/>
        </w:trPr>
        <w:tc>
          <w:tcPr>
            <w:tcW w:w="60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110,728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135,390</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485,723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492,788</w:t>
            </w:r>
          </w:p>
        </w:tc>
      </w:tr>
      <w:tr>
        <w:trPr>
          <w:trHeight w:val="20"/>
        </w:trPr>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Loans classified as nonaccrual totaled $797 million or 1.17% of total loans and leases outstanding at June 30, 2015, compared with $880 million or 1.36% at June 30, 2014, $799 million or 1.20% at December 31, 2014 and $791 million or 1.18% at March 31, 2015. The decline in nonaccrual loans at the most recent quarter-end as compared with June 30, 2014 was largely due to lower commercial real estate loans, including residential builder and developer and construction loans, and residential real estate loans, partially offset by an increase in commercial loans in nonaccrual status.</w:t>
      </w:r>
    </w:p>
    <w:p>
      <w:pPr>
        <w:spacing w:after="0" w:line="154"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Accruing loans past due 90 days or more (excluding acquired loans) were $239 million or .35% of total loans and leases at June 30, 2015, compared with $289 million or .45% at June 30, 2014, $245 million or .37% at December 31, 2014 and $237 million or .35% at March 31, 2015. Those loans included loans guaranteed by government-related entities of $207 million at June 30, 2015, $276 million at June 30, 2014, $218 million at December 31, 2014 and $194 million at March 31, 2015.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fully guaranteed by government–related entities totaled $195 million at June 30, 2015, $238 million at June 30, 2014, $196 million at December 31, 2014 and $178 million at March 31, 2015. The remaining accruing loans past due 90 days or more not guaranteed by government-related entities were loans considered to be with creditworthy borrowers that were in the process of collection or renewal. Acquired accruing loans past due 90 days or more are loans that could not be specifically identified as impaired as of the acquisition date, but were recorded at estimated fair value as of such date. Such loans totaled $79 million at June 30, 2015, compared with $135 million at June 30, 2014, $110 million at December 31, 2014 and $80 million at March 31, 2015.</w:t>
      </w:r>
    </w:p>
    <w:p>
      <w:pPr>
        <w:spacing w:after="0" w:line="1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$169</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million at June 30, 2015, or approximately .25% of total loans. Purchased impaired loans totaled $283 million and $198 million at June 30 and December 31, 2014, respectively. The decline in such loans from June 30, 2014 was predominantly the result of payments received from customers.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considers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$156 million, $158 million and $149 million at June 30, 2015, June 30, 2014 and December 31, 2014, respectively.</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Nonaccrual commercial loans and leases aggregated $210 million at June 30, 2015, $192 million at June 30, 2014, $177 million at December 31, 2014 and $195 million at March 31, 2015. The increase in nonaccrual commercial loans since December 31, 2014 was not concentrated in any specific industry group. Commercial real estate loans classified as nonaccrual totaled $246 million at June 30, 2015, $296 million at June 30, 2014, $239 million at December 31, 2014 and $232 million at March 31, 2015. The decrease in such loans at the most recent quarter-end as compared with June 30, 2014 was due, in part, to improving economic conditions and reflected lower loans in nonaccrual status to residential builders and developers. Loans to residential builders and developers in nonaccrual status aggregated $57 million at June 30, 2015, $84 million at June 30, 2014, $72 million at December 31, 2014 and $65 million at March 31, 2015. Information about the location of nonaccrual and charged–off loans to residential real estate builders and developers as of and for the three-month period ended June 30, 2015 is presented in the accompanying table.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color w:val="auto"/>
                <w:w w:val="87"/>
              </w:rPr>
              <w:t>June 30, 2015</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June 30, 2015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tcPr>
          <w:p>
            <w:pPr>
              <w:jc w:val="center"/>
              <w:ind w:right="19"/>
              <w:spacing w:after="0" w:line="123" w:lineRule="exact"/>
              <w:rPr>
                <w:sz w:val="20"/>
                <w:szCs w:val="20"/>
                <w:color w:val="auto"/>
              </w:rPr>
            </w:pPr>
            <w:r>
              <w:rPr>
                <w:rFonts w:ascii="Arial" w:cs="Arial" w:eastAsia="Arial" w:hAnsi="Arial"/>
                <w:sz w:val="14"/>
                <w:szCs w:val="14"/>
                <w:color w:val="auto"/>
                <w:w w:val="91"/>
              </w:rPr>
              <w:t>Net charge-offs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980"/>
              <w:spacing w:after="0"/>
              <w:rPr>
                <w:sz w:val="20"/>
                <w:szCs w:val="20"/>
                <w:color w:val="auto"/>
              </w:rPr>
            </w:pPr>
            <w:r>
              <w:rPr>
                <w:rFonts w:ascii="Arial" w:cs="Arial" w:eastAsia="Arial" w:hAnsi="Arial"/>
                <w:sz w:val="14"/>
                <w:szCs w:val="14"/>
                <w:color w:val="auto"/>
              </w:rPr>
              <w:t>Nonaccrual</w:t>
            </w:r>
          </w:p>
        </w:tc>
        <w:tc>
          <w:tcPr>
            <w:tcW w:w="10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color w:val="auto"/>
                <w:w w:val="91"/>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Percent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7"/>
              </w:rPr>
              <w:t>Outstanding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outstanding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w w:val="96"/>
              </w:rPr>
              <w:t>balances (a)</w:t>
            </w:r>
          </w:p>
        </w:tc>
        <w:tc>
          <w:tcPr>
            <w:tcW w:w="28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color w:val="auto"/>
                <w:w w:val="97"/>
              </w:rPr>
              <w:t>Balances</w:t>
            </w:r>
          </w:p>
        </w:tc>
        <w:tc>
          <w:tcPr>
            <w:tcW w:w="3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85"/>
              </w:rPr>
              <w:t>balances</w:t>
            </w:r>
          </w:p>
        </w:tc>
        <w:tc>
          <w:tcPr>
            <w:tcW w:w="920" w:type="dxa"/>
            <w:vAlign w:val="bottom"/>
            <w:gridSpan w:val="3"/>
          </w:tcPr>
          <w:p>
            <w:pPr>
              <w:spacing w:after="0"/>
              <w:rPr>
                <w:sz w:val="20"/>
                <w:szCs w:val="20"/>
                <w:color w:val="auto"/>
              </w:rPr>
            </w:pPr>
            <w:r>
              <w:rPr>
                <w:rFonts w:ascii="Arial" w:cs="Arial" w:eastAsia="Arial" w:hAnsi="Arial"/>
                <w:sz w:val="14"/>
                <w:szCs w:val="14"/>
                <w:color w:val="auto"/>
              </w:rPr>
              <w:t>Balances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color w:val="auto"/>
                <w:w w:val="92"/>
              </w:rPr>
              <w:t>(dollars in thousands)</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894,301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8,132</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Pennsylvania</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141,115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32,183</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1,237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426,622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17,733</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371,214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1,479</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1,833,252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59,527</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1,610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$26 million of loans not secured by real estate, of which approximately $3 million are in nonaccrual status.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Residential real estate loans classified as nonaccrual were $233 million at June 30, 2015, compared with $278 million at June 30, 2014, $258 million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and $246 million at March 31, 2015. Included in residential real estate loans classified as nonaccrual were Alt-A loans of $68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 million, $78 million and $74 million at June 30, 2015, June 30, 2014, December 31, 2014 and March 31, 2015, respectively. Residential real estate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past due 90 days or more and accruing interest (excluding acquired loans) totaled $207 million at June 30, 2015, compared with $270 million at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$216 million at December 31, 2014 and $197 million at March 31, 2015. A substantial portion of such amounts related to loans guaranteed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government-related entities. Information about the location of nonaccrual and charged–off residential real estate loans as of and for the quarter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 is presented in the accompanying table.</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Nonaccrual consumer loans totaled $108 million at June 30, 2015, compared with $114 million at June 30, 2014, $125 million at December 31, 2014 and $118 million at March 31, 2015. Included in nonaccrual consumer loans at June 30, 2015, June 30, 2014, December 31, 2014 and March 31, 2015 were: automobile loans of $15 million, $16 million, $18 million and $14 million, respectively; recreational vehicle loans of $8 million, $8 million, $11 million and $9 million, respectively; and outstanding balances of home equity loans and lines of credit, including junior lien Alt-A loans, of $78 million, $84 million, $89 million and $88 million, respectively. Information about the location of nonaccrual and charged–off home equity loans and lines of credit as of and for the quarter ended June 30, 2015 is presented in the accompanying table.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ind w:left="120"/>
              <w:spacing w:after="0"/>
              <w:rPr>
                <w:sz w:val="20"/>
                <w:szCs w:val="20"/>
                <w:color w:val="auto"/>
              </w:rPr>
            </w:pPr>
            <w:r>
              <w:rPr>
                <w:rFonts w:ascii="Arial" w:cs="Arial" w:eastAsia="Arial" w:hAnsi="Arial"/>
                <w:sz w:val="14"/>
                <w:szCs w:val="14"/>
                <w:color w:val="auto"/>
              </w:rPr>
              <w:t>June 30, 2015</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4"/>
                <w:szCs w:val="14"/>
                <w:color w:val="auto"/>
                <w:w w:val="90"/>
              </w:rPr>
              <w:t>June 30, 2015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12"/>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1020"/>
              <w:spacing w:after="0"/>
              <w:rPr>
                <w:sz w:val="20"/>
                <w:szCs w:val="20"/>
                <w:color w:val="auto"/>
              </w:rPr>
            </w:pPr>
            <w:r>
              <w:rPr>
                <w:rFonts w:ascii="Arial" w:cs="Arial" w:eastAsia="Arial" w:hAnsi="Arial"/>
                <w:sz w:val="14"/>
                <w:szCs w:val="14"/>
                <w:color w:val="auto"/>
              </w:rPr>
              <w:t>Nonaccrual</w:t>
            </w: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7"/>
              </w:rPr>
              <w:t>Percent of</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7"/>
              </w:rPr>
              <w:t>Outstanding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1"/>
              </w:rPr>
              <w:t>outstanding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balances</w:t>
            </w:r>
          </w:p>
        </w:tc>
        <w:tc>
          <w:tcPr>
            <w:tcW w:w="26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color w:val="auto"/>
              </w:rPr>
              <w:t>Balances</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balances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Balances</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3,475,623</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62,928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499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1,096,950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17,834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2,013,862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31,059</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252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1,512,395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51,258</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8,098,830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163,079</w:t>
            </w:r>
          </w:p>
        </w:tc>
        <w:tc>
          <w:tcPr>
            <w:tcW w:w="3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1,469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6,738</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31,516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1,642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53,178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16,482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259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25.73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8,525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40,718</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314,196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68,185</w:t>
            </w:r>
          </w:p>
        </w:tc>
        <w:tc>
          <w:tcPr>
            <w:tcW w:w="3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15,345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3,107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68,864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920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135,401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7,216</w:t>
            </w:r>
          </w:p>
        </w:tc>
        <w:tc>
          <w:tcPr>
            <w:tcW w:w="3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1,351,467</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14,406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328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860,104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3,407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3,086,238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25,585</w:t>
            </w:r>
          </w:p>
        </w:tc>
        <w:tc>
          <w:tcPr>
            <w:tcW w:w="3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482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13,221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3,613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57,565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1,483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94,471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6,637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940,663</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26,119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1,078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1,171,040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6,540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933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2,563,066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38,169</w:t>
            </w:r>
          </w:p>
        </w:tc>
        <w:tc>
          <w:tcPr>
            <w:tcW w:w="3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2,431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Real estate and other foreclosed assets were $64 million at each of June 30, 2015 and December 31, 2014, compared with $60 million at June 30, 2014 and $63 million at March 31, 2015. At June 30, 2015, foreclosed assets included $43 million of residential real estate properties.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208"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279"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color w:val="auto"/>
              </w:rPr>
              <w:t>2015 Quarters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2014 Quarters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Second</w:t>
            </w: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820" w:type="dxa"/>
            <w:vAlign w:val="bottom"/>
            <w:gridSpan w:val="2"/>
          </w:tcPr>
          <w:p>
            <w:pPr>
              <w:ind w:left="140"/>
              <w:spacing w:after="0"/>
              <w:rPr>
                <w:sz w:val="20"/>
                <w:szCs w:val="20"/>
                <w:color w:val="auto"/>
              </w:rPr>
            </w:pPr>
            <w:r>
              <w:rPr>
                <w:rFonts w:ascii="Arial" w:cs="Arial" w:eastAsia="Arial" w:hAnsi="Arial"/>
                <w:sz w:val="14"/>
                <w:szCs w:val="14"/>
                <w:color w:val="auto"/>
              </w:rPr>
              <w:t>Fourth</w:t>
            </w:r>
          </w:p>
        </w:tc>
        <w:tc>
          <w:tcPr>
            <w:tcW w:w="2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rPr>
              <w:t>Third</w:t>
            </w:r>
          </w:p>
        </w:tc>
        <w:tc>
          <w:tcPr>
            <w:tcW w:w="860" w:type="dxa"/>
            <w:vAlign w:val="bottom"/>
            <w:gridSpan w:val="2"/>
          </w:tcPr>
          <w:p>
            <w:pPr>
              <w:ind w:left="120"/>
              <w:spacing w:after="0"/>
              <w:rPr>
                <w:sz w:val="20"/>
                <w:szCs w:val="20"/>
                <w:color w:val="auto"/>
              </w:rPr>
            </w:pPr>
            <w:r>
              <w:rPr>
                <w:rFonts w:ascii="Arial" w:cs="Arial" w:eastAsia="Arial" w:hAnsi="Arial"/>
                <w:sz w:val="14"/>
                <w:szCs w:val="14"/>
                <w:color w:val="auto"/>
              </w:rPr>
              <w:t>Second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797,146</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790,586</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799,151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847,784</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880,134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63,734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62,578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63,635</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67,629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59,793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860,880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853,164</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862,786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915,413</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939,927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8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 (a)</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238,568</w:t>
            </w:r>
          </w:p>
        </w:tc>
        <w:tc>
          <w:tcPr>
            <w:tcW w:w="36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236,621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245,020</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312,990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289,016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Nonaccrual loans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58,259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60,508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69,095</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68,586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Accruing loans past due 90 days or more</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206,775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193,618</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217,822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265,333</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275,846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80" w:type="dxa"/>
            <w:vAlign w:val="bottom"/>
            <w:gridSpan w:val="2"/>
          </w:tcPr>
          <w:p>
            <w:pPr>
              <w:spacing w:after="0"/>
              <w:rPr>
                <w:sz w:val="20"/>
                <w:szCs w:val="20"/>
                <w:color w:val="auto"/>
              </w:rPr>
            </w:pPr>
            <w:r>
              <w:rPr>
                <w:rFonts w:ascii="Arial" w:cs="Arial" w:eastAsia="Arial" w:hAnsi="Arial"/>
                <w:sz w:val="18"/>
                <w:szCs w:val="18"/>
                <w:color w:val="auto"/>
              </w:rPr>
              <w:t>Renegotiated loans</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197,145</w:t>
            </w:r>
          </w:p>
        </w:tc>
        <w:tc>
          <w:tcPr>
            <w:tcW w:w="36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198,911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202,633</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209,099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270,223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 (b)</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78,591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80,110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110,367</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132,147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134,580</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 (c):</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customer balance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312,507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335,079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369,080</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429,915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504,584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Carrying amount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169,240</w:t>
            </w: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184,018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197,737</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236,662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282,517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8"/>
                <w:szCs w:val="18"/>
                <w:color w:val="auto"/>
              </w:rPr>
              <w:t>Nonperforming assets to total net loans and leases and real estate and other</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foreclosed assets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02"/>
        </w:trPr>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Accruing loans past due 90 days or more (a) to total loans and leases, net of unearned</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0"/>
        </w:trPr>
        <w:tc>
          <w:tcPr>
            <w:tcW w:w="6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23" w:lineRule="exact"/>
        <w:rPr>
          <w:rFonts w:ascii="Arial" w:cs="Arial" w:eastAsia="Arial" w:hAnsi="Arial"/>
          <w:sz w:val="18"/>
          <w:szCs w:val="18"/>
          <w:i w:val="1"/>
          <w:iCs w:val="1"/>
          <w:color w:val="auto"/>
        </w:rPr>
      </w:pPr>
    </w:p>
    <w:p>
      <w:pPr>
        <w:ind w:left="460" w:right="620" w:hanging="452"/>
        <w:spacing w:after="0" w:line="250" w:lineRule="auto"/>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Management cautiously and conservatively evaluated the allowance for credit losses as of June 30, 2015 in light of: (i) residential real estate values and the level of delinquencies of loans secured by residential real estate; (ii) economic conditions in the markets served by the Company; (iii) continuing weakness in industrial employment in upstate New York and central Pennsylvania;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troubled state of financial and credit markets, including the impact international economic conditions could have on the U.S. economy; Federal Reserve positioning of monetary policy; low levels of workforce participation; and continued stagnant population growth in the upstate New York and central Pennsylvania regions (approximately 60% of the Company’s loans are to customers in New York State and Pennsylvania).</w:t>
      </w:r>
    </w:p>
    <w:p>
      <w:pPr>
        <w:spacing w:after="0" w:line="19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Company utilizes a loan grading system which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$2.3 billion at June 30, 2015, up from $2.0 billion at March 31, 2015 and $1.8 billion at each of June 30, 2014 and December 31, 2014. The net increase in such loans since March 31, 2015 included approximately $216 million of commercial real estate loan balances and $137 million of commercial loan balances. Increases in criticized loan balances since December 31, 2014 included approximately $282 million categorized as commercial real estate loans and $266 million as commercial loans. Approximately 99% of loan balances added to the criticized category during the first six months of 2015 were less than 90 days past due and 94% had a</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current payment status. Given payment performance, amount of supporting collateral, and, in certain instances, the existence of loan guarantees, the incremental impact to the allowance for credit losses resulting from these additions to the criticized loan category was not material. The borrower industries most significantly impacting the higher level of criticized loans were investment real estate, services and manufacturing. The metropolitan New York City region was most affected by the increases. Loan officers with the support of loan review personnel in different geographic locations are responsible to review and reassign loan grades to pass and criticized loans based on their detailed knowledge of individual borrowers and their judgment of the impact on such borrowers resulting from changing conditions in their respective geographic regions. At least annually, updated financial information is obtained from commercial borrowers associated with pass grade loans and additional analysis is performed. On a quarterly basis, the Company’s centralized loan review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is classified as nonaccrual. At June 30, 2015, approximately 55% of the Company’s home equity portfolio consisted of first lien loans and lines of credit. Of the remaining junior lien loans in the portfolio, approximately 73% (or approximately 32%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each of June 30, 2015 and March 31, 2015, the balance of junior lien loans and lines that were in nonaccrual status solely as a result of</w:t>
      </w: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first lien loan performance was $22 million, compared with $29 million at June 30, 2014 and $24 million at December 31, 2014.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June 30, 2015, approximately 89% of all outstanding balances of home equity lines of credit related to lines that were still in the draw period, the weighted-average remaining draw periods were approximately five years, and approximately 15% were making contractually allowed payments that do not include any repayment of principal.</w:t>
      </w:r>
    </w:p>
    <w:p>
      <w:pPr>
        <w:spacing w:after="0" w:line="18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Except for consumer loans and residential real estate loans that are considered smaller balance homogeneous loans and are evaluated collectively and loans obtained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7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Management believes that the allowance for credit losses at June 30, 2015 appropriately reflected credit losses inherent in the portfolio as of that date. The allowance for credit losses was $930 million, or 1.36% of total loans and leases at June 30, 2015, compared with $918 million or 1.42% at June 30, 2014 and $920 million or 1.38% at December 31, 2014. The ratio of the allowance to total loans and leases at each respective date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117% at June 30, 2015, compared with 104% at June 30, 2014 and 115% at December 31, 2014.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income totaled $497 million in the second quarter of 2015, compared with $456 million in the year-earlier quarter and $440 million in the first quarter of 2015. Reflected in other income in the recent quarter was a $45 million gain from the divestiture of the trade processing business within the retirement services business of the Company.</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Excluding that gain, other income totaled $452 million in the second quarter of 2015, slightly below the year-earlier quarter, but 3% higher than in the initial quarter of 2015. The decline from last year’s second quarter reflects lower trust income, due to the impact of the divested trade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processing business, partially offset by higher mortgage banking revenues. The improvement from the initial quarter in 2015 reflects higher loan syndication fees, partially offset by lower trust income associated with the sold business.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Mortgage banking revenues were $103 million in the recently completed quarter, up from $96 million in the second quarter of 2014 and $102 million in the initial 2015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$75 million in the second quarter of 2015, compared with $78 million in the second quarter of 2014 and $79 million in the initial quarter of 2015. The lower level of residential mortgage banking revenues in the recent quarter as compared with the year-earlier quarter reflects a decline in realized and unrealized gains, while the decline from 2015’s first quarter resulted from lower revenues associated with servicing residential real estate loans for others.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New commitments to originate residential real estate loans to be sold were approximately $995 million in the recent quarter, compared with $905 million and $936 million in the second quarter of 2014 and the first quarter of 2015, respectively. Realized gains from sales of residential real estate loans and loan servicing rights (net of the impact of costs associated with obligations to repurchase real estate loans originated for sale) and recognized net unrealized gains or losses attributable to residential real estate loans held for sale, commitments to originate loans for sale and commitments to sell loans totaled to gains of $21 million in each of the first two quarters of 2015, compared with gains of $27 million in the second quarter of 2014.</w:t>
      </w:r>
    </w:p>
    <w:p>
      <w:pPr>
        <w:spacing w:after="0" w:line="15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were reduced by approximately $1 million during each of the three-month periods ended June 30, 2015 and March 31, 2015, compared with a reduction of $3 million during the three-month period ended June 30, 2014.</w:t>
      </w:r>
    </w:p>
    <w:p>
      <w:pPr>
        <w:spacing w:after="0" w:line="16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Loans held for sale that were secured by residential real estate totaled $479 million at June 30, 2015, $419 million at June 30, 2014 and $435 million at December 31, 2014. Commitments to sell residential real estate loans and commitments to originate residential real estate loans for sale at pre-determined rates were $930 million and $672 million, respectively, at June 30, 2015, $799 million and $597 million, respectively, at June 30, 2014, and $717 million and $432 million, respectively, at December 31, 2014. Net recognized unrealized gains on residential real estate loans held for sale, commitments to sell loans, and commitments to originate loans for sale were $19 million at June 30, 2015 and December 31, 2014, and $20 million at June 30, 2014. Changes in such net unrealized gains are recorded in mortgage banking revenues and resulted in a net decrease in revenue of $2 million in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recent quarter, compared with net increases in revenues of $3 million in the second quarter of 2014 and $2 million in the initial quarter of 2015.</w:t>
      </w:r>
    </w:p>
    <w:p>
      <w:pPr>
        <w:spacing w:after="0" w:line="23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Revenues from servicing residential real estate loans for others were $53 million in the recent quarter, compared with $51 million and $58 million during the quarters ended June 30, 2014 and March 31, 2015, respectively. The decline in the recent quarter from 2015’s first quarter reflects lower revenues from sub-servicing activities. Residential real estate loans serviced for others totaled $66.5 billion at June 30, 2015, compared with $71.0 billion at June 30, 2014, $67.2 billion at December 31, 2014 and $65.0 billion at March 31, 2015. Reflected in residential real estate loans serviced for others were loans sub-serviced for others of $42.3 billion at June 30, 2015, $45.5 billion at June 30, 2014, $42.1 billion at December 31, 2014 and $40.4 billion at March 31, 2015. Revenues earned for sub-servicing loans were $30 million and $27 million for the three-month periods ended June 30, 2015 and 2014, respectively, and $35 million for the three-month period ended March 31, 2015. The contractual servicing rights associated with loans sub-serviced by the Company were predominantly held by affiliates of Bayview Lending Group LLC (“BLG”).</w:t>
      </w:r>
    </w:p>
    <w:p>
      <w:pPr>
        <w:spacing w:after="0" w:line="179"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Capitalized servicing rights consist largely of servicing associated with loans sold by the Company. Capitalized residential mortgage loan servicing assets totaled $114 million at June 30, 2015, compared with $117 million a year earlier and $111 million at each of December 31, 2014 and March 31, 2015.</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Commercial mortgage banking revenues were $28 million in the second quarter of 2015, compared with $18 million in the year-earlier period and $23 million in the first quarter of 2015. Included in such amounts were revenues from loan origination and sales activities of $17 million in the recent quarter, compared with $9 million and $13 million in the second quarter of 2014 and the initial 2015 quarter, respectively. Commercial real estate loans originated for sale to other investors totaled $890 million in the second quarter of 2015, compared with $312 million and $455 million in the second quarter of 2014 and the initial 2015 quarter, respectively. Loan servicing revenues were $11 million and $9 million in the second quarters of 2015 and 2014, respectively, compared with $10 million in the first quarter of 2015. Capitalized commercial mortgage servicing assets totaled $78 million and $69 million at June 30, 2015 and 2014, respectively, and $73 million at December 31, 2014. Commercial real estate loans serviced for other investors totaled $11.3 billion, $11.1 billion and $11.3 billion at June 30, 2015, June 30, 2014 and December 31, 2014, respectively, and included $2.5 billion, $2.3 billion and $2.4 billion, respectively, of loan balances for which investors had recourse to the Company if such balances are ultimately uncollectible. Commitments to sell commercial real estate loans and commitments to originate commercial real estate loans for sale were $425 million and $105 million, respectively, at June 30, 2015, $455 million and $251 million, respectively, at June 30, 2014 and $520 million and $212 million, respectively, at December 31, 2014. Commercial real estate loans held for sale at June 30, 2015, June 30, 2014 and December 31, 2014 were $320 million, $205 million and $308 million, respectively.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Service charges on deposit accounts totaled $105 million in the second quarter of 2015, compared with $107 million and $102 million in the second quarter of 2014 and the first quarter of 2015, respectively. The lower level of fees in the recent quarter as compared with the second quarter of 2014 was largely due to lower consumer deposit service fees, particularly overdraft fees. The improvement in the second quarter of 2015 when compared with the first quarter of 2015 reflects seasonally lower consumer deposit service fees in the earlier quarter.</w:t>
      </w:r>
    </w:p>
    <w:p>
      <w:pPr>
        <w:spacing w:after="0" w:line="187"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Trust income includes fees related to two significant businesses. The Institutional Client Services (“ICS”) business provides a variety of trustee, –82–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w:t>
      </w:r>
    </w:p>
    <w:p>
      <w:pPr>
        <w:ind w:firstLine="8"/>
        <w:spacing w:after="0" w:line="285" w:lineRule="auto"/>
        <w:tabs>
          <w:tab w:leader="none" w:pos="3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Revenues associated with the ICS business were approximately $52 million during the quarter ended June 30, 2015, compared with $61 million in each of the quarters ended June 30, 2014 and March 31, 2015. The recent quarter’s ICS revenue decline reflects the April 2015 divestiture of the trade processing business within the retirement services division. Revenues associated with the trade processing business totaled $10 million and $9 million during the quarters ended June 30, 2014 and March 31, 2015, respectively. Revenues attributable to WAS were approximately $58 million, $60 million and $56 million for the three-month periods ended June 30, 2015, June 30, 2014, and March 31, 2015, respectively. In total, trust income aggregated $119 million in the second quarter of 2015, compared with $130 million and $124 million in the year-earlier quarter and the first quarter of 2015, respectively. Total trust assets, which include assets under management and assets under administration, aggregated $205.0 billion at June 30, 2015, compared with $275.5 billion and $287.9 billion at June 30, 2014 and December 31, 2014, respectively. The decline in trust assets at the recent quarter-end was due to the customer account balances included in the April 2015 sale of the trade processing business. Trust assets under management were $68.3 billion at June 30, 2015, $66.9 billion at June 30, 2014 and $68.2 billion at December 31, 2014. The Company’s proprietary mutual funds had assets of $11.9 billion at June 30, 2015, $12.3 billion at June 30, 2014 and $13.3 billion at December 31, 2014.</w:t>
      </w:r>
    </w:p>
    <w:p>
      <w:pPr>
        <w:spacing w:after="0" w:line="17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Brokerage services income, which includes revenues from the sale of mutual funds and annuities and securities brokerage fees, totaled $17 million in each of the second quarters of 2015 and 2014, compared with $15 million in the first quarter of 2015. Gains from trading account and foreign exchange activity totaled $6 million in each of the first two quarters of 2015, compared with $8 million in the second quarter of 2014.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7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M&amp;T’s share of the operating losses of BLG was $3 million in the recent quarter and $4 million in each of the year-earlier quarter and the first quarter of 2015. The operating losses of BLG in the respective quarters reflect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leading to BLG’s future recognition of debt extinguishment gains. The timing of such debt extinguishment is difficult to predict and given ongoing loan loss provisioning, it is not possible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mortgage activities. Information about the Company’s relationship with BLG and its affiliates is included in note 15 of Notes to Financial Statements.</w:t>
      </w:r>
    </w:p>
    <w:p>
      <w:pPr>
        <w:spacing w:after="0" w:line="23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Other revenues from operations totaled $151 million in the recent quarter, compared with $102 million in the second quarter of 2014 and $95 million in the first quarter of 2015. The increase in the recent quarter as compared with the earlier quarters was primarily due to the $45 million gain associated with the sale of the trade processing business in the retirement services division. The increase in other revenues from operations in the recent quarter as compared with the immediately preceding quarter also reflected higher income from loan syndication fees. Included in other revenues from operations were the following significant components. Letter of credit and other credit-related fees (including loan syndication fees) totaled $37 million in the second quarter of 2015, $35 million in the second quarter of 2014 and $26 million in the first quarter of 2015. Tax-exempt income from bank owned life insurance, which includes increases in the cash surrender value of life insurance policies and benefits received, totaled $15 million in the second quarter of 2015, $13 million in the year-earlier quarter and $11 million in the first quarter of 2015. Revenues from merchant discount and credit card fees were $26 million in the recent quarter and $24 million in each of the three-month periods ended June 30, 2014 and March 31, 2015. Insurance-related sales commissions and other revenues totaled $8 million in the second quarter of 2015 and $11 million in each of the year-earlier quarter and the initial 2015 quarter. Other miscellaneous revenues and the changes in such revenues from period-to-period were not individually significant.</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income totaled $937 million in the first half of 2015, compared with $877 million in the year-earlier period. Excluding the gain on the divestiture of the trade processing business, other income aggregated $892 million in the first half of 2015. The primary contributors to the increase in other income during the 2015 period were higher residential and commercial mortgage banking revenues offset, in part, by lower trust income resulting from the sale of the trade processing business.</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Mortgage banking revenues were $204 million for the first half of 2015, compared with $176 million in the year-earlier period. Residential mortgage banking revenues totaled $154 million in the first six months of 2015, compared with $143 million in the first half of 2014. New commitments to originate residential real estate loans to be sold were $1.9 billion and $1.6 billion during the first six months of 2015 and 2014, respectively. Realized gains from sales of residential real estate loans and loan servicing rights (net of the impact of costs associated with obligations to repurchase real estate loans originated for sale) and recognized unrealized gains and losses on residential real estate loans held for sale, commitments to originate loans for sale and commitments to sell loans totaled to gains of $42 million during each of the six-month periods ended June 30, 2015 and 2014. Residential mortgage banking revenues during the six-month periods ended June 30, 2015 and 2014 were reduced by $2 million and $3 million, respectively, related to actual or anticipated settlements of repurchase obligations. Revenues from servicing residential mortgage loans for others were $111 million and $101 million for the first six months of 2015 and 2014, respectively. That increase was attributable to higher sub-servicing revenues that totaled $65 million and $53 million in the 2015 and 2014 periods, respectively. Commercial mortgage banking revenues totaled $51 million and $33 million during the six-month periods ended June 30, 2015 and 2014, respectively. That increase resulted predominantly from revenues from loan origination and sales activities. Commercial real estate loans originated for sale to other investors were $1.3 billion in the first half of 2015, compared with $448 million in the corresponding 2014 period.</w:t>
      </w:r>
    </w:p>
    <w:p>
      <w:pPr>
        <w:spacing w:after="0" w:line="16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Service charges on deposit accounts totaled $208 million and $212 million during the six-month periods ended June 30, 2015 and 2014, respectively. That decline resulted from lower consumer service charges,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largely overdraft fees. Trust income aggregated $242 million in the first half of 2015, compared with $251 million in the year-earlier period. That decline was attributable to $18 million of revenues in the first half of 2014 associated with the trade processing business that was sold in April 2015. Revenues of the sold business were $9 million in the first quarter of 2015. Brokerage services income totaled $32 million during the first six months of 2015, compared with $34 million in the similar 2014 period. Trading account and foreign exchange activity resulted in gains of $12 million and $14 million for the six-month periods ended June 30, 2015 and 2014, respectively. M&amp;T’s investment in BLG resulted in losses of $7 million and $9 million for the first half of 2015 and 2014, respectively.</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Other revenues from operations were $246 million in the first half of 2015 and $198 million in the corresponding 2014 period. Excluding the $45 million gain on sale of the trade processing business, other revenues from operations were $201 million for the first half of 2015. Included in other revenues from operations were the following significant components. Letter of credit and other credit-related fees totaled $63 million in 2015 and $67 million in 2014. Income from bank owned life insurance was $26 million and $25 million in 2015 and 2014, respectively. Merchant discount and credit card fees aggregated $50 million in 2015 and $45 million in 2014. Insurance-related sales commissions and other revenues totaled $19 million and $22 million in the first six months of 2015 and 2014,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Effective January 1, 2015, M&amp;T adopted amended guidance from the FASB for accounting for investments in qualified affordable housing projects under which the initial cost of such investments is amortized to income tax expense in proportion to the tax benefit received. The adoption of this accounting guidance did not have a significant effect on the Company’s financial position or results of operations, but did result in the restatement of the consolidated financial statements for 2014 and earlier years to remove net costs associated with qualified affordable housing projects from other expense and include the amortization of the investments in income tax expense. As a result, the amortization included in income tax expense was $11 million and $21 million in the three- and six-month periods ended June 30, 2015, respectively, and $14 million and $26 million in the three- and six-month periods ended June 30, 2014, respectively. Similarly, losses removed from other costs of operations and amortization amounts now included in income tax expense were $14 million in each of the third and fourth quarters of 2014.</w:t>
      </w:r>
    </w:p>
    <w:p>
      <w:pPr>
        <w:spacing w:after="0" w:line="17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Reflecting the application of the new accounting guidance, other expense totaled $697 million in the second quarter of 2015, compared with $668 million in the year-earlier quarter and $686 million in the first quarter of 2015. Included in those amounts are expenses considered by management to be “nonoperating” in nature consisting of amortization of core deposit and other intangible assets of $6 million in the second quarter of 2015, $9 million in the year-earlier quarter and $7 million in the first quarter of 2015. There were no merger-related expenses during those respective quarters. Exclusive of these nonoperating expenses, noninterest operating expenses totaled $691 million in the recent quarter, compared with $658 million in the second quarter of 2014 and $680 million in the first quarter of 2015. Reflected in operating expenses in the recent quarter was a higher level of contribution to The M&amp;T Charitable Foundation, which aggregated $40 million, compared with $5 million in last year’s second quarter and $6 million in this year’s first quarter. After considering the charitable contributions, noninterest expense in the recent quarter declined from the year-earlier quarter due largely to lower costs for professional services and FDIC assessments, partially offset by higher salaries and employee benefits expense. On that same basis, the recent quarter’s lower level of operating expense as compared with 2015’s first quarter reflected a decline in personnel costs due to the earlier quarter’s seasonally higher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stock-based incentive compensation, unemployment insurance, payroll-related taxes and benefits costs.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Other expense for the first six months of 2015 aggregated $1.38 billion, compared with $1.36 billion in the year-earlier period. Included in those amounts are expenses considered to be “nonoperating” in nature consisting of amortization of core deposit and other intangible assets of $13 million and $19 million in the six-month periods ended June 30, 2015 and 2014, respectively. There were no merger-related expenses during those respective periods. Exclusive of these nonoperating expenses, noninterest operating expenses for the first half of 2015 increased 2% to $1.37 billion from $1.34 billion in the first six months of 2014. The most significant factors contributing to that increase were higher costs for salaries and employee benefits and charitable contributions. Table 2 provides a reconciliation of other expense to noninterest operating expense.</w:t>
      </w:r>
    </w:p>
    <w:p>
      <w:pPr>
        <w:spacing w:after="0" w:line="17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Salaries and employee benefits expense totaled $362 million in the recent quarter, compared with $340 million in the second quarter of 2014 and $390 million in the initial 2015 quarter. During the first six months of 2015 and 2014, salaries and employee benefits expense aggregated $752 million and $711 million, respectively. As compared with the 2014 periods, the three months and six months ended June 30, 2015 reflect the impact of annual merit increases for employees, higher incentive compensation costs and higher pension expense. The increase in pension expense is predominantly attributable to an increase in the amortization of unrecognized actuarial losses. Cumulative unrecognized actuarial losses increased from $191 million at December 31, 2013 to $512 million at December 31, 2014 due predominantly to a 75 basis point reduction in the discount rate and revised mortality tables released in 2014 by the Society of Actuaries used to determine the pension benefit obligation. In accordance with GAAP, net unrecognized gains or losses that exceed ten percent of the greater of the projected benefit obligation or the market-related value of plan assets are required to be amortized over the expected service period of active employees, and are included as a component of net pension cost. The higher level of salaries and employee benefits expense in 2015’s initial quarter as compared with the recent quarter reflects the accelerated recognition of compensation costs in the earlier quarter for stock-based awards granted to retirement-eligible employees as well as the seasonally higher unemployment insurance, payroll-related taxes and the Company’s contributions for retirement savings plan benefits related to annual incentive compensation payments. Stock-based compensation totaled $17 million, $12 million and $28 million during the quarters ended June 30, 2015, June 30, 2014 and March 31, 2015, respectively, and $44 million and $42 million for the six-month periods ended June 30, 2015 and 2014, respectively. The number of full-time equivalent employees was 15,380 at June 30, 2015, 15,387 at June 30, 2014, 15,312 at December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2014 and 15,263 at March 31, 2015.</w:t>
      </w:r>
    </w:p>
    <w:p>
      <w:pPr>
        <w:spacing w:after="0" w:line="21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Excluding the nonoperating expense items described earlier from each period, nonpersonnel operating expenses were $329 million in the recent quarter, compared with $319 million in the second quarter of 2014 and $290 million in the first three months of 2015. On the same basis, such expenses were $619 million and $628 million during the first six months of 2015 and 2014, respectively. The increase in nonpersonnel operating expenses in the recent quarter as compared with the second quarter of 2014 was predominantly due to the higher level of charitable contributions in the recent quarter, partially offset by lower expenses for professional services, litigation-related costs and FDIC assessments. Professional services costs related to BSA/AML compliance, capital planning and stress testing, risk management and other operational initiatives were elevated throughout 2014. The recent quarter increase in nonpersonnel operating expenses as compared with the initial quarter of 2015 also reflects the higher charitable contribution already noted. The decline in nonpersonnel operating expenses in the first half of 2015 as compared with the corresponding 2014 period was attributable to lower expenses for professional services, litigation-related costs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FDIC assessments, offset in part, by higher charitable contributions. During the second quarter of 2014, the Company recognized $12 million of litigation-related costs associated with pre-acquisition activities of M&amp;T’s Wilmington Trust entities.</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58.2% during the recent quarter, equal to the year-earlier quarter, and improved from 61.5% in the first quarter of 2015. The efficiency ratios for the six-month periods ended June 30, 2015 and 2014 were 59.8% and 60.5%,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provision for income taxes for the second quarter of 2015 was $167 million, compared with $144 million and $134 million in the year-earlier quarter and first quarter of 2015, respectively. The effective tax rates were 36.8%, 33.5% and 35.6% for the quarters ended June 30, 2015, June 30, 2014 and March 31, 2015, respectively. For the first six months of 2015 and 2014, the provision for income taxes totaled $301 million and $269 million, respectively, and the effective tax rates were 36.3% and 34.4%, respectively. As noted earlier, effective January 1, 2015 M&amp;T adopted amended guidance from the FASB for accounting for investments in qualified affordable housing projects, which resulted in the restatement of the consolidated financial statements for 2014 and earlier years. The adoption of the guidance resulted in higher effective tax rates than existed prior to such adoption. The Company attributed $11 million of non-deductible goodwill to the basis of the trade processing business sold in April 2015, which reduced the recorded gain. Excluding the impact of the attribution of the non-deductible goodwill, the effective tax rate for the three- and six-month periods ended June 30, 2015 would have been 35.9% and 35.8%, respectively. During the second quarter of 2014, the Company resolved with tax authorities previously uncertain tax positions associated with pre-acquisition activities of M&amp;T’s Wilmington Trust entities, resulting in a reduction of the provision for income taxes of $8 million. Excluding that reduction of income tax expense, the effective tax rates would have been 35.4% for each of the three- and six-month periods ended June 30, 2014.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7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Shareholders’ equity was $12.7 billion at June 30, 2015, representing 13.05% of total assets, compared with $12.2 billion or 13.40% at June 30, 2014 and $12.3 billion or 12.76% at December 31, 2014.</w:t>
      </w:r>
    </w:p>
    <w:p>
      <w:pPr>
        <w:spacing w:after="0" w:line="17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Included in shareholders’ equity was preferred stock with financial statement carrying values of $1.2 billion at each of June 30, 2015, June 30, 2014 and December 31, 2014. Further information concerning M&amp;T’s preferred stock can be found in note 6 of Notes to Financial Statements.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Common shareholders’ equity was $11.4 billion, or $85.90 per share, at June 30, 2015, compared with $10.9 billion, or $82.86 per share, at June 30, 2014 and $11.1 billion, or $83.88 per share, at December 31, 2014. Tangible equity per common share, which excludes goodwill and core deposit and other intangible assets and applicable deferred tax balances, was $59.39 at June 30, 2015, $55.89 at June 30, 2014 and $57.06 at December 31, 2014. The Company’s ratio of tangible common equity to tangible assets was 8.45% at each of June 30, 2015 and June 30, 2014 and 8.11% at December 31, 2014. Reconciliations of total common shareholders’ equity and tangible common equity and total assets and tangible assets as of each of those respective dates are presented in table 2.</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$80 million, or $.60 per common share, at June 30, 2015, compared with net unrealized gains of $137 million, or $1.04 per common share, at June 30, 2014 and $127 million, or $.96 per common share, at December 31, 2014. Information about unrealized gains and losses as of June 30, 2015 and December 31, 2014 is included in note 3 of Notes to Financial Statements.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Reflected in net unrealized gains at June 30, 2015 were pre-tax effect unrealized losses of $59 million on available-for-sale investment securities with an amortized cost of $2.9 billion and pre-tax effect unrealized gains of $217 million on securities with an amortized cost of $8.2 billion. The pre-tax effect unrealized losses reflect $18 million of losses on trust preferred securities issued by financial institutions having an amortized cost of $124 million and an estimated fair value of $106 million (generally considered Level 2 valuations). Further information concerning the Company’s valuations of available-for-sale investment securities is provided in note 12 of Notes to Financial Statements.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assesses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June 30, 2015 and December 31, 2014, the Company had in its held-to-maturity portfolio privately issued mortgage-backed securities with an amortized cost basis of $192 million and $202 million, respectively, and a fair value of $158 million at each of those dates. At June 30, 2015, 87% of the mortgage-backed securities were in the most senior tranche of the securitization structure with 27% being independently rated as investment grade. The mortgage-backed securities are generally collateralized by residential and small-balance commercial real estate loans originated between 2004 and 2008 and had a weighted-average credit enhancement of 16% at June 30, 2015,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mortgage-backed securities in the held-to-maturity portfolio had a current payment status as of June 30, 2015. The weighted-average default percentage and loss severity assumptions utilized in the Company’s internal modeling were 32% and 74%, respectively. The Company has concluded that as of June 30, 2015, its privately issued mortgage-backed securities were not other-than-temporarily impaired. Nevertheless, it is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possible that adverse changes in the future performance of mortgage loan collateral underlying such securities could impact the Company’s conclusions.</w:t>
      </w:r>
    </w:p>
    <w:p>
      <w:pPr>
        <w:spacing w:after="0" w:line="24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As of June 30, 2015, based on a review of each of the remaining securities in the investment securities portfolio, the Company concluded that the declines in the values of any securities containing an unrealized loss were temporary and that any additional other-than-temporary impairment charges were not appropriate. It is likely that the Company will be required to sell certain of its collateralized debt obligations backed by trust preferred securities held in the available-for-sale portfolio to comply with the provisions of the Volcker Rule. However, the amortized cost and fair value of those collateralized debt obligations were $24 million and $31 million, respectively, at June 30, 2015 and the Company did not expect that it would realize any material losses if it ultimately was required to sell such securities. As of that date, the Company did not intend to sell nor is it anticipated that it would be required to sell any of its other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by $295 million or $2.22 per common share, at June 30, 2015, $96 million, or $.73 per common share, at June 30, 2014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$306 million or $2.31 per common share, at December 31, 2014. The increase in such adjustments at June 30, 2015 and December 31, 2014 as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2014 was the result of two main factors: a 75 basis point decrease in the discount rate used to measure the benefit obligations of the defined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plans and the use of updated mortality tables for the U.S. published in 2014 by the Society of Actuaries.</w:t>
      </w:r>
    </w:p>
    <w:p>
      <w:pPr>
        <w:spacing w:after="0" w:line="21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Cash dividends declared on M&amp;T’s common stock totaled $94 million in each of the two most recent quarters and $93 million in the year-earlier quarter and represented a quarterly dividend of $.70 per common share in each of those quarters. Common stock dividends during the six-month periods ended June 30, 2015 and 2014 were $187 million and $185 million, respectively.</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Cash dividends declared on preferred stock are detailed in the table that follows. There were no cash dividends declared in the first quarter of 2014 on the Series E Preferred Stock issued in February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DIVIDENDS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Year-</w:t>
            </w:r>
          </w:p>
        </w:tc>
      </w:tr>
      <w:tr>
        <w:trPr>
          <w:trHeight w:val="167"/>
        </w:trPr>
        <w:tc>
          <w:tcPr>
            <w:tcW w:w="7060" w:type="dxa"/>
            <w:vAlign w:val="bottom"/>
          </w:tcPr>
          <w:p>
            <w:pPr>
              <w:spacing w:after="0"/>
              <w:rPr>
                <w:sz w:val="14"/>
                <w:szCs w:val="14"/>
                <w:color w:val="auto"/>
              </w:rPr>
            </w:pPr>
          </w:p>
        </w:tc>
        <w:tc>
          <w:tcPr>
            <w:tcW w:w="960" w:type="dxa"/>
            <w:vAlign w:val="bottom"/>
            <w:gridSpan w:val="4"/>
          </w:tcPr>
          <w:p>
            <w:pPr>
              <w:jc w:val="right"/>
              <w:ind w:right="460"/>
              <w:spacing w:after="0"/>
              <w:rPr>
                <w:sz w:val="20"/>
                <w:szCs w:val="20"/>
                <w:color w:val="auto"/>
              </w:rPr>
            </w:pPr>
            <w:r>
              <w:rPr>
                <w:rFonts w:ascii="Arial" w:cs="Arial" w:eastAsia="Arial" w:hAnsi="Arial"/>
                <w:sz w:val="14"/>
                <w:szCs w:val="14"/>
                <w:color w:val="auto"/>
              </w:rPr>
              <w:t>1st Qtr.</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w w:val="94"/>
              </w:rPr>
              <w:t>2nd Qtr.</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to-date</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Series A – 2014</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3,666</w:t>
            </w:r>
          </w:p>
        </w:tc>
        <w:tc>
          <w:tcPr>
            <w:tcW w:w="3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3,666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7,332</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Series C – 2015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Series C – 2014</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2,414</w:t>
            </w:r>
          </w:p>
        </w:tc>
        <w:tc>
          <w:tcPr>
            <w:tcW w:w="3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2,414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4,828</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Series D – 2015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8,593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17,187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Series D – 2014</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8,594</w:t>
            </w:r>
          </w:p>
        </w:tc>
        <w:tc>
          <w:tcPr>
            <w:tcW w:w="3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8,593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17,187</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Series E – 2015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5,644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11,288</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Series E – 2014</w:t>
            </w:r>
          </w:p>
        </w:tc>
        <w:tc>
          <w:tcPr>
            <w:tcW w:w="10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5,770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5,770</w:t>
            </w:r>
          </w:p>
        </w:tc>
      </w:tr>
      <w:tr>
        <w:trPr>
          <w:trHeight w:val="75"/>
        </w:trPr>
        <w:tc>
          <w:tcPr>
            <w:tcW w:w="7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Totals –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20,318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20,317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40,635</w:t>
            </w: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7060" w:type="dxa"/>
            <w:vAlign w:val="bottom"/>
          </w:tcPr>
          <w:p>
            <w:pPr>
              <w:ind w:left="360"/>
              <w:spacing w:after="0"/>
              <w:rPr>
                <w:sz w:val="20"/>
                <w:szCs w:val="20"/>
                <w:color w:val="auto"/>
              </w:rPr>
            </w:pPr>
            <w:r>
              <w:rPr>
                <w:rFonts w:ascii="Arial" w:cs="Arial" w:eastAsia="Arial" w:hAnsi="Arial"/>
                <w:sz w:val="18"/>
                <w:szCs w:val="18"/>
                <w:color w:val="auto"/>
              </w:rPr>
              <w:t>Totals – 2014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14,674</w:t>
            </w:r>
          </w:p>
        </w:tc>
        <w:tc>
          <w:tcPr>
            <w:tcW w:w="34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20,443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35,117</w:t>
            </w:r>
          </w:p>
        </w:tc>
        <w:tc>
          <w:tcPr>
            <w:tcW w:w="100" w:type="dxa"/>
            <w:vAlign w:val="bottom"/>
          </w:tcPr>
          <w:p>
            <w:pPr>
              <w:spacing w:after="0"/>
              <w:rPr>
                <w:sz w:val="24"/>
                <w:szCs w:val="24"/>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2014 or the first half of 2015.</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M&amp;T and its subsidiary banks are required to comply with applicable capital adequacy standards established by the federal banking agencies. In July 2013, the Federal Reserve Board, the OCC and the FDIC approved New Capital Rules establishing a new comprehensive capital framework for U.S. banking organizations. These rules went into effect as to M&amp;T and its subsidiary banks on January 1, 2015, subject to phase-in periods for certain components and other provisions.</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New Capital Rules substantially revise the risk-based capital requirements applicable to bank holding companies and their depository institution subsidiaries, including M&amp;T and its subsidiaries, M&amp;T Bank and Wilmington Trust, N.A., as compared to the U.S. general risk-based capital rules that were applicable to the Company through December 31, 2014. The New Capital Rules revise the definitions and the components of regulatory capital, as well as address other issues affecting the numerator in banking institutions’ regulatory capital ratios. The New Capital Rules also address asset risk weights and other matters affecting the denominator in banking institutions’ regulatory capital ratios. In addition, the New Capital Rules implement certain provisions of the Dodd-Frank Act, including the requirements of Section 939A to remove references to credit ratings from the federal agencies’ rules.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Among other matters, the New Capital Rules: (i) introduce a new capital measure called “Common Equity Tier 1” (“CET1”) and related regulatory capital ratio of CET1 to risk-weighted assets; (ii) specify that Tier 1 capital consists of CET1 and “Additional Tier 1 capital” instruments meeting certain revised requirements; (iii) mandate that most deductions/adjustments to regulatory capital measures be made to CET1 and not to the other components of capital; and (iv) expand the scope of the deductions from and adjustments to capital as compared to the previous regulations. Under the New Capital Rules, for most banking organizations, including M&amp;T, the most common form of Additional Tier 1 capital is non-cumulative perpetual preferred stock and the most common forms of Tier 2 capital are subordinated notes and a portion of the allowance for loan and lease losses, in each case, subject to the New Capital Rules’ specific requirements.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the New Capital Rules, the minimum capital ratios as of January 1, 2015 are as follows:</w:t>
      </w:r>
    </w:p>
    <w:p>
      <w:pPr>
        <w:spacing w:after="0" w:line="131" w:lineRule="exact"/>
        <w:rPr>
          <w:sz w:val="20"/>
          <w:szCs w:val="20"/>
          <w:color w:val="auto"/>
        </w:rPr>
      </w:pPr>
    </w:p>
    <w:p>
      <w:pPr>
        <w:ind w:left="1480" w:hanging="446"/>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4.5% CET1 to risk-weighted assets;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6.0% Tier 1 capital (that is, CET1 plus Additional Tier 1 capital) to risk-weighted assets;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8.0% Total capital (that is, Tier 1 capital plus Tier 2 capital) to risk-weighted assets;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4.0% Tier 1 capital to average consolidated assets as reported on consolidated financial statements (known as the “leverage ratio”).</w:t>
      </w:r>
    </w:p>
    <w:p>
      <w:pPr>
        <w:spacing w:after="0" w:line="23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Pursuant to the New Capital Rules, non-advanced approaches banking organizations, including M&amp;T, may make a one-time permanent election to exclude the effects of certain accumulated other comprehensive income or loss items reflected in shareholders’ equity under U.S. GAAP. M&amp;T made that election during the first quarter of 2015. The New Capital Rules also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became includable in Tier 1 capital, and in 2016,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A detailed discussion of the new regulatory capital rules is included in Part I, Item 1 of Form 10-K for the year ended December 31, 2014.</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June 30, 2015 are presented in the accompanying table.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40" w:type="dxa"/>
            <w:vAlign w:val="bottom"/>
            <w:gridSpan w:val="2"/>
          </w:tcPr>
          <w:p>
            <w:pPr>
              <w:jc w:val="right"/>
              <w:ind w:right="940"/>
              <w:spacing w:after="0"/>
              <w:rPr>
                <w:sz w:val="20"/>
                <w:szCs w:val="20"/>
                <w:color w:val="auto"/>
              </w:rPr>
            </w:pPr>
            <w:r>
              <w:rPr>
                <w:rFonts w:ascii="Arial" w:cs="Arial" w:eastAsia="Arial" w:hAnsi="Arial"/>
                <w:sz w:val="14"/>
                <w:szCs w:val="14"/>
                <w:color w:val="auto"/>
              </w:rPr>
              <w:t>M&amp;T</w:t>
            </w:r>
          </w:p>
        </w:tc>
        <w:tc>
          <w:tcPr>
            <w:tcW w:w="1140" w:type="dxa"/>
            <w:vAlign w:val="bottom"/>
            <w:gridSpan w:val="2"/>
          </w:tcPr>
          <w:p>
            <w:pPr>
              <w:jc w:val="right"/>
              <w:ind w:right="740"/>
              <w:spacing w:after="0"/>
              <w:rPr>
                <w:sz w:val="20"/>
                <w:szCs w:val="20"/>
                <w:color w:val="auto"/>
              </w:rPr>
            </w:pPr>
            <w:r>
              <w:rPr>
                <w:rFonts w:ascii="Arial" w:cs="Arial" w:eastAsia="Arial" w:hAnsi="Arial"/>
                <w:sz w:val="14"/>
                <w:szCs w:val="14"/>
                <w:color w:val="auto"/>
              </w:rPr>
              <w:t>M&amp;T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Wilmington</w:t>
            </w:r>
          </w:p>
        </w:tc>
        <w:tc>
          <w:tcPr>
            <w:tcW w:w="0" w:type="dxa"/>
            <w:vAlign w:val="bottom"/>
          </w:tcPr>
          <w:p>
            <w:pPr>
              <w:spacing w:after="0"/>
              <w:rPr>
                <w:sz w:val="1"/>
                <w:szCs w:val="1"/>
                <w:color w:val="auto"/>
              </w:rPr>
            </w:pPr>
          </w:p>
        </w:tc>
      </w:tr>
      <w:tr>
        <w:trPr>
          <w:trHeight w:val="167"/>
        </w:trPr>
        <w:tc>
          <w:tcPr>
            <w:tcW w:w="600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color w:val="auto"/>
                <w:w w:val="92"/>
              </w:rPr>
              <w:t>(Consolidated)</w:t>
            </w:r>
          </w:p>
        </w:tc>
        <w:tc>
          <w:tcPr>
            <w:tcW w:w="1140" w:type="dxa"/>
            <w:vAlign w:val="bottom"/>
            <w:gridSpan w:val="2"/>
          </w:tcPr>
          <w:p>
            <w:pPr>
              <w:jc w:val="right"/>
              <w:ind w:right="760"/>
              <w:spacing w:after="0"/>
              <w:rPr>
                <w:sz w:val="20"/>
                <w:szCs w:val="20"/>
                <w:color w:val="auto"/>
              </w:rPr>
            </w:pPr>
            <w:r>
              <w:rPr>
                <w:rFonts w:ascii="Arial" w:cs="Arial" w:eastAsia="Arial" w:hAnsi="Arial"/>
                <w:sz w:val="14"/>
                <w:szCs w:val="14"/>
                <w:color w:val="auto"/>
              </w:rPr>
              <w:t>Bank</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Trust, N.A.</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Common equity Tier 1</w:t>
            </w: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9.91%</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10.35%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Tier 1 capital</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11.78%</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10.35%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14.55%</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12.88%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Tier 1 leverage</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10.22%</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March 12, 2015, M&amp;T announced that the Federal Reserve did not object to M&amp;T’s proposed 2015 Capital Plan. Accordingly, M&amp;T may maintain a quarterly common stock dividend of $.70 per share; continue to pay dividends and interest on other equity and debt instruments included in regulatory capital, including preferred stock, trust preferred securities and subordinated debt that were outstanding at December 31, 2014, consistent with the contractual terms of those instruments; repurchase up to $200 million of common shares during the first half of 2016; and redeem or repurchase up to $310 million of trust preferred securities. As previously noted, those latter securities were redeemed in April 2015. Common and preferred dividends are subject to approval by M&amp;T’s Board of Directors in the ordinary course of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 During 2015, certain methodology changes were made and, accordingly, the financial information for the Company’s reportable segments for 2014 has been restated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conform with the methods and assumptions used in 2015. As described in note 14 of Notes to Financial Statements, the methodology changes were largely the result of updated funds transfer pricing and various cost allocations. Additionally, the segment financial data also reflect the Company’s adoption of amended guidance for accounting for investments in qualified affordable housing projects.</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Business Banking segment earned $25 million in each of the first and second quarters of 2015, compared with $24 million in the second quarter of 2014. The improved results from the year-earlier period reflect a $4 million decrease in the provision for credit losses, due to lower net charge-offs, partially offset by a decline in net interest income of $2 million, resulting from a 19 basis point narrowing of the net interest margin on deposits. As compared with the initial 2015 quarter, increases in net interest income of $2 million and in merchant discount and credit card fees of $1 million, and a $1 million decrease in the provision for credit losses, due to lower net charge-offs, were largely offset by higher noninterest operating expenses which included the allocation of centralized volume-related expenses. The higher net interest income reflected increases in average outstanding deposit balances of $318 million. The Business Banking segment’s net contribution aggregated $50 million in the first six months of 2015, 3% higher than the $49 million earned in the year-earlier period. That increase reflects a decline in the provision for credit losses of $4 million and a $2 million increase in merchant discount and credit card fees. Those favorable factors were partially offset by a decline in net interest income of $6 million, largely due to a 23 basis point narrowing of the net interest margin on deposits.</w:t>
      </w:r>
    </w:p>
    <w:p>
      <w:pPr>
        <w:spacing w:after="0" w:line="19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Commercial Banking segment recorded net income of $108 million during the quarter ended June 30, 2015, compared with $104 million earned in the year-earlier quarter and $96 million earned in the first quarter of 2015. The recent quarter’s 4% rise in net income as compared with 2014’s second quarter was largely due to a $4 million increase in net interest income and a $3 million decrease in the provision for credit losses, due to lower net charge-offs. The higher net interest income reflected growth in average outstanding loan and deposit balances of $1.4 billion and $909 million, respectively, partially offset by a narrowing of the net interest margin on deposits and loans of 11 basis points and 5 basis points, respectively. Contributing to the 12% improvement in the recent quarter’s performance as compared with the first quarter of 2015 was an $11 million decrease in the provision for credit losses, the result of lower net charge-offs, an $8 million rise in credit-related fees and a $4 million increase in net interest income, largely resulting from a $623 million increase in average outstanding loan balances. Net income recorded by the Commercial Banking segment totaled $205 million for the first half of 2015, slightly above the $203 million earned in the similar 2014 period. That improvement was largely due to a $3 million decrease in the provision for credit losses. A modest improvement in net interest income reflected increases in average outstanding loan and deposit balances of $1.3 billion and $908 million, respectively, that were largely offset by a narrowing of the net interest margin on deposits and loans of 14 basis points and 8 basis points, respectively.</w:t>
      </w:r>
    </w:p>
    <w:p>
      <w:pPr>
        <w:spacing w:after="0" w:line="173"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Commercial Real Estate segment contributed net income of $80 million during each of the first and second quarters of 2015, compared with $76 million in the year-earlier quarter. The 5% improvement in net income as compared with the second quarter of 2014 was largely due to a $9 million increase in mortgage banking revenues, the result of higher loan origination and sales activities, and a $5 million increase in net interest income, partially offset by higher personnel-related costs and amortization of capitalized servicing rights. The higher net interest income resulted from increases in average outstanding loan and deposit balances of $1.4 billion and $334 million, respectively, partially offset by a narrowing of the net interest margin on deposits and loans of 13 basis points and 8 basis points, respectively. Net income in the recent quarter was little changed as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compared with the first quarter of 2015. Increases in net interest income and mortgage banking revenues were partially offset by a $3 million increase in the provision for credit losses and increases in other miscellaneous expenses. The higher net interest income resulted from increases in average outstanding loan balances of $304 million combined with a 5 basis point widening of the net interest margin on loans, while the increased mortgage banking revenues reflected higher loan origination and sales activities. Net income for the Commercial Real Estate segment was $160 million and $148 million for the first six months of 2015 and 2014, respectively. That 8% increase was attributable to a $16 million increase in mortgage banking revenues, a $5 million increase in net interest income and a $4 million decrease in the provision for credit losses. The higher net interest income resulted from increases in average outstanding loan and deposit balances of $1.2 billion and $343 million, respectively, partially offset by the narrowing of the net interest margin on deposits and loans of 16 basis points and 9 basis points, respectively. Those favorable factors were partially offset by higher personnel-related expenses of $3 million.</w:t>
      </w:r>
    </w:p>
    <w:p>
      <w:pPr>
        <w:spacing w:after="0" w:line="166"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Discretionary Portfolio segment recorded net income of $11 million in the second quarter of 2015, compared with $15 million in the year-earlier quarter and $6 million in the first quarter of 2015. The decline from the year-earlier period was largely due to an $11 million decrease in net interest income, partially offset by a $2 million decrease in the provision for credit losses. The lower net interest income reflects a 39 basis point narrowing of the net interest margin on investment securities resulting from the Company’s allocation of funding charges associated with those assets. The main factors contributing to the recent quarter’s increased net income as compared with the immediately preceding quarter was a $3 million increase in bank owned life insurance revenues and a $2 million increase in net interest income, resulting from a 7 basis point widening of the net interest margin on investment securities and an $820 million rise in average outstanding balances of investment securities. Net income for the Discretionary Portfolio segment in the first six months of 2015 totaled $17 million, compared with net income of $26 million in the corresponding 2014 period. The year-over-year decline was attributable to a $20 million decrease in net interest income, largely resulting from a 36 basis point narrowing of the net interest margin on investment securities, partially offset by a $5 million decrease in the provision for credit losses, due to lower net charge-offs.</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income from the Residential Mortgage Banking segment totaled $28 million in the recent quarter, up 4% from $27 million in the year-earlier quarter, but 13% lower than the $32 million recorded in the first quarter of 2015. The recent quarter’s increase in net income as compared with the year-earlier quarter was largely due to lower amortization of capitalized servicing rights of $5 million (reflecting slower prepayment trends), partially offset by increased personnel costs and a higher provision for credit losses. The decline in the recent quarter’s performance as compared with the first quarter of 2015 reflected a $4 million decrease in revenues from servicing residential real estate loans, largely related to sub-servicing activities, and increased personnel-related expenses and other centrally-allocated loan servicing costs. Partially offsetting those unfavorable factors was a $4 million increase in net interest income, resulting from an increase in average outstanding deposit balances of $684 million. Year-to-date net income for this segment totaled $60 million in 2015 and $45 million in 2014. The improved performance in 2015 was attributable to the following factors: a $10 million rise in revenues from servicing residential real estate loans, predominantly the result of the increased sub-servicing activities; an $8 million increase in mortgage origination and sales revenues (including intersegment revenues) due to higher origination volumes; decreased amortization of capitalized servicing rights of $11 million; and a $2 million increase in net interest income, resulting from an increase in average outstanding deposit balances.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income of the Retail Banking segment totaled $69 million in each of the two most recent quarters, compared with $73 million in the second quarter of 2014. The most significant factors contributing to the recent quarter’s decline as compared with the year-earlier quarter included: (i) a $3 million decrease in net interest income, reflecting a narrowing of the net interest margin on deposits and loans of 7 basis points and 4 basis points, respectively, partially offset by an increase in average outstanding loans of $589 million and (ii) a $2 million reduction in fees earned for providing deposit account services, primarily due to lower volumes of consumer service charges. As compared with the immediately preceding quarter, an increase in centrally-allocated operating expenses was offset by a $4 million increase in service charges on deposit accounts, due to higher consumer overdraft fees, and a $5 million decrease in the provision for credit losses, resulting from lower net charge-offs. Net income recorded by the Retail Banking segment totaled $138 million for the first half of 2015 and $142 million in 2014. The year-over-year decline was attributable to a $6 million decrease in net interest income and a $3 million reduction in fees earned for providing deposit account services offset, in part, by lower personnel-related and equipment and occupancy costs. The decline in net interest income resulted from a narrowing of the net interest margin on deposits and loans of 9 basis points and 3 basis points, respectively, partially offset by a $620 million increase in average outstanding loan balances.</w:t>
      </w:r>
    </w:p>
    <w:p>
      <w:pPr>
        <w:spacing w:after="0" w:line="1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related to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income of the Company that reflects the ICS and WAS business activities. The various components of the “All Other” category for each of the three-month periods ended June 30, 2015 and June 30, 2014 resulted in net losses of $34 million, compared with a net loss of $67 million in the three-month period ended March 31, 2015. Results for the second quarter of 2015 reflected the $45 million pre-tax gain related to the sale of the trade processing business within the retirement services division of the ICS business that was offset by $40 million of tax-deductible cash contributions to The M&amp;T Charitable Foundation. The after-tax impact of those two items lowered net income by approximately $1 million. Furthermore, as compared with the year-earlier quarter, a recent quarter decrease in trust revenues of $11 million, predominantly related to lost revenues from the sold business, was offset by a decrease in professional services expenses. The smaller net loss in the recent quarter as compared with the first quarter of 2015 was largely attributable to a $32 million decline in personnel-related expenses, associated with seasonally higher stock-based compensation, payroll-related taxes and employer contributions for retirement savings plans recorded in the first quarter of 2015, and lower costs for professional services, partially offset by decreased trust income. The “All Other” category had a net loss of $100 million in each of the first six months of 2015 and 2014. The favorable impact from lower professional services costs and the Company’s allocation methodologies for internal transfers for funding charges and credits associated with earning assets and interest-bearing liabilities of the Company’s reportable segments were largely offset by increased personnel-related expenses and other operating costs, and a decline in trust income, largely due to the impact of the sold trade processing business.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previously noted, the Company adopted amended accounting guidance for investments in qualified affordable housing projects under which the initial cost of investments in qualified affordable housing projects is amortized in proportion to the tax credits and other tax benefits received from such projects and recognized in the income statement as a component of income tax expense. As required, the guidance was applied retrospectively to all periods presented. The adoption of this guidance did not have a significant effect on the Company’s financial position or results of operations, but did result in the restatement of the consolidated statement of income for the three-month and six-month periods ended June 30, 2014 to remove $14 million and $26 million, respectively, of losses associated with qualified affordable housing projects from “other costs of operations” and include the amortization of the initial cost of the investment in income tax expense. The Company amortized $11 million and $21 million of its investments in qualified affordable housing projects to income tax expense during the three-month and six-month periods ended June 30, 2015, respectively.</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the first quarter of 2015, the Company adopted amended accounting guidance from the FASB related to the classification of certain government-guaranteed mortgage loans upon foreclosure. This guidance requires that a mortgage loan be derecognized and that a separate other receivable be recognized upon foreclosure if the following conditions are met: (1) the loan has a government guarantee that is not separable from the loan before foreclosure; (2) at the time of foreclosure, the creditor has the intent to convey the real estate property to the guarantor and make a claim on the guarantee, and the creditor has the ability to recover under that claim; and (3) at the time of foreclosure, any amount of the claim that is determined on the basis of the fair value of the real estate is fixed. Upon foreclosure, the separate other receivable should be measured based upon the amount of the loan balance (principal and interest) expected to be recovered from the guarantor. The adoption of this guidance did not have a significant effect on the Company’s consolidated financial position or results of operations.</w:t>
      </w:r>
    </w:p>
    <w:p>
      <w:pPr>
        <w:spacing w:after="0" w:line="17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Effective January 1, 2015, the Company adopted amended accounting guidance for repurchase-to-maturity transactions and repurchase financings. The adoption had no impact on the Company’s consolidated financial position or results of operations. The Company has made the required disclosures in note 5 of Notes to Financial Statements.</w:t>
      </w:r>
    </w:p>
    <w:p>
      <w:pPr>
        <w:spacing w:after="0" w:line="18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January 2015, the Company also adopted amended accounting and disclosure guidance for reclassification of residential real estate collateralized consumer mortgage loans upon foreclosure. The amended guidance clarifies that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The amended guidance also requires interim and annual disclosure of both (1) the amount of foreclosed residential real estate property held by the creditor and (2) the recorded investment in consumer mortgage loans collateralized by residential real estate that are in the process of foreclosure according to local requirements of the applicable jurisdiction. The Company’s adoption of this guidance on January 1, 2015 did not have a significant effect on the Company’s financial position or results of operations. The Company has made the required disclosures in note 4 of Notes to Financial Statements.</w:t>
      </w:r>
    </w:p>
    <w:p>
      <w:pPr>
        <w:spacing w:after="0" w:line="167"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In May 2015, the FASB issued amended disclosure guidance for investments in certain entities that calculate net asset value per share (or its equivalent). The amended guidance removes the requirement to categorize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within the fair value hierarchy all investments for which fair value is measured using the net asset value per share practical expedient. The amendments also remove the requirement to make certain disclosures for all investments that are eligible to be measured at fair value using the net asset value per share practical expedient. Instead, those disclosures are limited to investments for which the entity has elected to measure the fair value using that practical expedient. This guidance is effective for annual periods and interim periods within those annual periods beginning after December 15, 2015. The Company does not expect the amended guidance to have a material impact on its consolidated financial statements.</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April 2015, the FASB issued amended accounting guidance for debt issuance costs. The amended guidance requires that debt issuance costs related to a recognized debt liability be presented in the balance sheet as a direct deduction from the carrying amount of that debt liability. This guidance is effective for annual periods and interim periods within those annual periods beginning after December 15, 2015. The Company does not expect a material change in the presentation of its financial position upon adoption of this amended guidance.</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February 2015, the FASB issued amended accounting guidance relating to the consolidation of variable interest entities to modify the evaluation of whether limited partnerships and similar legal entities are variable interest entities or voting interest entities and to eliminate the presumption that a general partner should consolidate a limited partnership. The amended guidance also eliminates certain conditions in the assessment of whether fees paid by a legal entity to a decision maker or a service provider represent a variable interest in the legal entity and reduces the extent to which related party arrangements cause an entity to be considered a primary beneficiary. The new guidance eliminates the indefinite deferral of existing consolidation guidance for certain investment funds, but provides a scope exception for reporting entities with interests in legal entities that are required to comply with or operate in accordance with requirements similar to those in Rule 2a-7 of the Investment Company Act of 1940 for registered money market funds. This guidance is effective for annual and interim periods within those annual periods beginning after December 15, 2015. The Company is still evaluating the impact the guidance could have on its consolidated financial statements.</w:t>
      </w:r>
    </w:p>
    <w:p>
      <w:pPr>
        <w:spacing w:after="0" w:line="182"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June 2014, the FASB issued amended accounting guidance for share-based payments when the terms of an award provide that a performance target could be achieved after the requisite service period. The amended guidance requires that a performance target that affects vesting and that could be achieved after the requisite service period be treated as a performance condition.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This guidance is effective for annual periods and interim periods within those annual periods beginning after December 31, 2015, with earlier adoption permitted. The Company does not expect the amended guidance to have a material impact on its financial position or results of operations.</w:t>
      </w:r>
    </w:p>
    <w:p>
      <w:pPr>
        <w:spacing w:after="0" w:line="173" w:lineRule="exact"/>
        <w:rPr>
          <w:sz w:val="20"/>
          <w:szCs w:val="20"/>
          <w:color w:val="auto"/>
        </w:rPr>
      </w:pPr>
    </w:p>
    <w:p>
      <w:pPr>
        <w:jc w:val="center"/>
        <w:ind w:left="260" w:right="440"/>
        <w:spacing w:after="0" w:line="449" w:lineRule="auto"/>
        <w:rPr>
          <w:sz w:val="20"/>
          <w:szCs w:val="20"/>
          <w:color w:val="auto"/>
        </w:rPr>
      </w:pPr>
      <w:r>
        <w:rPr>
          <w:rFonts w:ascii="Arial" w:cs="Arial" w:eastAsia="Arial" w:hAnsi="Arial"/>
          <w:sz w:val="18"/>
          <w:szCs w:val="18"/>
          <w:color w:val="auto"/>
        </w:rPr>
        <w:t>In May 2014, the FASB issued amended accounting and disclosure guidance for revenue from contracts with customers. The core principle of the –96–</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w:t>
      </w:r>
    </w:p>
    <w:p>
      <w:pPr>
        <w:ind w:firstLine="8"/>
        <w:spacing w:after="0" w:line="252"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The amended guidance is effective for annual reporting periods beginning after December 15, 2016,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Company is still evaluating the impact the guidance could have on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9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and investment activities compared with M&amp;T’s initial expectations, including the full realization of anticipated cost savings and revenue enhancements.</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00"/>
          </w:cols>
          <w:pgMar w:left="24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right"/>
              <w:ind w:right="820"/>
              <w:spacing w:after="0"/>
              <w:rPr>
                <w:sz w:val="20"/>
                <w:szCs w:val="20"/>
                <w:color w:val="auto"/>
              </w:rPr>
            </w:pPr>
            <w:r>
              <w:rPr>
                <w:rFonts w:ascii="Arial" w:cs="Arial" w:eastAsia="Arial" w:hAnsi="Arial"/>
                <w:sz w:val="14"/>
                <w:szCs w:val="14"/>
                <w:color w:val="auto"/>
              </w:rPr>
              <w:t>2015 Quarters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4"/>
          </w:tcPr>
          <w:p>
            <w:pPr>
              <w:jc w:val="right"/>
              <w:ind w:right="800"/>
              <w:spacing w:after="0"/>
              <w:rPr>
                <w:sz w:val="20"/>
                <w:szCs w:val="20"/>
                <w:color w:val="auto"/>
              </w:rPr>
            </w:pPr>
            <w:r>
              <w:rPr>
                <w:rFonts w:ascii="Arial" w:cs="Arial" w:eastAsia="Arial" w:hAnsi="Arial"/>
                <w:sz w:val="14"/>
                <w:szCs w:val="14"/>
                <w:color w:val="auto"/>
              </w:rPr>
              <w:t>2014 Quarters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color w:val="auto"/>
                <w:w w:val="92"/>
              </w:rPr>
              <w:t>Second</w:t>
            </w:r>
          </w:p>
        </w:tc>
        <w:tc>
          <w:tcPr>
            <w:tcW w:w="66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36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color w:val="auto"/>
              </w:rPr>
              <w:t>Fourth</w:t>
            </w:r>
          </w:p>
        </w:tc>
        <w:tc>
          <w:tcPr>
            <w:tcW w:w="102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color w:val="auto"/>
              </w:rPr>
              <w:t>Third</w:t>
            </w:r>
          </w:p>
        </w:tc>
        <w:tc>
          <w:tcPr>
            <w:tcW w:w="102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color w:val="auto"/>
              </w:rPr>
              <w:t>Second</w:t>
            </w:r>
          </w:p>
        </w:tc>
        <w:tc>
          <w:tcPr>
            <w:tcW w:w="66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766,374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743,925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762,619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748,864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740,139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728,897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77,226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78,499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74,772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73,964</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65,176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66,519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689,148</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665,426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687,847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674,900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674,963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30,000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33,000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29,000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497,027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440,203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451,643</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451,111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456,412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420,107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other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696,628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686,375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666,221</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665,359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667,660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690,234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459,547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381,254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440,269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431,652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433,715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360,251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166,839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133,803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156,713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150,467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143,530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6,020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5,838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5,849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286,688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241,613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277,549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275,344</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284,336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229,017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263,481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218,837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254,239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251,917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260,695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Diluted earnings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1.91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1.98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132,356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132,049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131,450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131,265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130,856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133,116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132,769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132,278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132,128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131,828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131,126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Return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Average common shareholders’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interest margin on average earning assets (taxable-equivalent basis)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Nonaccrual loans to total loans and leases, net of unearned discount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290,341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245,776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281,929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279,838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289,974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235,162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Annualized return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Average tangible common shareholders’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13.76%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11.90%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13.55%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13.80%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14.92%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Average balances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(c)</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97,598</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95,892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98,644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93,245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89,873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94,067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92,346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95,093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89,689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86,311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87,333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85,212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87,965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82,776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14,195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13,376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12,978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12,780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10,959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67,670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66,587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65,767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64,763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64,343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72,958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71,698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75,515</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70,772</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69,659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67,327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shareholders’ equity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11,404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11,227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11,211</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11,015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10,808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7,873</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7,681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7,660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7,459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7,246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Total assets (c)</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97,080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98,378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96,686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97,228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90,835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93,552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94,834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93,137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93,674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87,276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86,990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87,959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86,278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86,751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80,062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14,752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14,393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12,994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13,348</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68,131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67,099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66,669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65,572</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64,748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72,630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73,594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73,582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74,342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69,829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Common shareholders’ equity, net of undeclared cumulative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520"/>
              <w:spacing w:after="0"/>
              <w:rPr>
                <w:sz w:val="20"/>
                <w:szCs w:val="20"/>
                <w:color w:val="auto"/>
              </w:rPr>
            </w:pPr>
            <w:r>
              <w:rPr>
                <w:rFonts w:ascii="Arial" w:cs="Arial" w:eastAsia="Arial" w:hAnsi="Arial"/>
                <w:sz w:val="18"/>
                <w:szCs w:val="18"/>
                <w:color w:val="auto"/>
              </w:rPr>
              <w:t>preferred dividends (c)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11,433</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11,294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11,102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11,099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10,934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7,750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7,553</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7,375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Equity per common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85.90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84.95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83.88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83.99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82.86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equity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59.39</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57.06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57.10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55.89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128.70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129.58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128.96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128.69</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117.86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111.78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112.42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118.51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116.10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Closing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124.93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125.62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123.29</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124.05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0" w:gutter="0" w:footer="0" w:header="0"/>
        </w:sectPr>
      </w:pPr>
    </w:p>
    <w:p>
      <w:pPr>
        <w:spacing w:after="0" w:line="110"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Excludes amortization and balances related to goodwill and core deposit and other intangible assets and merger-related gains and expenses which,</w:t>
      </w:r>
    </w:p>
    <w:p>
      <w:pPr>
        <w:sectPr>
          <w:pgSz w:w="11900" w:h="16838" w:orient="portrait"/>
          <w:cols w:equalWidth="0" w:num="1">
            <w:col w:w="11420"/>
          </w:cols>
          <w:pgMar w:left="240" w:top="459" w:right="239" w:bottom="0" w:gutter="0" w:footer="0" w:header="0"/>
          <w:type w:val="continuous"/>
        </w:sectPr>
      </w:pPr>
    </w:p>
    <w:bookmarkStart w:id="99" w:name="page100"/>
    <w:bookmarkEnd w:id="99"/>
    <w:p>
      <w:pPr>
        <w:ind w:left="452" w:right="380"/>
        <w:spacing w:after="0" w:line="258" w:lineRule="auto"/>
        <w:rPr>
          <w:sz w:val="20"/>
          <w:szCs w:val="20"/>
          <w:color w:val="auto"/>
        </w:rPr>
      </w:pPr>
      <w:r>
        <w:rPr>
          <w:rFonts w:ascii="Arial" w:cs="Arial" w:eastAsia="Arial" w:hAnsi="Arial"/>
          <w:sz w:val="18"/>
          <w:szCs w:val="18"/>
          <w:i w:val="1"/>
          <w:iCs w:val="1"/>
          <w:color w:val="auto"/>
        </w:rPr>
        <w:t>except in the calculation of the efficiency ratio, are net of applicable income tax effects. A reconciliation of net income and net operating income appears in Table 2.</w:t>
      </w:r>
    </w:p>
    <w:p>
      <w:pPr>
        <w:spacing w:after="0" w:line="1" w:lineRule="exact"/>
        <w:rPr>
          <w:sz w:val="20"/>
          <w:szCs w:val="20"/>
          <w:color w:val="auto"/>
        </w:rPr>
      </w:pPr>
    </w:p>
    <w:p>
      <w:pPr>
        <w:ind w:left="452" w:hanging="452"/>
        <w:spacing w:after="0"/>
        <w:tabs>
          <w:tab w:leader="none" w:pos="452"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9" w:lineRule="exact"/>
        <w:rPr>
          <w:rFonts w:ascii="Arial" w:cs="Arial" w:eastAsia="Arial" w:hAnsi="Arial"/>
          <w:sz w:val="18"/>
          <w:szCs w:val="18"/>
          <w:i w:val="1"/>
          <w:iCs w:val="1"/>
          <w:color w:val="auto"/>
        </w:rPr>
      </w:pPr>
    </w:p>
    <w:p>
      <w:pPr>
        <w:ind w:left="452" w:hanging="452"/>
        <w:spacing w:after="0" w:line="323" w:lineRule="auto"/>
        <w:tabs>
          <w:tab w:leader="none" w:pos="452"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7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32"/>
          </w:cols>
          <w:pgMar w:left="248" w:top="125"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6"/>
          </w:tcPr>
          <w:p>
            <w:pPr>
              <w:spacing w:after="0"/>
              <w:rPr>
                <w:sz w:val="20"/>
                <w:szCs w:val="20"/>
                <w:color w:val="auto"/>
              </w:rPr>
            </w:pPr>
            <w:r>
              <w:rPr>
                <w:rFonts w:ascii="Arial" w:cs="Arial" w:eastAsia="Arial" w:hAnsi="Arial"/>
                <w:sz w:val="18"/>
                <w:szCs w:val="18"/>
                <w:color w:val="auto"/>
                <w:w w:val="97"/>
              </w:rPr>
              <w:t>RECONCILIATION OF QUARTERLY GAAP TO NON-GAAP MEASURES</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4"/>
          </w:tcPr>
          <w:p>
            <w:pPr>
              <w:jc w:val="right"/>
              <w:ind w:right="960"/>
              <w:spacing w:after="0"/>
              <w:rPr>
                <w:sz w:val="20"/>
                <w:szCs w:val="20"/>
                <w:color w:val="auto"/>
              </w:rPr>
            </w:pPr>
            <w:r>
              <w:rPr>
                <w:rFonts w:ascii="Arial" w:cs="Arial" w:eastAsia="Arial" w:hAnsi="Arial"/>
                <w:sz w:val="14"/>
                <w:szCs w:val="14"/>
                <w:color w:val="auto"/>
              </w:rPr>
              <w:t>2015 Quarters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gridSpan w:val="4"/>
          </w:tcPr>
          <w:p>
            <w:pPr>
              <w:jc w:val="right"/>
              <w:ind w:right="940"/>
              <w:spacing w:after="0"/>
              <w:rPr>
                <w:sz w:val="20"/>
                <w:szCs w:val="20"/>
                <w:color w:val="auto"/>
              </w:rPr>
            </w:pPr>
            <w:r>
              <w:rPr>
                <w:rFonts w:ascii="Arial" w:cs="Arial" w:eastAsia="Arial" w:hAnsi="Arial"/>
                <w:sz w:val="14"/>
                <w:szCs w:val="14"/>
                <w:color w:val="auto"/>
              </w:rPr>
              <w:t>2014 Quarters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Borders>
              <w:top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38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color w:val="auto"/>
              </w:rPr>
              <w:t>Fourth</w:t>
            </w:r>
          </w:p>
        </w:tc>
        <w:tc>
          <w:tcPr>
            <w:tcW w:w="116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color w:val="auto"/>
              </w:rPr>
              <w:t>Third</w:t>
            </w:r>
          </w:p>
        </w:tc>
        <w:tc>
          <w:tcPr>
            <w:tcW w:w="11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Borders>
              <w:top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286,688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241,613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277,549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275,344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284,336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4"/>
              </w:rPr>
              <w:t>Amortization of core deposit and other intangible assets (a)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Net operating income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290,341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245,776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281,929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279,838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289,974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235,162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4"/>
              </w:rPr>
              <w:t>Amortization of core deposit and other intangible assets (a)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Diluted net operating earnings per common share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2.01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expense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696,628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686,375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666,221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665,359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667,660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690,234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(6,793)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(7,170)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(7,358)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Noninterest operating expense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690,663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679,582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659,051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658,001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658,426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680,172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Noninterest operating expense (numerator)</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690,663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679,582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659,051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658,001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658,426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680,172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net interest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689,148</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665,426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687,847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674,900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674,963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497,027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440,203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451,643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451,111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456,412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Less: Loss on bank investment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1,186,185</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1,105,727</w:t>
            </w:r>
          </w:p>
        </w:tc>
        <w:tc>
          <w:tcPr>
            <w:tcW w:w="38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1,139,490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1,126,011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1,131,375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1,082,485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58.23%</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97,598</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95,892</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98,644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93,245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89,873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(3,514)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94,067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92,346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95,093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89,689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86,311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r>
        <w:trPr>
          <w:trHeight w:val="29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Average common equity</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12,636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12,459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12,442</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12,247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12,039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(1,231)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(1,231)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common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11,227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11,211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11,015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10,808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(3,514)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common equity</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7,681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7,660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7,246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end of quarter</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97,080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98,378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96,686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97,228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90,835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Total tangible assets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93,552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94,834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93,137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93,674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87,276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84,965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equity</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12,668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12,528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12,336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12,333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12,169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Undeclared dividends - cumulative preferred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equity, net of undeclared cumulative preferred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11,294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11,102</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11,099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10,934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(3,513)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common equity</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7,375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ectPr>
          <w:pgSz w:w="11900" w:h="16838" w:orient="portrait"/>
          <w:cols w:equalWidth="0" w:num="1">
            <w:col w:w="11420"/>
          </w:cols>
          <w:pgMar w:left="240" w:top="459" w:right="239" w:bottom="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9019"/>
          </w:cols>
          <w:pgMar w:left="1440" w:top="274" w:right="1440"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13"/>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4"/>
          </w:tcPr>
          <w:p>
            <w:pPr>
              <w:ind w:left="420"/>
              <w:spacing w:after="0"/>
              <w:rPr>
                <w:sz w:val="20"/>
                <w:szCs w:val="20"/>
                <w:color w:val="auto"/>
              </w:rPr>
            </w:pPr>
            <w:r>
              <w:rPr>
                <w:rFonts w:ascii="Arial" w:cs="Arial" w:eastAsia="Arial" w:hAnsi="Arial"/>
                <w:sz w:val="14"/>
                <w:szCs w:val="14"/>
                <w:color w:val="auto"/>
                <w:w w:val="92"/>
              </w:rPr>
              <w:t>2015 Second Quarter</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w w:val="91"/>
              </w:rPr>
              <w:t>2015 First Quarter</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7"/>
          </w:tcPr>
          <w:p>
            <w:pPr>
              <w:jc w:val="right"/>
              <w:ind w:right="700"/>
              <w:spacing w:after="0"/>
              <w:rPr>
                <w:sz w:val="20"/>
                <w:szCs w:val="20"/>
                <w:color w:val="auto"/>
              </w:rPr>
            </w:pPr>
            <w:r>
              <w:rPr>
                <w:rFonts w:ascii="Arial" w:cs="Arial" w:eastAsia="Arial" w:hAnsi="Arial"/>
                <w:sz w:val="14"/>
                <w:szCs w:val="14"/>
                <w:color w:val="auto"/>
              </w:rPr>
              <w:t>2014 Fourth Quarter</w:t>
            </w:r>
          </w:p>
        </w:tc>
        <w:tc>
          <w:tcPr>
            <w:tcW w:w="0" w:type="dxa"/>
            <w:vAlign w:val="bottom"/>
          </w:tcPr>
          <w:p>
            <w:pPr>
              <w:spacing w:after="0"/>
              <w:rPr>
                <w:sz w:val="1"/>
                <w:szCs w:val="1"/>
                <w:color w:val="auto"/>
              </w:rPr>
            </w:pPr>
          </w:p>
        </w:tc>
      </w:tr>
      <w:tr>
        <w:trPr>
          <w:trHeight w:val="149"/>
        </w:trPr>
        <w:tc>
          <w:tcPr>
            <w:tcW w:w="382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100" w:type="dxa"/>
            <w:vAlign w:val="bottom"/>
          </w:tcPr>
          <w:p>
            <w:pPr>
              <w:spacing w:after="0"/>
              <w:rPr>
                <w:sz w:val="12"/>
                <w:szCs w:val="12"/>
                <w:color w:val="auto"/>
              </w:rPr>
            </w:pPr>
          </w:p>
        </w:tc>
        <w:tc>
          <w:tcPr>
            <w:tcW w:w="8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5"/>
              </w:rPr>
              <w:t>Average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8"/>
              </w:rPr>
              <w:t>Average</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5"/>
              </w:rPr>
              <w:t>Average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8"/>
              </w:rPr>
              <w:t>Average</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5"/>
              </w:rPr>
              <w:t>Average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38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color w:val="auto"/>
                <w:w w:val="98"/>
              </w:rPr>
              <w:t>Balance</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Rate</w:t>
            </w:r>
          </w:p>
        </w:tc>
        <w:tc>
          <w:tcPr>
            <w:tcW w:w="560" w:type="dxa"/>
            <w:vAlign w:val="bottom"/>
          </w:tcPr>
          <w:p>
            <w:pPr>
              <w:jc w:val="right"/>
              <w:spacing w:after="0"/>
              <w:rPr>
                <w:sz w:val="20"/>
                <w:szCs w:val="20"/>
                <w:color w:val="auto"/>
              </w:rPr>
            </w:pPr>
            <w:r>
              <w:rPr>
                <w:rFonts w:ascii="Arial" w:cs="Arial" w:eastAsia="Arial" w:hAnsi="Arial"/>
                <w:sz w:val="14"/>
                <w:szCs w:val="14"/>
                <w:color w:val="auto"/>
                <w:w w:val="98"/>
              </w:rPr>
              <w:t>Balance</w:t>
            </w:r>
          </w:p>
        </w:tc>
        <w:tc>
          <w:tcPr>
            <w:tcW w:w="2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Rate</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Balance</w:t>
            </w:r>
          </w:p>
        </w:tc>
        <w:tc>
          <w:tcPr>
            <w:tcW w:w="68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Commercial, financial, etc.</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19,973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$158,109</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3.18%</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19,457</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153,866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3.21%</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19,117</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156,627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 commercial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28,208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298,565</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27,596</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288,121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27,064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293,283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Real estate - consumer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8,447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88,473</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4.19</w:t>
            </w:r>
          </w:p>
        </w:tc>
        <w:tc>
          <w:tcPr>
            <w:tcW w:w="560" w:type="dxa"/>
            <w:vAlign w:val="bottom"/>
          </w:tcPr>
          <w:p>
            <w:pPr>
              <w:jc w:val="right"/>
              <w:spacing w:after="0"/>
              <w:rPr>
                <w:sz w:val="20"/>
                <w:szCs w:val="20"/>
                <w:color w:val="auto"/>
              </w:rPr>
            </w:pPr>
            <w:r>
              <w:rPr>
                <w:rFonts w:ascii="Arial" w:cs="Arial" w:eastAsia="Arial" w:hAnsi="Arial"/>
                <w:sz w:val="18"/>
                <w:szCs w:val="18"/>
                <w:color w:val="auto"/>
              </w:rPr>
              <w:t>8,572</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88,850</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4.15</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8,654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90,637</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11,042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122,812</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10,962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121,366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10,932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123,681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2"/>
          </w:tcPr>
          <w:p>
            <w:pPr>
              <w:ind w:left="580"/>
              <w:spacing w:after="0"/>
              <w:rPr>
                <w:sz w:val="20"/>
                <w:szCs w:val="20"/>
                <w:color w:val="auto"/>
              </w:rPr>
            </w:pPr>
            <w:r>
              <w:rPr>
                <w:rFonts w:ascii="Arial" w:cs="Arial" w:eastAsia="Arial" w:hAnsi="Arial"/>
                <w:sz w:val="18"/>
                <w:szCs w:val="18"/>
                <w:color w:val="auto"/>
              </w:rPr>
              <w:t>Total loans and leases, net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67,670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667,959</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3.96</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66,587</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652,203</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65,767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664,228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3,118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9,054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3"/>
          </w:tcPr>
          <w:p>
            <w:pPr>
              <w:spacing w:after="0" w:line="201" w:lineRule="exact"/>
              <w:rPr>
                <w:sz w:val="20"/>
                <w:szCs w:val="20"/>
                <w:color w:val="auto"/>
              </w:rPr>
            </w:pPr>
            <w:r>
              <w:rPr>
                <w:rFonts w:ascii="Arial" w:cs="Arial" w:eastAsia="Arial" w:hAnsi="Arial"/>
                <w:sz w:val="18"/>
                <w:szCs w:val="18"/>
                <w:color w:val="auto"/>
              </w:rPr>
              <w:t>Federal funds sold and agreements to resell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
          </w:tcPr>
          <w:p>
            <w:pPr>
              <w:ind w:left="4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13,265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83,356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12,437</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78,313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12,032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82,843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w w:val="93"/>
              </w:rPr>
              <w:t>Obligations of states and political subdivisions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1,607</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4.32</w:t>
            </w: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1,967</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5.04</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1,963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9,853</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7,735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2"/>
          </w:tcPr>
          <w:p>
            <w:pPr>
              <w:ind w:left="580"/>
              <w:spacing w:after="0"/>
              <w:rPr>
                <w:sz w:val="20"/>
                <w:szCs w:val="20"/>
                <w:color w:val="auto"/>
              </w:rPr>
            </w:pPr>
            <w:r>
              <w:rPr>
                <w:rFonts w:ascii="Arial" w:cs="Arial" w:eastAsia="Arial" w:hAnsi="Arial"/>
                <w:sz w:val="18"/>
                <w:szCs w:val="18"/>
                <w:color w:val="auto"/>
              </w:rPr>
              <w:t>Total investment securities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14,195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94,816</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2.68</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13,376</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88,015</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12,978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92,276</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Total earning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87,333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766,374</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85,212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743,925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87,965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762,619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3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20" w:type="dxa"/>
            <w:vAlign w:val="bottom"/>
            <w:gridSpan w:val="4"/>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(929)</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91"/>
              <w:spacing w:after="0"/>
              <w:rPr>
                <w:sz w:val="20"/>
                <w:szCs w:val="20"/>
                <w:color w:val="auto"/>
              </w:rPr>
            </w:pPr>
            <w:r>
              <w:rPr>
                <w:rFonts w:ascii="Arial" w:cs="Arial" w:eastAsia="Arial" w:hAnsi="Arial"/>
                <w:sz w:val="18"/>
                <w:szCs w:val="18"/>
                <w:color w:val="auto"/>
              </w:rPr>
              <w:t>(925)</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(924)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10,014</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10,384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10,313</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97,598</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95,892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98,644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NOW accounts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41,712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10,361</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41,525</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10,219</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42,949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11,151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3,740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147</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46,205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14,550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45,887</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14,417</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47,425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2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10,164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62,640</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64,048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8,954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59,149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56,564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77,226</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55,918</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78,499</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56,574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74,772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26,753</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25,811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28,090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1,645</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1,538</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84,962</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83,433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86,202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2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12,636</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12,459</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12,442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8"/>
              </w:rPr>
              <w:t>Total liabilities and shareholders’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97,598</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95,892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98,644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2.97</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2.97</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line="20" w:lineRule="exact"/>
              <w:rPr>
                <w:sz w:val="1"/>
                <w:szCs w:val="1"/>
                <w:color w:val="auto"/>
              </w:rPr>
            </w:pPr>
          </w:p>
        </w:tc>
      </w:tr>
      <w:tr>
        <w:trPr>
          <w:trHeight w:val="278"/>
        </w:trPr>
        <w:tc>
          <w:tcPr>
            <w:tcW w:w="38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820" w:type="dxa"/>
            <w:vAlign w:val="bottom"/>
            <w:gridSpan w:val="4"/>
          </w:tcPr>
          <w:p>
            <w:pPr>
              <w:spacing w:after="0"/>
              <w:rPr>
                <w:sz w:val="20"/>
                <w:szCs w:val="20"/>
                <w:color w:val="auto"/>
              </w:rPr>
            </w:pPr>
            <w:r>
              <w:rPr>
                <w:rFonts w:ascii="Arial" w:cs="Arial" w:eastAsia="Arial" w:hAnsi="Arial"/>
                <w:sz w:val="18"/>
                <w:szCs w:val="18"/>
                <w:color w:val="auto"/>
              </w:rPr>
              <w:t>Net interest income/margin on earning assets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689,148</w:t>
            </w:r>
          </w:p>
        </w:tc>
        <w:tc>
          <w:tcPr>
            <w:tcW w:w="24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56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665,426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687,847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40" w:type="dxa"/>
            <w:vAlign w:val="bottom"/>
            <w:gridSpan w:val="2"/>
          </w:tcPr>
          <w:p>
            <w:pPr>
              <w:spacing w:after="0"/>
              <w:rPr>
                <w:sz w:val="20"/>
                <w:szCs w:val="20"/>
                <w:color w:val="auto"/>
              </w:rPr>
            </w:pPr>
            <w:r>
              <w:rPr>
                <w:rFonts w:ascii="Arial" w:cs="Arial" w:eastAsia="Arial" w:hAnsi="Arial"/>
                <w:sz w:val="18"/>
                <w:szCs w:val="18"/>
                <w:i w:val="1"/>
                <w:iCs w:val="1"/>
                <w:color w:val="auto"/>
              </w:rPr>
              <w:t>*</w:t>
            </w:r>
          </w:p>
        </w:tc>
        <w:tc>
          <w:tcPr>
            <w:tcW w:w="3680" w:type="dxa"/>
            <w:vAlign w:val="bottom"/>
            <w:gridSpan w:val="2"/>
          </w:tcPr>
          <w:p>
            <w:pPr>
              <w:ind w:left="280"/>
              <w:spacing w:after="0"/>
              <w:rPr>
                <w:sz w:val="20"/>
                <w:szCs w:val="20"/>
                <w:color w:val="auto"/>
              </w:rPr>
            </w:pPr>
            <w:r>
              <w:rPr>
                <w:rFonts w:ascii="Arial" w:cs="Arial" w:eastAsia="Arial" w:hAnsi="Arial"/>
                <w:sz w:val="18"/>
                <w:szCs w:val="18"/>
                <w:i w:val="1"/>
                <w:iCs w:val="1"/>
                <w:color w:val="auto"/>
              </w:rPr>
              <w:t>Includes nonaccrual loans.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3"/>
              </w:rPr>
              <w:t>(continued)</w:t>
            </w: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ectPr>
          <w:pgSz w:w="11900" w:h="16838" w:orient="portrait"/>
          <w:cols w:equalWidth="0" w:num="1">
            <w:col w:w="11420"/>
          </w:cols>
          <w:pgMar w:left="240" w:top="459" w:right="2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20"/>
          </w:cols>
          <w:pgMar w:left="240" w:top="459"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9"/>
          </w:tcPr>
          <w:p>
            <w:pPr>
              <w:spacing w:after="0"/>
              <w:rPr>
                <w:sz w:val="20"/>
                <w:szCs w:val="20"/>
                <w:color w:val="auto"/>
              </w:rPr>
            </w:pPr>
            <w:r>
              <w:rPr>
                <w:rFonts w:ascii="Arial" w:cs="Arial" w:eastAsia="Arial" w:hAnsi="Arial"/>
                <w:sz w:val="18"/>
                <w:szCs w:val="18"/>
                <w:color w:val="auto"/>
              </w:rPr>
              <w:t>AVERAGE BALANCE SHEETS AND ANNUALIZED TAXABLE-EQUIVALENT RATES (continued)</w:t>
            </w:r>
          </w:p>
        </w:tc>
        <w:tc>
          <w:tcPr>
            <w:tcW w:w="1720" w:type="dxa"/>
            <w:vAlign w:val="bottom"/>
            <w:gridSpan w:val="4"/>
          </w:tcPr>
          <w:p>
            <w:pPr>
              <w:jc w:val="right"/>
              <w:ind w:right="240"/>
              <w:spacing w:after="0"/>
              <w:rPr>
                <w:sz w:val="20"/>
                <w:szCs w:val="20"/>
                <w:color w:val="auto"/>
              </w:rPr>
            </w:pPr>
            <w:r>
              <w:rPr>
                <w:rFonts w:ascii="Arial" w:cs="Arial" w:eastAsia="Arial" w:hAnsi="Arial"/>
                <w:sz w:val="18"/>
                <w:szCs w:val="18"/>
                <w:color w:val="auto"/>
                <w:w w:val="94"/>
              </w:rPr>
              <w:t>Table 3 (continued)</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2014 Third Quarter</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4"/>
                <w:szCs w:val="14"/>
                <w:color w:val="auto"/>
              </w:rPr>
              <w:t>2014 Second Quarter</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2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Average</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8"/>
              </w:rPr>
              <w:t>Average</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6200" w:type="dxa"/>
            <w:vAlign w:val="bottom"/>
            <w:gridSpan w:val="3"/>
            <w:vMerge w:val="continue"/>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Balance</w:t>
            </w:r>
          </w:p>
        </w:tc>
        <w:tc>
          <w:tcPr>
            <w:tcW w:w="2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860" w:type="dxa"/>
            <w:vAlign w:val="bottom"/>
            <w:gridSpan w:val="2"/>
          </w:tcPr>
          <w:p>
            <w:pPr>
              <w:jc w:val="right"/>
              <w:ind w:right="500"/>
              <w:spacing w:after="0"/>
              <w:rPr>
                <w:sz w:val="20"/>
                <w:szCs w:val="20"/>
                <w:color w:val="auto"/>
              </w:rPr>
            </w:pPr>
            <w:r>
              <w:rPr>
                <w:rFonts w:ascii="Arial" w:cs="Arial" w:eastAsia="Arial" w:hAnsi="Arial"/>
                <w:sz w:val="14"/>
                <w:szCs w:val="14"/>
                <w:color w:val="auto"/>
              </w:rPr>
              <w:t>Rate</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Balance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18,889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$156,440</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18,978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157,891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 - commercial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26,487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283,476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26,140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278,596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Real estate - consumer</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90,023</w:t>
            </w: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4.17</w:t>
            </w:r>
          </w:p>
        </w:tc>
        <w:tc>
          <w:tcPr>
            <w:tcW w:w="560" w:type="dxa"/>
            <w:vAlign w:val="bottom"/>
          </w:tcPr>
          <w:p>
            <w:pPr>
              <w:jc w:val="right"/>
              <w:spacing w:after="0"/>
              <w:rPr>
                <w:sz w:val="20"/>
                <w:szCs w:val="20"/>
                <w:color w:val="auto"/>
              </w:rPr>
            </w:pPr>
            <w:r>
              <w:rPr>
                <w:rFonts w:ascii="Arial" w:cs="Arial" w:eastAsia="Arial" w:hAnsi="Arial"/>
                <w:sz w:val="18"/>
                <w:szCs w:val="18"/>
                <w:color w:val="auto"/>
              </w:rPr>
              <w:t>8,746</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95,439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10,753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122,408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10,479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118,157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64,763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652,347</w:t>
            </w:r>
          </w:p>
        </w:tc>
        <w:tc>
          <w:tcPr>
            <w:tcW w:w="3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4.00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64,343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650,083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9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11,817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82,475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74,046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1,897</w:t>
            </w: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4.65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1,986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11,209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93,018</w:t>
            </w:r>
          </w:p>
        </w:tc>
        <w:tc>
          <w:tcPr>
            <w:tcW w:w="3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2.89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10,959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87,241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82,776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748,864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79,556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740,139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62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24"/>
                <w:szCs w:val="24"/>
                <w:color w:val="auto"/>
              </w:rPr>
            </w:pPr>
          </w:p>
        </w:tc>
        <w:tc>
          <w:tcPr>
            <w:tcW w:w="800" w:type="dxa"/>
            <w:vAlign w:val="bottom"/>
            <w:gridSpan w:val="3"/>
          </w:tcPr>
          <w:p>
            <w:pPr>
              <w:jc w:val="right"/>
              <w:ind w:right="151"/>
              <w:spacing w:after="0"/>
              <w:rPr>
                <w:sz w:val="20"/>
                <w:szCs w:val="20"/>
                <w:color w:val="auto"/>
              </w:rPr>
            </w:pPr>
            <w:r>
              <w:rPr>
                <w:rFonts w:ascii="Arial" w:cs="Arial" w:eastAsia="Arial" w:hAnsi="Arial"/>
                <w:sz w:val="18"/>
                <w:szCs w:val="18"/>
                <w:color w:val="auto"/>
              </w:rPr>
              <w:t>(924)</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(922)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10,120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10,015</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93,245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89,873</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41,056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11,532</w:t>
            </w: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39,478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11,181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339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45,645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44,193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15,547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2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58,053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49,604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54,373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73,964</w:t>
            </w:r>
          </w:p>
        </w:tc>
        <w:tc>
          <w:tcPr>
            <w:tcW w:w="3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50,938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65,176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9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25,127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25,466</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1,498</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1,430</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80,998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77,834</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12,247</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12,039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93,245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89,873</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3.05</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line="20" w:lineRule="exact"/>
              <w:rPr>
                <w:sz w:val="1"/>
                <w:szCs w:val="1"/>
                <w:color w:val="auto"/>
              </w:rPr>
            </w:pPr>
          </w:p>
        </w:tc>
      </w:tr>
      <w:tr>
        <w:trPr>
          <w:trHeight w:val="278"/>
        </w:trPr>
        <w:tc>
          <w:tcPr>
            <w:tcW w:w="62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20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674,900</w:t>
            </w:r>
          </w:p>
        </w:tc>
        <w:tc>
          <w:tcPr>
            <w:tcW w:w="3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674,963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20"/>
          </w:cols>
          <w:pgMar w:left="240" w:top="459"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117" w:lineRule="exact"/>
        <w:rPr>
          <w:sz w:val="20"/>
          <w:szCs w:val="20"/>
          <w:color w:val="auto"/>
        </w:rPr>
      </w:pPr>
    </w:p>
    <w:p>
      <w:pPr>
        <w:ind w:right="60" w:firstLine="464"/>
        <w:spacing w:after="0" w:line="312" w:lineRule="auto"/>
        <w:tabs>
          <w:tab w:leader="none" w:pos="701" w:val="left"/>
        </w:tabs>
        <w:numPr>
          <w:ilvl w:val="0"/>
          <w:numId w:val="63"/>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June 30, 2015.</w:t>
      </w:r>
    </w:p>
    <w:p>
      <w:pPr>
        <w:spacing w:after="0" w:line="146" w:lineRule="exact"/>
        <w:rPr>
          <w:rFonts w:ascii="Arial" w:cs="Arial" w:eastAsia="Arial" w:hAnsi="Arial"/>
          <w:sz w:val="16"/>
          <w:szCs w:val="16"/>
          <w:color w:val="auto"/>
        </w:rPr>
      </w:pPr>
    </w:p>
    <w:p>
      <w:pPr>
        <w:ind w:firstLine="464"/>
        <w:spacing w:after="0" w:line="279" w:lineRule="auto"/>
        <w:tabs>
          <w:tab w:leader="none" w:pos="711"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2015 that have materially affected, or are reasonably likely to materially affect, M&amp;T’s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M&amp;T’s Wilmington Trust Corporation (“Wilmington Trust”) subsidiary is the subject of certain governmental investigations arising from actions undertaken by Wilmington Trust prior to M&amp;T’s acquisition of Wilmington Trust and its subsidiaries, as set forth below.</w:t>
      </w:r>
    </w:p>
    <w:p>
      <w:pPr>
        <w:spacing w:after="0" w:line="17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i w:val="1"/>
          <w:iCs w:val="1"/>
          <w:color w:val="auto"/>
        </w:rPr>
        <w:t xml:space="preserve">DOJ Investigation: </w:t>
      </w:r>
      <w:r>
        <w:rPr>
          <w:rFonts w:ascii="Arial" w:cs="Arial" w:eastAsia="Arial" w:hAnsi="Arial"/>
          <w:sz w:val="17"/>
          <w:szCs w:val="17"/>
          <w:color w:val="auto"/>
        </w:rPr>
        <w:t>Prior to M&amp;T’s acquisition of Wilmington Trust, the Department of Justice (“DOJ”) commenced an investigation of Wilmington</w:t>
      </w:r>
      <w:r>
        <w:rPr>
          <w:rFonts w:ascii="Arial" w:cs="Arial" w:eastAsia="Arial" w:hAnsi="Arial"/>
          <w:sz w:val="17"/>
          <w:szCs w:val="17"/>
          <w:i w:val="1"/>
          <w:iCs w:val="1"/>
          <w:color w:val="auto"/>
        </w:rPr>
        <w:t xml:space="preserve"> </w:t>
      </w:r>
      <w:r>
        <w:rPr>
          <w:rFonts w:ascii="Arial" w:cs="Arial" w:eastAsia="Arial" w:hAnsi="Arial"/>
          <w:sz w:val="17"/>
          <w:szCs w:val="17"/>
          <w:color w:val="auto"/>
        </w:rPr>
        <w:t>Trust, relating to Wilmington Trust’s financial reporting and securities filings, as well as certain commercial real estate lending relationships involving its subsidiary bank, Wilmington Trust Company, all of which relate to filings and activities occurring prior to the acquisition of Wilmington Trust by M&amp;T. Counsel for Wilmington Trust has met with the DOJ to discuss the DOJ investigation. The DOJ investigation is ongoing.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This investigation could lead to administrative or legal proceedings resulting in potential civil and/or criminal remedies, or settlements, including, among other things, enforcement actions, fines, penalties, restitution or additional costs and expenses.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In Re Wilmington Trust Securities Litigation (U.S. District Court, District of Delaware, Case No. 10-CV-0990-SLR): </w:t>
      </w:r>
      <w:r>
        <w:rPr>
          <w:rFonts w:ascii="Arial" w:cs="Arial" w:eastAsia="Arial" w:hAnsi="Arial"/>
          <w:sz w:val="18"/>
          <w:szCs w:val="18"/>
          <w:color w:val="auto"/>
        </w:rPr>
        <w:t>Beginning on November 18, 2010,</w:t>
      </w:r>
      <w:r>
        <w:rPr>
          <w:rFonts w:ascii="Arial" w:cs="Arial" w:eastAsia="Arial" w:hAnsi="Arial"/>
          <w:sz w:val="18"/>
          <w:szCs w:val="18"/>
          <w:i w:val="1"/>
          <w:iCs w:val="1"/>
          <w:color w:val="auto"/>
        </w:rPr>
        <w:t xml:space="preserve"> </w:t>
      </w:r>
      <w:r>
        <w:rPr>
          <w:rFonts w:ascii="Arial" w:cs="Arial" w:eastAsia="Arial" w:hAnsi="Arial"/>
          <w:sz w:val="18"/>
          <w:szCs w:val="18"/>
          <w:color w:val="auto"/>
        </w:rPr>
        <w:t>a series of parties, purporting to be class representatives, commenced a putative class action lawsuit against Wilmington Trust, alleging that Wilmington Trust’s financial reporting and securities filings were in violation of securities laws. The cases were consolidated and Wilmington Trust moved to dismiss. The Court issued an order denying Wilmington Trust’s motion to dismiss on March 20, 2014. The parties are currently engaged in the discovery phase of the lawsuit.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Company is the subject of an investigation by government agencies relating to the origination of Federal Housing Administration (“FHA”) insured residential home loans and residential home loans sold to The Federal Home Loan Mortgage Corporation (“Freddie Mac”) and The Federal National Mortgage Association (“Fannie Mae”). A number of other U.S. financial institutions have announced similar investigations. Regarding FHA loans, the U.S. Department of Housing and Urban Development (“HUD”) Office of Inspector General and the DOJ (collectively, the “Government”) are investigating whether the Company complied with underwriting guidelines concerning certain loans where HUD paid FHA insurance claims. The Company is fully cooperating with the investigation. The Government has advised the Company that based upon its review of a sample of loans for which an FHA insurance claim was paid by HUD, some of the loans do not meet underwriting guidelines. The Company, based on its own review of the sample, does not agree with the sampling methodology and loan analysis employed by the Government. Regarding loans originated by the Company and sold to Freddie Mac and Fannie Mae, the investigation concerns whether the mortgages sold to Freddie Mac and Fannie Mae comply with applicable underwriting guidelines. The Company is also cooperating with that portion of the investigation. The investigation could lead to claims by the Government under the False Claims Act and the Financial Institutions Reform, Recovery, and Enforcement Act of 1989, which allow treble and other special damages substantially in excess of actual losses. Remedies in these proceedings or settlements may include restitution, fines, penalties, or alterations in the Company’s business practices. The Company and the Government have begun settlement discussions regarding the investigation.</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3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17" w:lineRule="exact"/>
        <w:rPr>
          <w:sz w:val="20"/>
          <w:szCs w:val="20"/>
          <w:color w:val="auto"/>
        </w:rPr>
      </w:pPr>
    </w:p>
    <w:p>
      <w:pPr>
        <w:ind w:left="700" w:hanging="23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225" w:lineRule="exact"/>
        <w:rPr>
          <w:rFonts w:ascii="Arial" w:cs="Arial" w:eastAsia="Arial" w:hAnsi="Arial"/>
          <w:sz w:val="18"/>
          <w:szCs w:val="18"/>
          <w:color w:val="auto"/>
        </w:rPr>
      </w:pPr>
    </w:p>
    <w:p>
      <w:pPr>
        <w:spacing w:after="0"/>
        <w:tabs>
          <w:tab w:leader="none" w:pos="0" w:val="left"/>
        </w:tabs>
        <w:numPr>
          <w:ilvl w:val="0"/>
          <w:numId w:val="65"/>
        </w:numPr>
        <w:rPr>
          <w:rFonts w:ascii="Arial" w:cs="Arial" w:eastAsia="Arial" w:hAnsi="Arial"/>
          <w:sz w:val="18"/>
          <w:szCs w:val="18"/>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Issuer Purchases of Equity Securities</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23"/>
        </w:trPr>
        <w:tc>
          <w:tcPr>
            <w:tcW w:w="380" w:type="dxa"/>
            <w:vAlign w:val="bottom"/>
            <w:tcBorders>
              <w:top w:val="single" w:sz="8" w:color="auto"/>
            </w:tcBorders>
          </w:tcPr>
          <w:p>
            <w:pPr>
              <w:spacing w:after="0"/>
              <w:rPr>
                <w:sz w:val="10"/>
                <w:szCs w:val="10"/>
                <w:color w:val="auto"/>
              </w:rPr>
            </w:pPr>
          </w:p>
        </w:tc>
        <w:tc>
          <w:tcPr>
            <w:tcW w:w="54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(c)Total</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(or Units)</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1"/>
              </w:rPr>
              <w:t>(a)Total</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6"/>
              </w:rPr>
              <w:t>Number</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2"/>
              </w:rPr>
              <w:t>(b)Average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5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6"/>
              </w:rPr>
              <w:t>of Shares</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Price Paid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color w:val="auto"/>
              </w:rPr>
              <w:t>Period</w:t>
            </w: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7"/>
              </w:rPr>
              <w:t>(or Units)</w:t>
            </w: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7"/>
              </w:rPr>
              <w:t>per Share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5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67"/>
        </w:trPr>
        <w:tc>
          <w:tcPr>
            <w:tcW w:w="5840" w:type="dxa"/>
            <w:vAlign w:val="bottom"/>
            <w:gridSpan w:val="2"/>
            <w:vMerge w:val="continue"/>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color w:val="auto"/>
                <w:w w:val="90"/>
              </w:rPr>
              <w:t>Purchased (1)</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color w:val="auto"/>
                <w:w w:val="98"/>
              </w:rPr>
              <w:t>(or Unit)</w:t>
            </w: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5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April</w:t>
            </w:r>
          </w:p>
        </w:tc>
        <w:tc>
          <w:tcPr>
            <w:tcW w:w="54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 – April 30, 2015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$ 119.84</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2,181,500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May 1 – May 31, 2015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5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120.88</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2015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10,226</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125.08</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10,525</w:t>
            </w:r>
          </w:p>
        </w:tc>
        <w:tc>
          <w:tcPr>
            <w:tcW w:w="540" w:type="dxa"/>
            <w:vAlign w:val="bottom"/>
          </w:tcPr>
          <w:p>
            <w:pPr>
              <w:spacing w:after="0"/>
              <w:rPr>
                <w:sz w:val="24"/>
                <w:szCs w:val="2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$ 124.95</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460" w:hanging="452"/>
        <w:spacing w:after="0" w:line="288" w:lineRule="auto"/>
        <w:tabs>
          <w:tab w:leader="none" w:pos="46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120" w:hanging="452"/>
        <w:spacing w:after="0" w:line="261" w:lineRule="auto"/>
        <w:tabs>
          <w:tab w:leader="none" w:pos="4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10500" w:type="dxa"/>
            <w:vAlign w:val="bottom"/>
            <w:gridSpan w:val="2"/>
          </w:tcPr>
          <w:p>
            <w:pPr>
              <w:ind w:left="200"/>
              <w:spacing w:after="0"/>
              <w:rPr>
                <w:sz w:val="20"/>
                <w:szCs w:val="20"/>
                <w:color w:val="auto"/>
              </w:rPr>
            </w:pPr>
            <w:r>
              <w:rPr>
                <w:rFonts w:ascii="Arial" w:cs="Arial" w:eastAsia="Arial" w:hAnsi="Arial"/>
                <w:sz w:val="18"/>
                <w:szCs w:val="18"/>
                <w:color w:val="auto"/>
              </w:rPr>
              <w:t>Exhibits.</w:t>
            </w:r>
          </w:p>
        </w:tc>
      </w:tr>
      <w:tr>
        <w:trPr>
          <w:trHeight w:val="324"/>
        </w:trPr>
        <w:tc>
          <w:tcPr>
            <w:tcW w:w="11220" w:type="dxa"/>
            <w:vAlign w:val="bottom"/>
            <w:gridSpan w:val="3"/>
          </w:tcPr>
          <w:p>
            <w:pPr>
              <w:ind w:left="46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373"/>
        </w:trPr>
        <w:tc>
          <w:tcPr>
            <w:tcW w:w="720" w:type="dxa"/>
            <w:vAlign w:val="bottom"/>
          </w:tcPr>
          <w:p>
            <w:pPr>
              <w:ind w:left="140"/>
              <w:spacing w:after="0"/>
              <w:rPr>
                <w:sz w:val="20"/>
                <w:szCs w:val="20"/>
                <w:color w:val="auto"/>
              </w:rPr>
            </w:pPr>
            <w:r>
              <w:rPr>
                <w:rFonts w:ascii="Arial" w:cs="Arial" w:eastAsia="Arial" w:hAnsi="Arial"/>
                <w:sz w:val="14"/>
                <w:szCs w:val="14"/>
                <w:color w:val="auto"/>
              </w:rPr>
              <w:t>Exhibit</w:t>
            </w:r>
          </w:p>
        </w:tc>
        <w:tc>
          <w:tcPr>
            <w:tcW w:w="440" w:type="dxa"/>
            <w:vAlign w:val="bottom"/>
          </w:tcPr>
          <w:p>
            <w:pPr>
              <w:spacing w:after="0"/>
              <w:rPr>
                <w:sz w:val="24"/>
                <w:szCs w:val="24"/>
                <w:color w:val="auto"/>
              </w:rPr>
            </w:pPr>
          </w:p>
        </w:tc>
        <w:tc>
          <w:tcPr>
            <w:tcW w:w="10060" w:type="dxa"/>
            <w:vAlign w:val="bottom"/>
          </w:tcPr>
          <w:p>
            <w:pPr>
              <w:spacing w:after="0"/>
              <w:rPr>
                <w:sz w:val="24"/>
                <w:szCs w:val="24"/>
                <w:color w:val="auto"/>
              </w:rPr>
            </w:pPr>
          </w:p>
        </w:tc>
      </w:tr>
      <w:tr>
        <w:trPr>
          <w:trHeight w:val="167"/>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440" w:type="dxa"/>
            <w:vAlign w:val="bottom"/>
          </w:tcPr>
          <w:p>
            <w:pPr>
              <w:spacing w:after="0"/>
              <w:rPr>
                <w:sz w:val="14"/>
                <w:szCs w:val="14"/>
                <w:color w:val="auto"/>
              </w:rPr>
            </w:pPr>
          </w:p>
        </w:tc>
        <w:tc>
          <w:tcPr>
            <w:tcW w:w="10060" w:type="dxa"/>
            <w:vAlign w:val="bottom"/>
          </w:tcPr>
          <w:p>
            <w:pPr>
              <w:spacing w:after="0"/>
              <w:rPr>
                <w:sz w:val="14"/>
                <w:szCs w:val="14"/>
                <w:color w:val="auto"/>
              </w:rPr>
            </w:pPr>
          </w:p>
        </w:tc>
      </w:tr>
      <w:tr>
        <w:trPr>
          <w:trHeight w:val="304"/>
        </w:trPr>
        <w:tc>
          <w:tcPr>
            <w:tcW w:w="720" w:type="dxa"/>
            <w:vAlign w:val="bottom"/>
          </w:tcPr>
          <w:p>
            <w:pPr>
              <w:ind w:left="16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4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XBRL Taxonomy Definition Linkbase. Filed herewith.</w:t>
            </w:r>
          </w:p>
        </w:tc>
      </w:tr>
      <w:tr>
        <w:trPr>
          <w:trHeight w:val="135"/>
        </w:trPr>
        <w:tc>
          <w:tcPr>
            <w:tcW w:w="7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60" w:type="dxa"/>
            <w:vAlign w:val="bottom"/>
          </w:tcPr>
          <w:p>
            <w:pPr>
              <w:spacing w:after="0"/>
              <w:rPr>
                <w:sz w:val="11"/>
                <w:szCs w:val="1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6840" w:type="dxa"/>
            <w:vAlign w:val="bottom"/>
            <w:gridSpan w:val="2"/>
          </w:tcPr>
          <w:p>
            <w:pPr>
              <w:ind w:left="1900"/>
              <w:spacing w:after="0"/>
              <w:rPr>
                <w:sz w:val="20"/>
                <w:szCs w:val="20"/>
                <w:color w:val="auto"/>
              </w:rPr>
            </w:pPr>
            <w:r>
              <w:rPr>
                <w:rFonts w:ascii="Arial" w:cs="Arial" w:eastAsia="Arial" w:hAnsi="Arial"/>
                <w:sz w:val="18"/>
                <w:szCs w:val="18"/>
                <w:color w:val="auto"/>
              </w:rPr>
              <w:t>M&amp;T BANK CORPORATION</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August 5, 2015</w:t>
            </w:r>
          </w:p>
        </w:tc>
        <w:tc>
          <w:tcPr>
            <w:tcW w:w="6840" w:type="dxa"/>
            <w:vAlign w:val="bottom"/>
            <w:gridSpan w:val="2"/>
          </w:tcPr>
          <w:p>
            <w:pPr>
              <w:ind w:left="1900"/>
              <w:spacing w:after="0"/>
              <w:rPr>
                <w:sz w:val="20"/>
                <w:szCs w:val="20"/>
                <w:color w:val="auto"/>
              </w:rPr>
            </w:pPr>
            <w:r>
              <w:rPr>
                <w:rFonts w:ascii="Arial" w:cs="Arial" w:eastAsia="Arial" w:hAnsi="Arial"/>
                <w:sz w:val="18"/>
                <w:szCs w:val="18"/>
                <w:color w:val="auto"/>
              </w:rPr>
              <w:t>By:  /s/ René F. Jones</w:t>
            </w:r>
          </w:p>
        </w:tc>
      </w:tr>
      <w:tr>
        <w:trPr>
          <w:trHeight w:val="209"/>
        </w:trPr>
        <w:tc>
          <w:tcPr>
            <w:tcW w:w="3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René F. Jones</w:t>
            </w:r>
          </w:p>
        </w:tc>
      </w:tr>
      <w:tr>
        <w:trPr>
          <w:trHeight w:val="216"/>
        </w:trPr>
        <w:tc>
          <w:tcPr>
            <w:tcW w:w="3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365"/>
        </w:trPr>
        <w:tc>
          <w:tcPr>
            <w:tcW w:w="3440" w:type="dxa"/>
            <w:vAlign w:val="bottom"/>
          </w:tcPr>
          <w:p>
            <w:pPr>
              <w:spacing w:after="0"/>
              <w:rPr>
                <w:sz w:val="24"/>
                <w:szCs w:val="24"/>
                <w:color w:val="auto"/>
              </w:rPr>
            </w:pPr>
          </w:p>
        </w:tc>
        <w:tc>
          <w:tcPr>
            <w:tcW w:w="6840" w:type="dxa"/>
            <w:vAlign w:val="bottom"/>
            <w:gridSpan w:val="2"/>
          </w:tcPr>
          <w:p>
            <w:pPr>
              <w:ind w:left="2040"/>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500" w:type="dxa"/>
            <w:vAlign w:val="bottom"/>
          </w:tcPr>
          <w:p>
            <w:pPr>
              <w:ind w:left="4340"/>
              <w:spacing w:after="0"/>
              <w:rPr>
                <w:sz w:val="20"/>
                <w:szCs w:val="20"/>
                <w:color w:val="auto"/>
              </w:rPr>
            </w:pPr>
            <w:r>
              <w:rPr>
                <w:rFonts w:ascii="Arial" w:cs="Arial" w:eastAsia="Arial" w:hAnsi="Arial"/>
                <w:sz w:val="18"/>
                <w:szCs w:val="18"/>
                <w:color w:val="auto"/>
              </w:rPr>
              <w:t>EXHIBIT INDEX</w:t>
            </w:r>
          </w:p>
        </w:tc>
      </w:tr>
      <w:tr>
        <w:trPr>
          <w:trHeight w:val="373"/>
        </w:trPr>
        <w:tc>
          <w:tcPr>
            <w:tcW w:w="720" w:type="dxa"/>
            <w:vAlign w:val="bottom"/>
          </w:tcPr>
          <w:p>
            <w:pPr>
              <w:ind w:left="140"/>
              <w:spacing w:after="0"/>
              <w:rPr>
                <w:sz w:val="20"/>
                <w:szCs w:val="20"/>
                <w:color w:val="auto"/>
              </w:rPr>
            </w:pPr>
            <w:r>
              <w:rPr>
                <w:rFonts w:ascii="Arial" w:cs="Arial" w:eastAsia="Arial" w:hAnsi="Arial"/>
                <w:sz w:val="14"/>
                <w:szCs w:val="14"/>
                <w:color w:val="auto"/>
              </w:rPr>
              <w:t>Exhibit</w:t>
            </w:r>
          </w:p>
        </w:tc>
        <w:tc>
          <w:tcPr>
            <w:tcW w:w="10500" w:type="dxa"/>
            <w:vAlign w:val="bottom"/>
          </w:tcPr>
          <w:p>
            <w:pPr>
              <w:spacing w:after="0"/>
              <w:rPr>
                <w:sz w:val="24"/>
                <w:szCs w:val="24"/>
                <w:color w:val="auto"/>
              </w:rPr>
            </w:pPr>
          </w:p>
        </w:tc>
      </w:tr>
      <w:tr>
        <w:trPr>
          <w:trHeight w:val="167"/>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10500" w:type="dxa"/>
            <w:vAlign w:val="bottom"/>
          </w:tcPr>
          <w:p>
            <w:pPr>
              <w:spacing w:after="0"/>
              <w:rPr>
                <w:sz w:val="14"/>
                <w:szCs w:val="14"/>
                <w:color w:val="auto"/>
              </w:rPr>
            </w:pPr>
          </w:p>
        </w:tc>
      </w:tr>
      <w:tr>
        <w:trPr>
          <w:trHeight w:val="304"/>
        </w:trPr>
        <w:tc>
          <w:tcPr>
            <w:tcW w:w="720" w:type="dxa"/>
            <w:vAlign w:val="bottom"/>
          </w:tcPr>
          <w:p>
            <w:pPr>
              <w:ind w:left="160"/>
              <w:spacing w:after="0"/>
              <w:rPr>
                <w:sz w:val="20"/>
                <w:szCs w:val="20"/>
                <w:color w:val="auto"/>
              </w:rPr>
            </w:pPr>
            <w:r>
              <w:rPr>
                <w:rFonts w:ascii="Arial" w:cs="Arial" w:eastAsia="Arial" w:hAnsi="Arial"/>
                <w:sz w:val="18"/>
                <w:szCs w:val="18"/>
                <w:color w:val="auto"/>
              </w:rPr>
              <w:t>31.1</w:t>
            </w:r>
          </w:p>
        </w:tc>
        <w:tc>
          <w:tcPr>
            <w:tcW w:w="10500" w:type="dxa"/>
            <w:vAlign w:val="bottom"/>
          </w:tcPr>
          <w:p>
            <w:pPr>
              <w:ind w:left="4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31.2</w:t>
            </w:r>
          </w:p>
        </w:tc>
        <w:tc>
          <w:tcPr>
            <w:tcW w:w="10500" w:type="dxa"/>
            <w:vAlign w:val="bottom"/>
          </w:tcPr>
          <w:p>
            <w:pPr>
              <w:ind w:left="4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32.1</w:t>
            </w:r>
          </w:p>
        </w:tc>
        <w:tc>
          <w:tcPr>
            <w:tcW w:w="10500" w:type="dxa"/>
            <w:vAlign w:val="bottom"/>
          </w:tcPr>
          <w:p>
            <w:pPr>
              <w:ind w:left="44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32.2</w:t>
            </w:r>
          </w:p>
        </w:tc>
        <w:tc>
          <w:tcPr>
            <w:tcW w:w="10500" w:type="dxa"/>
            <w:vAlign w:val="bottom"/>
          </w:tcPr>
          <w:p>
            <w:pPr>
              <w:ind w:left="44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500" w:type="dxa"/>
            <w:vAlign w:val="bottom"/>
          </w:tcPr>
          <w:p>
            <w:pPr>
              <w:ind w:left="44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500" w:type="dxa"/>
            <w:vAlign w:val="bottom"/>
          </w:tcPr>
          <w:p>
            <w:pPr>
              <w:ind w:left="44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500" w:type="dxa"/>
            <w:vAlign w:val="bottom"/>
          </w:tcPr>
          <w:p>
            <w:pPr>
              <w:ind w:left="44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500" w:type="dxa"/>
            <w:vAlign w:val="bottom"/>
          </w:tcPr>
          <w:p>
            <w:pPr>
              <w:ind w:left="44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500" w:type="dxa"/>
            <w:vAlign w:val="bottom"/>
          </w:tcPr>
          <w:p>
            <w:pPr>
              <w:ind w:left="44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500" w:type="dxa"/>
            <w:vAlign w:val="bottom"/>
          </w:tcPr>
          <w:p>
            <w:pPr>
              <w:ind w:left="440"/>
              <w:spacing w:after="0"/>
              <w:rPr>
                <w:sz w:val="20"/>
                <w:szCs w:val="20"/>
                <w:color w:val="auto"/>
              </w:rPr>
            </w:pPr>
            <w:r>
              <w:rPr>
                <w:rFonts w:ascii="Arial" w:cs="Arial" w:eastAsia="Arial" w:hAnsi="Arial"/>
                <w:sz w:val="18"/>
                <w:szCs w:val="18"/>
                <w:color w:val="auto"/>
              </w:rPr>
              <w:t>XBRL Taxonomy Definition Linkbase. Filed herewith.</w:t>
            </w:r>
          </w:p>
        </w:tc>
      </w:tr>
      <w:tr>
        <w:trPr>
          <w:trHeight w:val="365"/>
        </w:trPr>
        <w:tc>
          <w:tcPr>
            <w:tcW w:w="720" w:type="dxa"/>
            <w:vAlign w:val="bottom"/>
          </w:tcPr>
          <w:p>
            <w:pPr>
              <w:spacing w:after="0"/>
              <w:rPr>
                <w:sz w:val="24"/>
                <w:szCs w:val="24"/>
                <w:color w:val="auto"/>
              </w:rPr>
            </w:pPr>
          </w:p>
        </w:tc>
        <w:tc>
          <w:tcPr>
            <w:tcW w:w="10500" w:type="dxa"/>
            <w:vAlign w:val="bottom"/>
          </w:tcPr>
          <w:p>
            <w:pPr>
              <w:ind w:left="4760"/>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1">
            <w:col w:w="11220"/>
          </w:cols>
          <w:pgMar w:left="240" w:top="459" w:right="4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31"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76" w:lineRule="exact"/>
        <w:rPr>
          <w:sz w:val="20"/>
          <w:szCs w:val="20"/>
          <w:color w:val="auto"/>
        </w:rPr>
      </w:pPr>
    </w:p>
    <w:p>
      <w:pPr>
        <w:ind w:left="900" w:right="2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2015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76" w:lineRule="exact"/>
        <w:rPr>
          <w:sz w:val="20"/>
          <w:szCs w:val="20"/>
          <w:color w:val="auto"/>
        </w:rPr>
      </w:pPr>
    </w:p>
    <w:p>
      <w:pPr>
        <w:ind w:left="900" w:right="2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2015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2"/>
    </w:lvl>
  </w:abstractNum>
  <w:abstractNum w:abstractNumId="4">
    <w:nsid w:val="580BD78F"/>
    <w:multiLevelType w:val="hybridMultilevel"/>
    <w:lvl w:ilvl="0">
      <w:lvlJc w:val="left"/>
      <w:lvlText w:val="%1."/>
      <w:numFmt w:val="decimal"/>
      <w:start w:val="3"/>
    </w:lvl>
  </w:abstractNum>
  <w:abstractNum w:abstractNumId="5">
    <w:nsid w:val="153EA438"/>
    <w:multiLevelType w:val="hybridMultilevel"/>
    <w:lvl w:ilvl="0">
      <w:lvlJc w:val="left"/>
      <w:lvlText w:val="%1."/>
      <w:numFmt w:val="decimal"/>
      <w:start w:val="3"/>
    </w:lvl>
  </w:abstractNum>
  <w:abstractNum w:abstractNumId="6">
    <w:nsid w:val="3855585C"/>
    <w:multiLevelType w:val="hybridMultilevel"/>
    <w:lvl w:ilvl="0">
      <w:lvlJc w:val="left"/>
      <w:lvlText w:val="%1."/>
      <w:numFmt w:val="decimal"/>
      <w:start w:val="3"/>
    </w:lvl>
  </w:abstractNum>
  <w:abstractNum w:abstractNumId="7">
    <w:nsid w:val="70A64E2A"/>
    <w:multiLevelType w:val="hybridMultilevel"/>
    <w:lvl w:ilvl="0">
      <w:lvlJc w:val="left"/>
      <w:lvlText w:val="%1."/>
      <w:numFmt w:val="decimal"/>
      <w:start w:val="3"/>
    </w:lvl>
  </w:abstractNum>
  <w:abstractNum w:abstractNumId="8">
    <w:nsid w:val="6A2342EC"/>
    <w:multiLevelType w:val="hybridMultilevel"/>
    <w:lvl w:ilvl="0">
      <w:lvlJc w:val="left"/>
      <w:lvlText w:val="%1."/>
      <w:numFmt w:val="decimal"/>
      <w:start w:val="4"/>
    </w:lvl>
  </w:abstractNum>
  <w:abstractNum w:abstractNumId="9">
    <w:nsid w:val="2A487CB0"/>
    <w:multiLevelType w:val="hybridMultilevel"/>
    <w:lvl w:ilvl="0">
      <w:lvlJc w:val="left"/>
      <w:lvlText w:val="%1."/>
      <w:numFmt w:val="decimal"/>
      <w:start w:val="4"/>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decimal"/>
      <w:start w:val="4"/>
    </w:lvl>
  </w:abstractNum>
  <w:abstractNum w:abstractNumId="12">
    <w:nsid w:val="2CD89A32"/>
    <w:multiLevelType w:val="hybridMultilevel"/>
    <w:lvl w:ilvl="0">
      <w:lvlJc w:val="left"/>
      <w:lvlText w:val="(%1)"/>
      <w:numFmt w:val="lowerLetter"/>
      <w:start w:val="1"/>
    </w:lvl>
  </w:abstractNum>
  <w:abstractNum w:abstractNumId="13">
    <w:nsid w:val="57E4CCAF"/>
    <w:multiLevelType w:val="hybridMultilevel"/>
    <w:lvl w:ilvl="0">
      <w:lvlJc w:val="left"/>
      <w:lvlText w:val="%1."/>
      <w:numFmt w:val="decimal"/>
      <w:start w:val="4"/>
    </w:lvl>
  </w:abstractNum>
  <w:abstractNum w:abstractNumId="14">
    <w:nsid w:val="7A6D8D3C"/>
    <w:multiLevelType w:val="hybridMultilevel"/>
    <w:lvl w:ilvl="0">
      <w:lvlJc w:val="left"/>
      <w:lvlText w:val="%1."/>
      <w:numFmt w:val="decimal"/>
      <w:start w:val="4"/>
    </w:lvl>
  </w:abstractNum>
  <w:abstractNum w:abstractNumId="15">
    <w:nsid w:val="4B588F54"/>
    <w:multiLevelType w:val="hybridMultilevel"/>
    <w:lvl w:ilvl="0">
      <w:lvlJc w:val="left"/>
      <w:lvlText w:val="%1."/>
      <w:numFmt w:val="decimal"/>
      <w:start w:val="4"/>
    </w:lvl>
  </w:abstractNum>
  <w:abstractNum w:abstractNumId="16">
    <w:nsid w:val="542289EC"/>
    <w:multiLevelType w:val="hybridMultilevel"/>
    <w:lvl w:ilvl="0">
      <w:lvlJc w:val="left"/>
      <w:lvlText w:val="%1."/>
      <w:numFmt w:val="decimal"/>
      <w:start w:val="4"/>
    </w:lvl>
  </w:abstractNum>
  <w:abstractNum w:abstractNumId="17">
    <w:nsid w:val="6DE91B18"/>
    <w:multiLevelType w:val="hybridMultilevel"/>
    <w:lvl w:ilvl="0">
      <w:lvlJc w:val="left"/>
      <w:lvlText w:val="%1."/>
      <w:numFmt w:val="decimal"/>
      <w:start w:val="4"/>
    </w:lvl>
  </w:abstractNum>
  <w:abstractNum w:abstractNumId="18">
    <w:nsid w:val="38437FDB"/>
    <w:multiLevelType w:val="hybridMultilevel"/>
    <w:lvl w:ilvl="0">
      <w:lvlJc w:val="left"/>
      <w:lvlText w:val="%1."/>
      <w:numFmt w:val="decimal"/>
      <w:start w:val="4"/>
    </w:lvl>
  </w:abstractNum>
  <w:abstractNum w:abstractNumId="19">
    <w:nsid w:val="7644A45C"/>
    <w:multiLevelType w:val="hybridMultilevel"/>
    <w:lvl w:ilvl="0">
      <w:lvlJc w:val="left"/>
      <w:lvlText w:val="%1."/>
      <w:numFmt w:val="decimal"/>
      <w:start w:val="4"/>
    </w:lvl>
  </w:abstractNum>
  <w:abstractNum w:abstractNumId="20">
    <w:nsid w:val="32FFF902"/>
    <w:multiLevelType w:val="hybridMultilevel"/>
    <w:lvl w:ilvl="0">
      <w:lvlJc w:val="left"/>
      <w:lvlText w:val="%1."/>
      <w:numFmt w:val="decimal"/>
      <w:start w:val="4"/>
    </w:lvl>
  </w:abstractNum>
  <w:abstractNum w:abstractNumId="21">
    <w:nsid w:val="684A481A"/>
    <w:multiLevelType w:val="hybridMultilevel"/>
    <w:lvl w:ilvl="0">
      <w:lvlJc w:val="left"/>
      <w:lvlText w:val="(%1)"/>
      <w:numFmt w:val="lowerLetter"/>
      <w:start w:val="1"/>
    </w:lvl>
  </w:abstractNum>
  <w:abstractNum w:abstractNumId="22">
    <w:nsid w:val="579478FE"/>
    <w:multiLevelType w:val="hybridMultilevel"/>
    <w:lvl w:ilvl="0">
      <w:lvlJc w:val="left"/>
      <w:lvlText w:val="%1."/>
      <w:numFmt w:val="decimal"/>
      <w:start w:val="4"/>
    </w:lvl>
  </w:abstractNum>
  <w:abstractNum w:abstractNumId="23">
    <w:nsid w:val="749ABB43"/>
    <w:multiLevelType w:val="hybridMultilevel"/>
    <w:lvl w:ilvl="0">
      <w:lvlJc w:val="left"/>
      <w:lvlText w:val="(%1)"/>
      <w:numFmt w:val="lowerLetter"/>
      <w:start w:val="1"/>
    </w:lvl>
  </w:abstractNum>
  <w:abstractNum w:abstractNumId="24">
    <w:nsid w:val="3DC240FB"/>
    <w:multiLevelType w:val="hybridMultilevel"/>
    <w:lvl w:ilvl="0">
      <w:lvlJc w:val="left"/>
      <w:lvlText w:val="%1."/>
      <w:numFmt w:val="decimal"/>
      <w:start w:val="4"/>
    </w:lvl>
  </w:abstractNum>
  <w:abstractNum w:abstractNumId="25">
    <w:nsid w:val="1BA026FA"/>
    <w:multiLevelType w:val="hybridMultilevel"/>
    <w:lvl w:ilvl="0">
      <w:lvlJc w:val="left"/>
      <w:lvlText w:val="(%1)"/>
      <w:numFmt w:val="lowerLetter"/>
      <w:start w:val="1"/>
    </w:lvl>
  </w:abstractNum>
  <w:abstractNum w:abstractNumId="26">
    <w:nsid w:val="79A1DEAA"/>
    <w:multiLevelType w:val="hybridMultilevel"/>
    <w:lvl w:ilvl="0">
      <w:lvlJc w:val="left"/>
      <w:lvlText w:val="%1."/>
      <w:numFmt w:val="decimal"/>
      <w:start w:val="4"/>
    </w:lvl>
  </w:abstractNum>
  <w:abstractNum w:abstractNumId="27">
    <w:nsid w:val="75C6C33A"/>
    <w:multiLevelType w:val="hybridMultilevel"/>
    <w:lvl w:ilvl="0">
      <w:lvlJc w:val="left"/>
      <w:lvlText w:val="(%1)"/>
      <w:numFmt w:val="lowerLetter"/>
      <w:start w:val="1"/>
    </w:lvl>
  </w:abstractNum>
  <w:abstractNum w:abstractNumId="28">
    <w:nsid w:val="12E685FB"/>
    <w:multiLevelType w:val="hybridMultilevel"/>
    <w:lvl w:ilvl="0">
      <w:lvlJc w:val="left"/>
      <w:lvlText w:val="%1."/>
      <w:numFmt w:val="decimal"/>
      <w:start w:val="4"/>
    </w:lvl>
  </w:abstractNum>
  <w:abstractNum w:abstractNumId="29">
    <w:nsid w:val="70C6A529"/>
    <w:multiLevelType w:val="hybridMultilevel"/>
    <w:lvl w:ilvl="0">
      <w:lvlJc w:val="left"/>
      <w:lvlText w:val="%1."/>
      <w:numFmt w:val="decimal"/>
      <w:start w:val="5"/>
    </w:lvl>
  </w:abstractNum>
  <w:abstractNum w:abstractNumId="30">
    <w:nsid w:val="520EEDD1"/>
    <w:multiLevelType w:val="hybridMultilevel"/>
    <w:lvl w:ilvl="0">
      <w:lvlJc w:val="left"/>
      <w:lvlText w:val="%1."/>
      <w:numFmt w:val="decimal"/>
      <w:start w:val="5"/>
    </w:lvl>
  </w:abstractNum>
  <w:abstractNum w:abstractNumId="31">
    <w:nsid w:val="374A3FE6"/>
    <w:multiLevelType w:val="hybridMultilevel"/>
    <w:lvl w:ilvl="0">
      <w:lvlJc w:val="left"/>
      <w:lvlText w:val="%1."/>
      <w:numFmt w:val="decimal"/>
      <w:start w:val="6"/>
    </w:lvl>
  </w:abstractNum>
  <w:abstractNum w:abstractNumId="32">
    <w:nsid w:val="4F4EF005"/>
    <w:multiLevelType w:val="hybridMultilevel"/>
    <w:lvl w:ilvl="0">
      <w:lvlJc w:val="left"/>
      <w:lvlText w:val="(%1)"/>
      <w:numFmt w:val="lowerLetter"/>
      <w:start w:val="1"/>
    </w:lvl>
  </w:abstractNum>
  <w:abstractNum w:abstractNumId="33">
    <w:nsid w:val="23F9C13C"/>
    <w:multiLevelType w:val="hybridMultilevel"/>
    <w:lvl w:ilvl="0">
      <w:lvlJc w:val="left"/>
      <w:lvlText w:val="%1."/>
      <w:numFmt w:val="decimal"/>
      <w:start w:val="6"/>
    </w:lvl>
  </w:abstractNum>
  <w:abstractNum w:abstractNumId="34">
    <w:nsid w:val="649BB77C"/>
    <w:multiLevelType w:val="hybridMultilevel"/>
    <w:lvl w:ilvl="0">
      <w:lvlJc w:val="left"/>
      <w:lvlText w:val="(%1)"/>
      <w:numFmt w:val="lowerLetter"/>
      <w:start w:val="3"/>
    </w:lvl>
  </w:abstractNum>
  <w:abstractNum w:abstractNumId="35">
    <w:nsid w:val="275AC794"/>
    <w:multiLevelType w:val="hybridMultilevel"/>
    <w:lvl w:ilvl="0">
      <w:lvlJc w:val="left"/>
      <w:lvlText w:val="%1."/>
      <w:numFmt w:val="decimal"/>
      <w:start w:val="7"/>
    </w:lvl>
  </w:abstractNum>
  <w:abstractNum w:abstractNumId="36">
    <w:nsid w:val="39386575"/>
    <w:multiLevelType w:val="hybridMultilevel"/>
    <w:lvl w:ilvl="0">
      <w:lvlJc w:val="left"/>
      <w:lvlText w:val="%1."/>
      <w:numFmt w:val="decimal"/>
      <w:start w:val="8"/>
    </w:lvl>
  </w:abstractNum>
  <w:abstractNum w:abstractNumId="37">
    <w:nsid w:val="1CF10FD8"/>
    <w:multiLevelType w:val="hybridMultilevel"/>
    <w:lvl w:ilvl="0">
      <w:lvlJc w:val="left"/>
      <w:lvlText w:val="%1."/>
      <w:numFmt w:val="decimal"/>
      <w:start w:val="9"/>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decimal"/>
      <w:start w:val="10"/>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1."/>
      <w:numFmt w:val="decimal"/>
      <w:start w:val="10"/>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decimal"/>
      <w:start w:val="13"/>
    </w:lvl>
  </w:abstractNum>
  <w:abstractNum w:abstractNumId="49">
    <w:nsid w:val="77AE35EB"/>
    <w:multiLevelType w:val="hybridMultilevel"/>
    <w:lvl w:ilvl="0">
      <w:lvlJc w:val="left"/>
      <w:lvlText w:val="%1."/>
      <w:numFmt w:val="decimal"/>
      <w:start w:val="14"/>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Roman"/>
      <w:start w:val="3"/>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1)"/>
      <w:numFmt w:val="decimal"/>
      <w:start w:val="4"/>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2"/>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3"/>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decimal"/>
      <w:start w:val="5"/>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5"/>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2019-12-29T16:12:04Z</dcterms:created>
  <dcterms:modified xsi:type="dcterms:W3CDTF">2019-12-29T16:12:04Z</dcterms:modified>
</cp:coreProperties>
</file>