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98425</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126365</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314"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120015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107315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1"/>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2"/>
              </w:rPr>
              <w:t>New York</w:t>
            </w:r>
          </w:p>
        </w:tc>
        <w:tc>
          <w:tcPr>
            <w:tcW w:w="59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8"/>
        </w:trPr>
        <w:tc>
          <w:tcPr>
            <w:tcW w:w="26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920" w:type="dxa"/>
            <w:vAlign w:val="bottom"/>
          </w:tcPr>
          <w:p>
            <w:pPr>
              <w:jc w:val="center"/>
              <w:ind w:left="47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incorporation or organization)</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920" w:type="dxa"/>
            <w:vAlign w:val="bottom"/>
          </w:tcPr>
          <w:p>
            <w:pPr>
              <w:spacing w:after="0"/>
              <w:rPr>
                <w:sz w:val="24"/>
                <w:szCs w:val="24"/>
                <w:color w:val="auto"/>
              </w:rPr>
            </w:pPr>
          </w:p>
        </w:tc>
      </w:tr>
      <w:tr>
        <w:trPr>
          <w:trHeight w:val="211"/>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92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8"/>
              </w:rPr>
              <w:t>(Zip Code)</w:t>
            </w:r>
          </w:p>
        </w:tc>
      </w:tr>
      <w:tr>
        <w:trPr>
          <w:trHeight w:val="326"/>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r>
        <w:trPr>
          <w:trHeight w:val="186"/>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93345</wp:posOffset>
            </wp:positionV>
            <wp:extent cx="145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75"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00" w:lineRule="exact"/>
        <w:rPr>
          <w:sz w:val="24"/>
          <w:szCs w:val="24"/>
          <w:color w:val="auto"/>
        </w:rPr>
      </w:pPr>
    </w:p>
    <w:p>
      <w:pPr>
        <w:ind w:right="20"/>
        <w:spacing w:after="0" w:line="29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3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2"/>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October 31, 2018: 140,357,696,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Arial" w:cs="Arial" w:eastAsia="Arial" w:hAnsi="Arial"/>
                <w:sz w:val="18"/>
                <w:szCs w:val="18"/>
                <w:color w:val="auto"/>
                <w:w w:val="97"/>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16"/>
          </w:tcPr>
          <w:p>
            <w:pPr>
              <w:jc w:val="center"/>
              <w:ind w:right="3400"/>
              <w:spacing w:after="0"/>
              <w:rPr>
                <w:sz w:val="20"/>
                <w:szCs w:val="20"/>
                <w:color w:val="auto"/>
              </w:rPr>
            </w:pPr>
            <w:r>
              <w:rPr>
                <w:rFonts w:ascii="Arial" w:cs="Arial" w:eastAsia="Arial" w:hAnsi="Arial"/>
                <w:sz w:val="18"/>
                <w:szCs w:val="18"/>
                <w:color w:val="auto"/>
                <w:w w:val="89"/>
              </w:rPr>
              <w:t>For the Quarterly Period Ended September 30, 2018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40" w:type="dxa"/>
            <w:vAlign w:val="bottom"/>
            <w:gridSpan w:val="15"/>
          </w:tcPr>
          <w:p>
            <w:pPr>
              <w:spacing w:after="0"/>
              <w:rPr>
                <w:sz w:val="20"/>
                <w:szCs w:val="20"/>
                <w:color w:val="auto"/>
              </w:rPr>
            </w:pPr>
            <w:r>
              <w:rPr>
                <w:rFonts w:ascii="Arial" w:cs="Arial" w:eastAsia="Arial" w:hAnsi="Arial"/>
                <w:sz w:val="18"/>
                <w:szCs w:val="18"/>
                <w:color w:val="auto"/>
                <w:w w:val="92"/>
              </w:rPr>
              <w:t>Table of Contents of Information Required in Report</w:t>
            </w:r>
          </w:p>
        </w:tc>
        <w:tc>
          <w:tcPr>
            <w:tcW w:w="3760" w:type="dxa"/>
            <w:vAlign w:val="bottom"/>
            <w:tcBorders>
              <w:top w:val="single" w:sz="8" w:color="auto"/>
            </w:tcBorders>
            <w:gridSpan w:val="9"/>
          </w:tcPr>
          <w:p>
            <w:pPr>
              <w:spacing w:after="0"/>
              <w:rPr>
                <w:sz w:val="24"/>
                <w:szCs w:val="24"/>
                <w:color w:val="auto"/>
              </w:rPr>
            </w:pPr>
          </w:p>
        </w:tc>
        <w:tc>
          <w:tcPr>
            <w:tcW w:w="3440" w:type="dxa"/>
            <w:vAlign w:val="bottom"/>
            <w:gridSpan w:val="6"/>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00" w:type="dxa"/>
            <w:vAlign w:val="bottom"/>
            <w:gridSpan w:val="1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September 30, 2018 and December 31, 2017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nine months ended September 30, 2018 and 2017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 OF COMPREHENSIVE INCOME – Three and nine months ended September 30, 2018 and 2017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tcBorders>
              <w:top w:val="single" w:sz="8" w:color="0000EE"/>
            </w:tcBorders>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Nine months ended September 30, 2018 and 2017</w:t>
              </w:r>
            </w:hyperlink>
          </w:p>
        </w:tc>
        <w:tc>
          <w:tcPr>
            <w:tcW w:w="2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 OF CHANGES IN SHAREHOLDERS' EQUITY – Nine months ended September 30, 2018 and</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2017</w:t>
              </w:r>
            </w:hyperlink>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6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5"/>
          </w:tcPr>
          <w:p>
            <w:pPr>
              <w:spacing w:after="0"/>
              <w:rPr>
                <w:sz w:val="24"/>
                <w:szCs w:val="24"/>
                <w:color w:val="auto"/>
              </w:rPr>
            </w:pPr>
          </w:p>
        </w:tc>
        <w:tc>
          <w:tcPr>
            <w:tcW w:w="32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2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60" w:type="dxa"/>
            <w:vAlign w:val="bottom"/>
            <w:gridSpan w:val="2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38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Unregistered Sales of Equity Securities and Use of Proceeds.</w:t>
              </w:r>
            </w:hyperlink>
          </w:p>
        </w:tc>
        <w:tc>
          <w:tcPr>
            <w:tcW w:w="53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Defaults Upon Senior Securities.</w:t>
              </w:r>
            </w:hyperlink>
          </w:p>
        </w:tc>
        <w:tc>
          <w:tcPr>
            <w:tcW w:w="738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2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820" w:type="dxa"/>
            <w:vAlign w:val="bottom"/>
            <w:tcBorders>
              <w:top w:val="single" w:sz="8" w:color="0000EE"/>
            </w:tcBorders>
            <w:gridSpan w:val="1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79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840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9"/>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9"/>
          </w:tcPr>
          <w:p>
            <w:pPr>
              <w:jc w:val="center"/>
              <w:ind w:left="3870"/>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5"/>
              <w:spacing w:after="0"/>
              <w:rPr>
                <w:sz w:val="20"/>
                <w:szCs w:val="20"/>
                <w:color w:val="auto"/>
              </w:rPr>
            </w:pPr>
            <w:r>
              <w:rPr>
                <w:rFonts w:ascii="Arial" w:cs="Arial" w:eastAsia="Arial" w:hAnsi="Arial"/>
                <w:sz w:val="14"/>
                <w:szCs w:val="14"/>
                <w:color w:val="auto"/>
                <w:w w:val="93"/>
              </w:rPr>
              <w:t>September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61"/>
        </w:trPr>
        <w:tc>
          <w:tcPr>
            <w:tcW w:w="2240" w:type="dxa"/>
            <w:vAlign w:val="bottom"/>
            <w:tcBorders>
              <w:bottom w:val="single" w:sz="8" w:color="auto"/>
            </w:tcBorders>
            <w:gridSpan w:val="2"/>
          </w:tcPr>
          <w:p>
            <w:pPr>
              <w:spacing w:after="0" w:line="153" w:lineRule="exact"/>
              <w:rPr>
                <w:sz w:val="20"/>
                <w:szCs w:val="20"/>
                <w:color w:val="auto"/>
              </w:rPr>
            </w:pPr>
            <w:r>
              <w:rPr>
                <w:rFonts w:ascii="Arial" w:cs="Arial" w:eastAsia="Arial" w:hAnsi="Arial"/>
                <w:sz w:val="14"/>
                <w:szCs w:val="14"/>
                <w:i w:val="1"/>
                <w:iCs w:val="1"/>
                <w:color w:val="auto"/>
                <w:w w:val="92"/>
              </w:rPr>
              <w:t>Dollars in thousands, except per share</w:t>
            </w:r>
          </w:p>
        </w:tc>
        <w:tc>
          <w:tcPr>
            <w:tcW w:w="5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5"/>
              <w:spacing w:after="0" w:line="153" w:lineRule="exact"/>
              <w:rPr>
                <w:sz w:val="20"/>
                <w:szCs w:val="20"/>
                <w:color w:val="auto"/>
              </w:rPr>
            </w:pPr>
            <w:r>
              <w:rPr>
                <w:rFonts w:ascii="Arial" w:cs="Arial" w:eastAsia="Arial" w:hAnsi="Arial"/>
                <w:sz w:val="14"/>
                <w:szCs w:val="14"/>
                <w:color w:val="auto"/>
              </w:rPr>
              <w:t>2018</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5"/>
              <w:spacing w:after="0" w:line="153"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r>
      <w:tr>
        <w:trPr>
          <w:trHeight w:val="337"/>
        </w:trPr>
        <w:tc>
          <w:tcPr>
            <w:tcW w:w="1180" w:type="dxa"/>
            <w:vAlign w:val="bottom"/>
          </w:tcPr>
          <w:p>
            <w:pPr>
              <w:spacing w:after="0"/>
              <w:rPr>
                <w:sz w:val="20"/>
                <w:szCs w:val="20"/>
                <w:color w:val="auto"/>
              </w:rPr>
            </w:pPr>
            <w:r>
              <w:rPr>
                <w:rFonts w:ascii="Arial" w:cs="Arial" w:eastAsia="Arial" w:hAnsi="Arial"/>
                <w:sz w:val="15"/>
                <w:szCs w:val="15"/>
                <w:color w:val="auto"/>
              </w:rPr>
              <w:t>Assets</w:t>
            </w:r>
          </w:p>
        </w:tc>
        <w:tc>
          <w:tcPr>
            <w:tcW w:w="6600" w:type="dxa"/>
            <w:vAlign w:val="bottom"/>
            <w:gridSpan w:val="2"/>
          </w:tcPr>
          <w:p>
            <w:pPr>
              <w:ind w:left="780"/>
              <w:spacing w:after="0"/>
              <w:rPr>
                <w:sz w:val="20"/>
                <w:szCs w:val="20"/>
                <w:color w:val="auto"/>
              </w:rPr>
            </w:pPr>
            <w:r>
              <w:rPr>
                <w:rFonts w:ascii="Arial" w:cs="Arial" w:eastAsia="Arial" w:hAnsi="Arial"/>
                <w:sz w:val="15"/>
                <w:szCs w:val="15"/>
                <w:color w:val="auto"/>
              </w:rPr>
              <w:t>Cash and due from banks</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1,311,611</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1,420,888</w:t>
            </w:r>
          </w:p>
        </w:tc>
        <w:tc>
          <w:tcPr>
            <w:tcW w:w="120" w:type="dxa"/>
            <w:vAlign w:val="bottom"/>
          </w:tcPr>
          <w:p>
            <w:pPr>
              <w:spacing w:after="0"/>
              <w:rPr>
                <w:sz w:val="24"/>
                <w:szCs w:val="24"/>
                <w:color w:val="auto"/>
              </w:rPr>
            </w:pPr>
          </w:p>
        </w:tc>
      </w:tr>
      <w:tr>
        <w:trPr>
          <w:trHeight w:val="175"/>
        </w:trPr>
        <w:tc>
          <w:tcPr>
            <w:tcW w:w="1180" w:type="dxa"/>
            <w:vAlign w:val="bottom"/>
            <w:shd w:val="clear" w:color="auto" w:fill="CFF0FC"/>
          </w:tcPr>
          <w:p>
            <w:pPr>
              <w:spacing w:after="0"/>
              <w:rPr>
                <w:sz w:val="15"/>
                <w:szCs w:val="15"/>
                <w:color w:val="auto"/>
              </w:rPr>
            </w:pPr>
          </w:p>
        </w:tc>
        <w:tc>
          <w:tcPr>
            <w:tcW w:w="660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Interest-bearing deposits at banks</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6,523,746</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5,078,903</w:t>
            </w:r>
          </w:p>
        </w:tc>
        <w:tc>
          <w:tcPr>
            <w:tcW w:w="120" w:type="dxa"/>
            <w:vAlign w:val="bottom"/>
            <w:shd w:val="clear" w:color="auto" w:fill="CFF0FC"/>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6600" w:type="dxa"/>
            <w:vAlign w:val="bottom"/>
            <w:gridSpan w:val="2"/>
          </w:tcPr>
          <w:p>
            <w:pPr>
              <w:ind w:left="780"/>
              <w:spacing w:after="0"/>
              <w:rPr>
                <w:sz w:val="20"/>
                <w:szCs w:val="20"/>
                <w:color w:val="auto"/>
              </w:rPr>
            </w:pPr>
            <w:r>
              <w:rPr>
                <w:rFonts w:ascii="Arial" w:cs="Arial" w:eastAsia="Arial" w:hAnsi="Arial"/>
                <w:sz w:val="15"/>
                <w:szCs w:val="15"/>
                <w:color w:val="auto"/>
              </w:rPr>
              <w:t>Trading account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125,038</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132,909</w:t>
            </w:r>
          </w:p>
        </w:tc>
        <w:tc>
          <w:tcPr>
            <w:tcW w:w="120" w:type="dxa"/>
            <w:vAlign w:val="bottom"/>
          </w:tcPr>
          <w:p>
            <w:pPr>
              <w:spacing w:after="0"/>
              <w:rPr>
                <w:sz w:val="15"/>
                <w:szCs w:val="15"/>
                <w:color w:val="auto"/>
              </w:rPr>
            </w:pPr>
          </w:p>
        </w:tc>
      </w:tr>
      <w:tr>
        <w:trPr>
          <w:trHeight w:val="174"/>
        </w:trPr>
        <w:tc>
          <w:tcPr>
            <w:tcW w:w="1180" w:type="dxa"/>
            <w:vAlign w:val="bottom"/>
          </w:tcPr>
          <w:p>
            <w:pPr>
              <w:spacing w:after="0"/>
              <w:rPr>
                <w:sz w:val="15"/>
                <w:szCs w:val="15"/>
                <w:color w:val="auto"/>
              </w:rPr>
            </w:pPr>
          </w:p>
        </w:tc>
        <w:tc>
          <w:tcPr>
            <w:tcW w:w="6600" w:type="dxa"/>
            <w:vAlign w:val="bottom"/>
            <w:gridSpan w:val="2"/>
          </w:tcPr>
          <w:p>
            <w:pPr>
              <w:ind w:left="780"/>
              <w:spacing w:after="0"/>
              <w:rPr>
                <w:sz w:val="20"/>
                <w:szCs w:val="20"/>
                <w:color w:val="auto"/>
              </w:rPr>
            </w:pPr>
            <w:r>
              <w:rPr>
                <w:rFonts w:ascii="Arial" w:cs="Arial" w:eastAsia="Arial" w:hAnsi="Arial"/>
                <w:sz w:val="15"/>
                <w:szCs w:val="15"/>
                <w:color w:val="auto"/>
              </w:rPr>
              <w:t>Investment securities (includes pledged securities that can be sold or repledged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13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13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1600" w:type="dxa"/>
            <w:vAlign w:val="bottom"/>
          </w:tcPr>
          <w:p>
            <w:pPr>
              <w:spacing w:after="0"/>
              <w:rPr>
                <w:sz w:val="14"/>
                <w:szCs w:val="14"/>
                <w:color w:val="auto"/>
              </w:rPr>
            </w:pPr>
          </w:p>
        </w:tc>
        <w:tc>
          <w:tcPr>
            <w:tcW w:w="6140" w:type="dxa"/>
            <w:vAlign w:val="bottom"/>
          </w:tcPr>
          <w:p>
            <w:pPr>
              <w:ind w:left="460"/>
              <w:spacing w:after="0" w:line="164" w:lineRule="exact"/>
              <w:rPr>
                <w:sz w:val="20"/>
                <w:szCs w:val="20"/>
                <w:color w:val="auto"/>
              </w:rPr>
            </w:pPr>
            <w:r>
              <w:rPr>
                <w:rFonts w:ascii="Arial" w:cs="Arial" w:eastAsia="Arial" w:hAnsi="Arial"/>
                <w:sz w:val="15"/>
                <w:szCs w:val="15"/>
                <w:color w:val="auto"/>
              </w:rPr>
              <w:t>$477,609 at September 30, 2018; $487,151 at December 31, 2017)</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600"/>
              <w:spacing w:after="0" w:line="162" w:lineRule="exact"/>
              <w:rPr>
                <w:sz w:val="20"/>
                <w:szCs w:val="20"/>
                <w:color w:val="auto"/>
              </w:rPr>
            </w:pPr>
            <w:r>
              <w:rPr>
                <w:rFonts w:ascii="Arial" w:cs="Arial" w:eastAsia="Arial" w:hAnsi="Arial"/>
                <w:sz w:val="15"/>
                <w:szCs w:val="15"/>
                <w:color w:val="auto"/>
              </w:rPr>
              <w:t>Available for sale (cost: $9,449,975 at September 30, 2018;</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720"/>
              <w:spacing w:after="0"/>
              <w:rPr>
                <w:sz w:val="20"/>
                <w:szCs w:val="20"/>
                <w:color w:val="auto"/>
              </w:rPr>
            </w:pPr>
            <w:r>
              <w:rPr>
                <w:rFonts w:ascii="Arial" w:cs="Arial" w:eastAsia="Arial" w:hAnsi="Arial"/>
                <w:sz w:val="15"/>
                <w:szCs w:val="15"/>
                <w:color w:val="auto"/>
              </w:rPr>
              <w:t>$10,938,796 at December 31, 2017)</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9,154,515</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10,896,284</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6140" w:type="dxa"/>
            <w:vAlign w:val="bottom"/>
            <w:shd w:val="clear" w:color="auto" w:fill="CFF0FC"/>
          </w:tcPr>
          <w:p>
            <w:pPr>
              <w:ind w:left="600"/>
              <w:spacing w:after="0" w:line="162" w:lineRule="exact"/>
              <w:rPr>
                <w:sz w:val="20"/>
                <w:szCs w:val="20"/>
                <w:color w:val="auto"/>
              </w:rPr>
            </w:pPr>
            <w:r>
              <w:rPr>
                <w:rFonts w:ascii="Arial" w:cs="Arial" w:eastAsia="Arial" w:hAnsi="Arial"/>
                <w:sz w:val="15"/>
                <w:szCs w:val="15"/>
                <w:color w:val="auto"/>
              </w:rPr>
              <w:t>Held to maturity (fair value: $3,313,270 at September 30, 2018;</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720"/>
              <w:spacing w:after="0"/>
              <w:rPr>
                <w:sz w:val="20"/>
                <w:szCs w:val="20"/>
                <w:color w:val="auto"/>
              </w:rPr>
            </w:pPr>
            <w:r>
              <w:rPr>
                <w:rFonts w:ascii="Arial" w:cs="Arial" w:eastAsia="Arial" w:hAnsi="Arial"/>
                <w:sz w:val="15"/>
                <w:szCs w:val="15"/>
                <w:color w:val="auto"/>
              </w:rPr>
              <w:t>$3,341,762 at December 31, 2017)</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3,418,719</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3,353,213</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600"/>
              <w:spacing w:after="0" w:line="162" w:lineRule="exact"/>
              <w:rPr>
                <w:sz w:val="20"/>
                <w:szCs w:val="20"/>
                <w:color w:val="auto"/>
              </w:rPr>
            </w:pPr>
            <w:r>
              <w:rPr>
                <w:rFonts w:ascii="Arial" w:cs="Arial" w:eastAsia="Arial" w:hAnsi="Arial"/>
                <w:sz w:val="15"/>
                <w:szCs w:val="15"/>
                <w:color w:val="auto"/>
              </w:rPr>
              <w:t>Equity and other securities (cost: $488,389 at September 30, 2018;</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Borders>
              <w:bottom w:val="single" w:sz="8" w:color="CFF0FC"/>
            </w:tcBorders>
          </w:tcPr>
          <w:p>
            <w:pPr>
              <w:spacing w:after="0"/>
              <w:rPr>
                <w:sz w:val="15"/>
                <w:szCs w:val="15"/>
                <w:color w:val="auto"/>
              </w:rPr>
            </w:pPr>
          </w:p>
        </w:tc>
        <w:tc>
          <w:tcPr>
            <w:tcW w:w="6140" w:type="dxa"/>
            <w:vAlign w:val="bottom"/>
            <w:tcBorders>
              <w:bottom w:val="single" w:sz="8" w:color="CFF0FC"/>
            </w:tcBorders>
          </w:tcPr>
          <w:p>
            <w:pPr>
              <w:ind w:left="720"/>
              <w:spacing w:after="0"/>
              <w:rPr>
                <w:sz w:val="20"/>
                <w:szCs w:val="20"/>
                <w:color w:val="auto"/>
              </w:rPr>
            </w:pPr>
            <w:r>
              <w:rPr>
                <w:rFonts w:ascii="Arial" w:cs="Arial" w:eastAsia="Arial" w:hAnsi="Arial"/>
                <w:sz w:val="15"/>
                <w:szCs w:val="15"/>
                <w:color w:val="auto"/>
              </w:rPr>
              <w:t>$415,028 at December 31, 2017)</w:t>
            </w:r>
          </w:p>
        </w:tc>
        <w:tc>
          <w:tcPr>
            <w:tcW w:w="8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500,647</w:t>
            </w:r>
          </w:p>
        </w:tc>
        <w:tc>
          <w:tcPr>
            <w:tcW w:w="4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415,028</w:t>
            </w:r>
          </w:p>
        </w:tc>
        <w:tc>
          <w:tcPr>
            <w:tcW w:w="120" w:type="dxa"/>
            <w:vAlign w:val="bottom"/>
            <w:tcBorders>
              <w:bottom w:val="single" w:sz="8" w:color="CFF0FC"/>
            </w:tcBorders>
          </w:tcPr>
          <w:p>
            <w:pPr>
              <w:spacing w:after="0"/>
              <w:rPr>
                <w:sz w:val="15"/>
                <w:szCs w:val="15"/>
                <w:color w:val="auto"/>
              </w:rPr>
            </w:pPr>
          </w:p>
        </w:tc>
      </w:tr>
      <w:tr>
        <w:trPr>
          <w:trHeight w:val="209"/>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840"/>
              <w:spacing w:after="0"/>
              <w:rPr>
                <w:sz w:val="20"/>
                <w:szCs w:val="20"/>
                <w:color w:val="auto"/>
              </w:rPr>
            </w:pPr>
            <w:r>
              <w:rPr>
                <w:rFonts w:ascii="Arial" w:cs="Arial" w:eastAsia="Arial" w:hAnsi="Arial"/>
                <w:sz w:val="15"/>
                <w:szCs w:val="15"/>
                <w:color w:val="auto"/>
              </w:rPr>
              <w:t>Total investment securities</w:t>
            </w:r>
          </w:p>
        </w:tc>
        <w:tc>
          <w:tcPr>
            <w:tcW w:w="8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13,073,881</w:t>
            </w:r>
          </w:p>
        </w:tc>
        <w:tc>
          <w:tcPr>
            <w:tcW w:w="4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14,664,525</w:t>
            </w:r>
          </w:p>
        </w:tc>
        <w:tc>
          <w:tcPr>
            <w:tcW w:w="120" w:type="dxa"/>
            <w:vAlign w:val="bottom"/>
            <w:shd w:val="clear" w:color="auto" w:fill="CFF0FC"/>
          </w:tcPr>
          <w:p>
            <w:pPr>
              <w:spacing w:after="0"/>
              <w:rPr>
                <w:sz w:val="18"/>
                <w:szCs w:val="18"/>
                <w:color w:val="auto"/>
              </w:rPr>
            </w:pPr>
          </w:p>
        </w:tc>
      </w:tr>
      <w:tr>
        <w:trPr>
          <w:trHeight w:val="209"/>
        </w:trPr>
        <w:tc>
          <w:tcPr>
            <w:tcW w:w="160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5"/>
                <w:szCs w:val="15"/>
                <w:color w:val="auto"/>
              </w:rPr>
              <w:t>Loans and leases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86,942,468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88,242,886</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Unearned discount</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(261,983)</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(253,903)</w:t>
            </w:r>
          </w:p>
        </w:tc>
      </w:tr>
      <w:tr>
        <w:trPr>
          <w:trHeight w:val="209"/>
        </w:trPr>
        <w:tc>
          <w:tcPr>
            <w:tcW w:w="1600" w:type="dxa"/>
            <w:vAlign w:val="bottom"/>
          </w:tcPr>
          <w:p>
            <w:pPr>
              <w:spacing w:after="0"/>
              <w:rPr>
                <w:sz w:val="18"/>
                <w:szCs w:val="18"/>
                <w:color w:val="auto"/>
              </w:rPr>
            </w:pPr>
          </w:p>
        </w:tc>
        <w:tc>
          <w:tcPr>
            <w:tcW w:w="6140" w:type="dxa"/>
            <w:vAlign w:val="bottom"/>
          </w:tcPr>
          <w:p>
            <w:pPr>
              <w:ind w:left="720"/>
              <w:spacing w:after="0"/>
              <w:rPr>
                <w:sz w:val="20"/>
                <w:szCs w:val="20"/>
                <w:color w:val="auto"/>
              </w:rPr>
            </w:pPr>
            <w:r>
              <w:rPr>
                <w:rFonts w:ascii="Arial" w:cs="Arial" w:eastAsia="Arial" w:hAnsi="Arial"/>
                <w:sz w:val="15"/>
                <w:szCs w:val="15"/>
                <w:color w:val="auto"/>
              </w:rPr>
              <w:t>Loans and leases, net of unearned discount</w:t>
            </w: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86,680,485</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87,988,983</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Allowance for credit losses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(1,019,488)</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(1,017,198)</w:t>
            </w:r>
          </w:p>
        </w:tc>
      </w:tr>
      <w:tr>
        <w:trPr>
          <w:trHeight w:val="209"/>
        </w:trPr>
        <w:tc>
          <w:tcPr>
            <w:tcW w:w="1600" w:type="dxa"/>
            <w:vAlign w:val="bottom"/>
            <w:tcBorders>
              <w:bottom w:val="single" w:sz="8" w:color="CFF0FC"/>
            </w:tcBorders>
          </w:tcPr>
          <w:p>
            <w:pPr>
              <w:spacing w:after="0"/>
              <w:rPr>
                <w:sz w:val="18"/>
                <w:szCs w:val="18"/>
                <w:color w:val="auto"/>
              </w:rPr>
            </w:pPr>
          </w:p>
        </w:tc>
        <w:tc>
          <w:tcPr>
            <w:tcW w:w="6140" w:type="dxa"/>
            <w:vAlign w:val="bottom"/>
            <w:tcBorders>
              <w:bottom w:val="single" w:sz="8" w:color="CFF0FC"/>
            </w:tcBorders>
          </w:tcPr>
          <w:p>
            <w:pPr>
              <w:ind w:left="720"/>
              <w:spacing w:after="0"/>
              <w:rPr>
                <w:sz w:val="20"/>
                <w:szCs w:val="20"/>
                <w:color w:val="auto"/>
              </w:rPr>
            </w:pPr>
            <w:r>
              <w:rPr>
                <w:rFonts w:ascii="Arial" w:cs="Arial" w:eastAsia="Arial" w:hAnsi="Arial"/>
                <w:sz w:val="15"/>
                <w:szCs w:val="15"/>
                <w:color w:val="auto"/>
              </w:rPr>
              <w:t>Loans and leases, net</w:t>
            </w:r>
          </w:p>
        </w:tc>
        <w:tc>
          <w:tcPr>
            <w:tcW w:w="8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85,660,997</w:t>
            </w:r>
          </w:p>
        </w:tc>
        <w:tc>
          <w:tcPr>
            <w:tcW w:w="4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86,971,785</w:t>
            </w:r>
          </w:p>
        </w:tc>
        <w:tc>
          <w:tcPr>
            <w:tcW w:w="120" w:type="dxa"/>
            <w:vAlign w:val="bottom"/>
            <w:tcBorders>
              <w:bottom w:val="single" w:sz="8" w:color="CFF0FC"/>
            </w:tcBorders>
          </w:tcPr>
          <w:p>
            <w:pPr>
              <w:spacing w:after="0"/>
              <w:rPr>
                <w:sz w:val="18"/>
                <w:szCs w:val="18"/>
                <w:color w:val="auto"/>
              </w:rPr>
            </w:pPr>
          </w:p>
        </w:tc>
      </w:tr>
      <w:tr>
        <w:trPr>
          <w:trHeight w:val="209"/>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Premises and equipment</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634,424</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646,451</w:t>
            </w:r>
          </w:p>
        </w:tc>
        <w:tc>
          <w:tcPr>
            <w:tcW w:w="120" w:type="dxa"/>
            <w:vAlign w:val="bottom"/>
            <w:shd w:val="clear" w:color="auto" w:fill="CFF0FC"/>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5"/>
                <w:szCs w:val="15"/>
                <w:color w:val="auto"/>
              </w:rPr>
              <w:t>Goodwill</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4,593,112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4,593,112</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Core deposit and other intangible assets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52,426</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71,589</w:t>
            </w:r>
          </w:p>
        </w:tc>
        <w:tc>
          <w:tcPr>
            <w:tcW w:w="120" w:type="dxa"/>
            <w:vAlign w:val="bottom"/>
            <w:shd w:val="clear" w:color="auto" w:fill="CFF0FC"/>
          </w:tcPr>
          <w:p>
            <w:pPr>
              <w:spacing w:after="0"/>
              <w:rPr>
                <w:sz w:val="18"/>
                <w:szCs w:val="18"/>
                <w:color w:val="auto"/>
              </w:rPr>
            </w:pPr>
          </w:p>
        </w:tc>
      </w:tr>
      <w:tr>
        <w:trPr>
          <w:trHeight w:val="216"/>
        </w:trPr>
        <w:tc>
          <w:tcPr>
            <w:tcW w:w="1600" w:type="dxa"/>
            <w:vAlign w:val="bottom"/>
            <w:tcBorders>
              <w:bottom w:val="single" w:sz="8" w:color="CFF0FC"/>
            </w:tcBorders>
          </w:tcPr>
          <w:p>
            <w:pPr>
              <w:spacing w:after="0"/>
              <w:rPr>
                <w:sz w:val="18"/>
                <w:szCs w:val="18"/>
                <w:color w:val="auto"/>
              </w:rPr>
            </w:pPr>
          </w:p>
        </w:tc>
        <w:tc>
          <w:tcPr>
            <w:tcW w:w="614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Accrued interest and other assets</w:t>
            </w:r>
          </w:p>
        </w:tc>
        <w:tc>
          <w:tcPr>
            <w:tcW w:w="8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4,852,402</w:t>
            </w:r>
          </w:p>
        </w:tc>
        <w:tc>
          <w:tcPr>
            <w:tcW w:w="4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5,013,325</w:t>
            </w:r>
          </w:p>
        </w:tc>
        <w:tc>
          <w:tcPr>
            <w:tcW w:w="120" w:type="dxa"/>
            <w:vAlign w:val="bottom"/>
            <w:tcBorders>
              <w:bottom w:val="single" w:sz="8" w:color="CFF0FC"/>
            </w:tcBorders>
          </w:tcPr>
          <w:p>
            <w:pPr>
              <w:spacing w:after="0"/>
              <w:rPr>
                <w:sz w:val="18"/>
                <w:szCs w:val="18"/>
                <w:color w:val="auto"/>
              </w:rPr>
            </w:pPr>
          </w:p>
        </w:tc>
      </w:tr>
      <w:tr>
        <w:trPr>
          <w:trHeight w:val="209"/>
        </w:trPr>
        <w:tc>
          <w:tcPr>
            <w:tcW w:w="1600" w:type="dxa"/>
            <w:vAlign w:val="bottom"/>
            <w:shd w:val="clear" w:color="auto" w:fill="CFF0FC"/>
          </w:tcPr>
          <w:p>
            <w:pPr>
              <w:spacing w:after="0"/>
              <w:rPr>
                <w:sz w:val="18"/>
                <w:szCs w:val="18"/>
                <w:color w:val="auto"/>
              </w:rPr>
            </w:pPr>
          </w:p>
        </w:tc>
        <w:tc>
          <w:tcPr>
            <w:tcW w:w="6140" w:type="dxa"/>
            <w:vAlign w:val="bottom"/>
            <w:shd w:val="clear" w:color="auto" w:fill="CFF0FC"/>
          </w:tcPr>
          <w:p>
            <w:pPr>
              <w:ind w:left="840"/>
              <w:spacing w:after="0"/>
              <w:rPr>
                <w:sz w:val="20"/>
                <w:szCs w:val="20"/>
                <w:color w:val="auto"/>
              </w:rPr>
            </w:pPr>
            <w:r>
              <w:rPr>
                <w:rFonts w:ascii="Arial" w:cs="Arial" w:eastAsia="Arial" w:hAnsi="Arial"/>
                <w:sz w:val="15"/>
                <w:szCs w:val="15"/>
                <w:color w:val="auto"/>
              </w:rPr>
              <w:t>Total assets</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116,827,637</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118,593,487</w:t>
            </w:r>
          </w:p>
        </w:tc>
        <w:tc>
          <w:tcPr>
            <w:tcW w:w="120" w:type="dxa"/>
            <w:vAlign w:val="bottom"/>
            <w:shd w:val="clear" w:color="auto" w:fill="CFF0FC"/>
          </w:tcPr>
          <w:p>
            <w:pPr>
              <w:spacing w:after="0"/>
              <w:rPr>
                <w:sz w:val="18"/>
                <w:szCs w:val="18"/>
                <w:color w:val="auto"/>
              </w:rPr>
            </w:pPr>
          </w:p>
        </w:tc>
      </w:tr>
      <w:tr>
        <w:trPr>
          <w:trHeight w:val="20"/>
        </w:trPr>
        <w:tc>
          <w:tcPr>
            <w:tcW w:w="1600" w:type="dxa"/>
            <w:vAlign w:val="bottom"/>
            <w:tcBorders>
              <w:top w:val="single" w:sz="8" w:color="CFF0FC"/>
            </w:tcBorders>
          </w:tcPr>
          <w:p>
            <w:pPr>
              <w:spacing w:after="0" w:line="20" w:lineRule="exact"/>
              <w:rPr>
                <w:sz w:val="1"/>
                <w:szCs w:val="1"/>
                <w:color w:val="auto"/>
              </w:rPr>
            </w:pPr>
          </w:p>
        </w:tc>
        <w:tc>
          <w:tcPr>
            <w:tcW w:w="6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1600" w:type="dxa"/>
            <w:vAlign w:val="bottom"/>
            <w:shd w:val="clear" w:color="auto" w:fill="CFF0FC"/>
          </w:tcPr>
          <w:p>
            <w:pPr>
              <w:spacing w:after="0"/>
              <w:rPr>
                <w:sz w:val="20"/>
                <w:szCs w:val="20"/>
                <w:color w:val="auto"/>
              </w:rPr>
            </w:pPr>
            <w:r>
              <w:rPr>
                <w:rFonts w:ascii="Arial" w:cs="Arial" w:eastAsia="Arial" w:hAnsi="Arial"/>
                <w:sz w:val="15"/>
                <w:szCs w:val="15"/>
                <w:color w:val="auto"/>
              </w:rPr>
              <w:t>Liabilities</w:t>
            </w: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Noninterest-bearing deposits</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31,773,560</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8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33,975,180</w:t>
            </w:r>
          </w:p>
        </w:tc>
        <w:tc>
          <w:tcPr>
            <w:tcW w:w="120" w:type="dxa"/>
            <w:vAlign w:val="bottom"/>
            <w:shd w:val="clear" w:color="auto" w:fill="CFF0FC"/>
          </w:tcPr>
          <w:p>
            <w:pPr>
              <w:spacing w:after="0"/>
              <w:rPr>
                <w:sz w:val="15"/>
                <w:szCs w:val="15"/>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360"/>
              <w:spacing w:after="0"/>
              <w:rPr>
                <w:sz w:val="20"/>
                <w:szCs w:val="20"/>
                <w:color w:val="auto"/>
              </w:rPr>
            </w:pPr>
            <w:r>
              <w:rPr>
                <w:rFonts w:ascii="Arial" w:cs="Arial" w:eastAsia="Arial" w:hAnsi="Arial"/>
                <w:sz w:val="15"/>
                <w:szCs w:val="15"/>
                <w:color w:val="auto"/>
              </w:rPr>
              <w:t>Savings and interest-checking deposits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51,108,962</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51,698,008</w:t>
            </w:r>
          </w:p>
        </w:tc>
        <w:tc>
          <w:tcPr>
            <w:tcW w:w="120" w:type="dxa"/>
            <w:vAlign w:val="bottom"/>
          </w:tcPr>
          <w:p>
            <w:pPr>
              <w:spacing w:after="0"/>
              <w:rPr>
                <w:sz w:val="15"/>
                <w:szCs w:val="15"/>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Time deposits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5,810,587</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6,580,962</w:t>
            </w:r>
          </w:p>
        </w:tc>
        <w:tc>
          <w:tcPr>
            <w:tcW w:w="120" w:type="dxa"/>
            <w:vAlign w:val="bottom"/>
            <w:shd w:val="clear" w:color="auto" w:fill="CFF0FC"/>
          </w:tcPr>
          <w:p>
            <w:pPr>
              <w:spacing w:after="0"/>
              <w:rPr>
                <w:sz w:val="15"/>
                <w:szCs w:val="15"/>
                <w:color w:val="auto"/>
              </w:rPr>
            </w:pPr>
          </w:p>
        </w:tc>
      </w:tr>
      <w:tr>
        <w:trPr>
          <w:trHeight w:val="175"/>
        </w:trPr>
        <w:tc>
          <w:tcPr>
            <w:tcW w:w="1600" w:type="dxa"/>
            <w:vAlign w:val="bottom"/>
            <w:tcBorders>
              <w:bottom w:val="single" w:sz="8" w:color="CFF0FC"/>
            </w:tcBorders>
          </w:tcPr>
          <w:p>
            <w:pPr>
              <w:spacing w:after="0"/>
              <w:rPr>
                <w:sz w:val="15"/>
                <w:szCs w:val="15"/>
                <w:color w:val="auto"/>
              </w:rPr>
            </w:pPr>
          </w:p>
        </w:tc>
        <w:tc>
          <w:tcPr>
            <w:tcW w:w="614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Deposits at Cayman Islands office</w:t>
            </w:r>
          </w:p>
        </w:tc>
        <w:tc>
          <w:tcPr>
            <w:tcW w:w="8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447,287</w:t>
            </w:r>
          </w:p>
        </w:tc>
        <w:tc>
          <w:tcPr>
            <w:tcW w:w="4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177,996</w:t>
            </w:r>
          </w:p>
        </w:tc>
        <w:tc>
          <w:tcPr>
            <w:tcW w:w="120" w:type="dxa"/>
            <w:vAlign w:val="bottom"/>
            <w:tcBorders>
              <w:bottom w:val="single" w:sz="8" w:color="CFF0FC"/>
            </w:tcBorders>
          </w:tcPr>
          <w:p>
            <w:pPr>
              <w:spacing w:after="0"/>
              <w:rPr>
                <w:sz w:val="15"/>
                <w:szCs w:val="15"/>
                <w:color w:val="auto"/>
              </w:rPr>
            </w:pPr>
          </w:p>
        </w:tc>
      </w:tr>
      <w:tr>
        <w:trPr>
          <w:trHeight w:val="169"/>
        </w:trPr>
        <w:tc>
          <w:tcPr>
            <w:tcW w:w="1600" w:type="dxa"/>
            <w:vAlign w:val="bottom"/>
            <w:shd w:val="clear" w:color="auto" w:fill="CFF0FC"/>
          </w:tcPr>
          <w:p>
            <w:pPr>
              <w:spacing w:after="0"/>
              <w:rPr>
                <w:sz w:val="14"/>
                <w:szCs w:val="14"/>
                <w:color w:val="auto"/>
              </w:rPr>
            </w:pPr>
          </w:p>
        </w:tc>
        <w:tc>
          <w:tcPr>
            <w:tcW w:w="6140" w:type="dxa"/>
            <w:vAlign w:val="bottom"/>
            <w:shd w:val="clear" w:color="auto" w:fill="CFF0FC"/>
          </w:tcPr>
          <w:p>
            <w:pPr>
              <w:ind w:left="840"/>
              <w:spacing w:after="0" w:line="169" w:lineRule="exact"/>
              <w:rPr>
                <w:sz w:val="20"/>
                <w:szCs w:val="20"/>
                <w:color w:val="auto"/>
              </w:rPr>
            </w:pPr>
            <w:r>
              <w:rPr>
                <w:rFonts w:ascii="Arial" w:cs="Arial" w:eastAsia="Arial" w:hAnsi="Arial"/>
                <w:sz w:val="15"/>
                <w:szCs w:val="15"/>
                <w:color w:val="auto"/>
              </w:rPr>
              <w:t>Total deposits</w:t>
            </w:r>
          </w:p>
        </w:tc>
        <w:tc>
          <w:tcPr>
            <w:tcW w:w="8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89,140,396</w:t>
            </w:r>
          </w:p>
        </w:tc>
        <w:tc>
          <w:tcPr>
            <w:tcW w:w="4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92,432,146</w:t>
            </w:r>
          </w:p>
        </w:tc>
        <w:tc>
          <w:tcPr>
            <w:tcW w:w="120" w:type="dxa"/>
            <w:vAlign w:val="bottom"/>
            <w:shd w:val="clear" w:color="auto" w:fill="CFF0FC"/>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6140" w:type="dxa"/>
            <w:vAlign w:val="bottom"/>
          </w:tcPr>
          <w:p>
            <w:pPr>
              <w:ind w:left="360"/>
              <w:spacing w:after="0" w:line="169" w:lineRule="exact"/>
              <w:rPr>
                <w:sz w:val="20"/>
                <w:szCs w:val="20"/>
                <w:color w:val="auto"/>
              </w:rPr>
            </w:pPr>
            <w:r>
              <w:rPr>
                <w:rFonts w:ascii="Arial" w:cs="Arial" w:eastAsia="Arial" w:hAnsi="Arial"/>
                <w:sz w:val="15"/>
                <w:szCs w:val="15"/>
                <w:color w:val="auto"/>
              </w:rPr>
              <w:t>Short-term borrowings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1,310,110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175,099</w:t>
            </w:r>
          </w:p>
        </w:tc>
        <w:tc>
          <w:tcPr>
            <w:tcW w:w="120" w:type="dxa"/>
            <w:vAlign w:val="bottom"/>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Accrued interest and other liabilities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1,800,778</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1,593,993</w:t>
            </w:r>
          </w:p>
        </w:tc>
        <w:tc>
          <w:tcPr>
            <w:tcW w:w="120" w:type="dxa"/>
            <w:vAlign w:val="bottom"/>
            <w:shd w:val="clear" w:color="auto" w:fill="CFF0FC"/>
          </w:tcPr>
          <w:p>
            <w:pPr>
              <w:spacing w:after="0"/>
              <w:rPr>
                <w:sz w:val="15"/>
                <w:szCs w:val="15"/>
                <w:color w:val="auto"/>
              </w:rPr>
            </w:pPr>
          </w:p>
        </w:tc>
      </w:tr>
      <w:tr>
        <w:trPr>
          <w:trHeight w:val="175"/>
        </w:trPr>
        <w:tc>
          <w:tcPr>
            <w:tcW w:w="1600" w:type="dxa"/>
            <w:vAlign w:val="bottom"/>
            <w:tcBorders>
              <w:bottom w:val="single" w:sz="8" w:color="CFF0FC"/>
            </w:tcBorders>
          </w:tcPr>
          <w:p>
            <w:pPr>
              <w:spacing w:after="0"/>
              <w:rPr>
                <w:sz w:val="15"/>
                <w:szCs w:val="15"/>
                <w:color w:val="auto"/>
              </w:rPr>
            </w:pPr>
          </w:p>
        </w:tc>
        <w:tc>
          <w:tcPr>
            <w:tcW w:w="614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Long-term borrowings</w:t>
            </w:r>
          </w:p>
        </w:tc>
        <w:tc>
          <w:tcPr>
            <w:tcW w:w="8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9,140,268</w:t>
            </w:r>
          </w:p>
        </w:tc>
        <w:tc>
          <w:tcPr>
            <w:tcW w:w="4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8,141,430</w:t>
            </w:r>
          </w:p>
        </w:tc>
        <w:tc>
          <w:tcPr>
            <w:tcW w:w="120" w:type="dxa"/>
            <w:vAlign w:val="bottom"/>
            <w:tcBorders>
              <w:bottom w:val="single" w:sz="8" w:color="CFF0FC"/>
            </w:tcBorders>
          </w:tcPr>
          <w:p>
            <w:pPr>
              <w:spacing w:after="0"/>
              <w:rPr>
                <w:sz w:val="15"/>
                <w:szCs w:val="15"/>
                <w:color w:val="auto"/>
              </w:rPr>
            </w:pPr>
          </w:p>
        </w:tc>
      </w:tr>
      <w:tr>
        <w:trPr>
          <w:trHeight w:val="169"/>
        </w:trPr>
        <w:tc>
          <w:tcPr>
            <w:tcW w:w="1600" w:type="dxa"/>
            <w:vAlign w:val="bottom"/>
            <w:shd w:val="clear" w:color="auto" w:fill="CFF0FC"/>
          </w:tcPr>
          <w:p>
            <w:pPr>
              <w:spacing w:after="0"/>
              <w:rPr>
                <w:sz w:val="14"/>
                <w:szCs w:val="14"/>
                <w:color w:val="auto"/>
              </w:rPr>
            </w:pPr>
          </w:p>
        </w:tc>
        <w:tc>
          <w:tcPr>
            <w:tcW w:w="6140" w:type="dxa"/>
            <w:vAlign w:val="bottom"/>
            <w:shd w:val="clear" w:color="auto" w:fill="CFF0FC"/>
          </w:tcPr>
          <w:p>
            <w:pPr>
              <w:ind w:left="840"/>
              <w:spacing w:after="0" w:line="169" w:lineRule="exact"/>
              <w:rPr>
                <w:sz w:val="20"/>
                <w:szCs w:val="20"/>
                <w:color w:val="auto"/>
              </w:rPr>
            </w:pPr>
            <w:r>
              <w:rPr>
                <w:rFonts w:ascii="Arial" w:cs="Arial" w:eastAsia="Arial" w:hAnsi="Arial"/>
                <w:sz w:val="15"/>
                <w:szCs w:val="15"/>
                <w:color w:val="auto"/>
              </w:rPr>
              <w:t>Total liabilities</w:t>
            </w:r>
          </w:p>
        </w:tc>
        <w:tc>
          <w:tcPr>
            <w:tcW w:w="8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101,391,552</w:t>
            </w:r>
          </w:p>
        </w:tc>
        <w:tc>
          <w:tcPr>
            <w:tcW w:w="4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102,342,668</w:t>
            </w:r>
          </w:p>
        </w:tc>
        <w:tc>
          <w:tcPr>
            <w:tcW w:w="120" w:type="dxa"/>
            <w:vAlign w:val="bottom"/>
            <w:shd w:val="clear" w:color="auto" w:fill="CFF0FC"/>
          </w:tcPr>
          <w:p>
            <w:pPr>
              <w:spacing w:after="0"/>
              <w:rPr>
                <w:sz w:val="14"/>
                <w:szCs w:val="14"/>
                <w:color w:val="auto"/>
              </w:rPr>
            </w:pPr>
          </w:p>
        </w:tc>
      </w:tr>
      <w:tr>
        <w:trPr>
          <w:trHeight w:val="156"/>
        </w:trPr>
        <w:tc>
          <w:tcPr>
            <w:tcW w:w="1600" w:type="dxa"/>
            <w:vAlign w:val="bottom"/>
          </w:tcPr>
          <w:p>
            <w:pPr>
              <w:spacing w:after="0" w:line="156" w:lineRule="exact"/>
              <w:rPr>
                <w:sz w:val="20"/>
                <w:szCs w:val="20"/>
                <w:color w:val="auto"/>
              </w:rPr>
            </w:pPr>
            <w:r>
              <w:rPr>
                <w:rFonts w:ascii="Arial" w:cs="Arial" w:eastAsia="Arial" w:hAnsi="Arial"/>
                <w:sz w:val="15"/>
                <w:szCs w:val="15"/>
                <w:color w:val="auto"/>
              </w:rPr>
              <w:t>Shareholders' equity</w:t>
            </w:r>
          </w:p>
        </w:tc>
        <w:tc>
          <w:tcPr>
            <w:tcW w:w="6140" w:type="dxa"/>
            <w:vAlign w:val="bottom"/>
          </w:tcPr>
          <w:p>
            <w:pPr>
              <w:ind w:left="360"/>
              <w:spacing w:after="0" w:line="156" w:lineRule="exact"/>
              <w:rPr>
                <w:sz w:val="20"/>
                <w:szCs w:val="20"/>
                <w:color w:val="auto"/>
              </w:rPr>
            </w:pPr>
            <w:r>
              <w:rPr>
                <w:rFonts w:ascii="Arial" w:cs="Arial" w:eastAsia="Arial" w:hAnsi="Arial"/>
                <w:sz w:val="15"/>
                <w:szCs w:val="15"/>
                <w:color w:val="auto"/>
              </w:rPr>
              <w:t>Preferred stock, $1.00 par, 1,000,000 shares authorized;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46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460"/>
              <w:spacing w:after="0" w:line="162" w:lineRule="exact"/>
              <w:rPr>
                <w:sz w:val="20"/>
                <w:szCs w:val="20"/>
                <w:color w:val="auto"/>
              </w:rPr>
            </w:pPr>
            <w:r>
              <w:rPr>
                <w:rFonts w:ascii="Arial" w:cs="Arial" w:eastAsia="Arial" w:hAnsi="Arial"/>
                <w:sz w:val="15"/>
                <w:szCs w:val="15"/>
                <w:color w:val="auto"/>
              </w:rPr>
              <w:t>share: 731,500 shares at September 30, 2018 and December 31,</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460"/>
              <w:spacing w:after="0" w:line="162" w:lineRule="exact"/>
              <w:rPr>
                <w:sz w:val="20"/>
                <w:szCs w:val="20"/>
                <w:color w:val="auto"/>
              </w:rPr>
            </w:pPr>
            <w:r>
              <w:rPr>
                <w:rFonts w:ascii="Arial" w:cs="Arial" w:eastAsia="Arial" w:hAnsi="Arial"/>
                <w:sz w:val="15"/>
                <w:szCs w:val="15"/>
                <w:color w:val="auto"/>
              </w:rPr>
              <w:t>2017; Liquidation preference of $10,000 per share: 50,000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460"/>
              <w:spacing w:after="0"/>
              <w:rPr>
                <w:sz w:val="20"/>
                <w:szCs w:val="20"/>
                <w:color w:val="auto"/>
              </w:rPr>
            </w:pPr>
            <w:r>
              <w:rPr>
                <w:rFonts w:ascii="Arial" w:cs="Arial" w:eastAsia="Arial" w:hAnsi="Arial"/>
                <w:sz w:val="15"/>
                <w:szCs w:val="15"/>
                <w:color w:val="auto"/>
              </w:rPr>
              <w:t>shares at September 30, 2018 and December 31, 2017</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1,231,500</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1,231,500</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614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614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159,765,948 shares issued at September 30, 2018;</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159,817,518 shares issued at December 31, 2017</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79,883</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79,909</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6140" w:type="dxa"/>
            <w:vAlign w:val="bottom"/>
          </w:tcPr>
          <w:p>
            <w:pPr>
              <w:ind w:left="360"/>
              <w:spacing w:after="0" w:line="162" w:lineRule="exact"/>
              <w:rPr>
                <w:sz w:val="20"/>
                <w:szCs w:val="20"/>
                <w:color w:val="auto"/>
              </w:rPr>
            </w:pPr>
            <w:r>
              <w:rPr>
                <w:rFonts w:ascii="Arial" w:cs="Arial" w:eastAsia="Arial" w:hAnsi="Arial"/>
                <w:sz w:val="15"/>
                <w:szCs w:val="15"/>
                <w:color w:val="auto"/>
              </w:rPr>
              <w:t>Common stock issuable, 24,595 shares at September 30, 2018;</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460"/>
              <w:spacing w:after="0"/>
              <w:rPr>
                <w:sz w:val="20"/>
                <w:szCs w:val="20"/>
                <w:color w:val="auto"/>
              </w:rPr>
            </w:pPr>
            <w:r>
              <w:rPr>
                <w:rFonts w:ascii="Arial" w:cs="Arial" w:eastAsia="Arial" w:hAnsi="Arial"/>
                <w:sz w:val="15"/>
                <w:szCs w:val="15"/>
                <w:color w:val="auto"/>
              </w:rPr>
              <w:t>27,138 shares at December 31, 2017</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1,716</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1,847</w:t>
            </w:r>
          </w:p>
        </w:tc>
        <w:tc>
          <w:tcPr>
            <w:tcW w:w="120" w:type="dxa"/>
            <w:vAlign w:val="bottom"/>
          </w:tcPr>
          <w:p>
            <w:pPr>
              <w:spacing w:after="0"/>
              <w:rPr>
                <w:sz w:val="15"/>
                <w:szCs w:val="15"/>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Additional paid-in capital</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6,585,447</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6,590,855</w:t>
            </w:r>
          </w:p>
        </w:tc>
        <w:tc>
          <w:tcPr>
            <w:tcW w:w="120" w:type="dxa"/>
            <w:vAlign w:val="bottom"/>
            <w:shd w:val="clear" w:color="auto" w:fill="CFF0FC"/>
          </w:tcPr>
          <w:p>
            <w:pPr>
              <w:spacing w:after="0"/>
              <w:rPr>
                <w:sz w:val="15"/>
                <w:szCs w:val="15"/>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360"/>
              <w:spacing w:after="0"/>
              <w:rPr>
                <w:sz w:val="20"/>
                <w:szCs w:val="20"/>
                <w:color w:val="auto"/>
              </w:rPr>
            </w:pPr>
            <w:r>
              <w:rPr>
                <w:rFonts w:ascii="Arial" w:cs="Arial" w:eastAsia="Arial" w:hAnsi="Arial"/>
                <w:sz w:val="15"/>
                <w:szCs w:val="15"/>
                <w:color w:val="auto"/>
              </w:rPr>
              <w:t>Retained earnings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11,128,343</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10,164,804</w:t>
            </w:r>
          </w:p>
        </w:tc>
        <w:tc>
          <w:tcPr>
            <w:tcW w:w="120" w:type="dxa"/>
            <w:vAlign w:val="bottom"/>
          </w:tcPr>
          <w:p>
            <w:pPr>
              <w:spacing w:after="0"/>
              <w:rPr>
                <w:sz w:val="15"/>
                <w:szCs w:val="15"/>
                <w:color w:val="auto"/>
              </w:rPr>
            </w:pPr>
          </w:p>
        </w:tc>
      </w:tr>
      <w:tr>
        <w:trPr>
          <w:trHeight w:val="175"/>
        </w:trPr>
        <w:tc>
          <w:tcPr>
            <w:tcW w:w="1600" w:type="dxa"/>
            <w:vAlign w:val="bottom"/>
            <w:shd w:val="clear" w:color="auto" w:fill="CFF0FC"/>
          </w:tcPr>
          <w:p>
            <w:pPr>
              <w:spacing w:after="0"/>
              <w:rPr>
                <w:sz w:val="15"/>
                <w:szCs w:val="15"/>
                <w:color w:val="auto"/>
              </w:rPr>
            </w:pPr>
          </w:p>
        </w:tc>
        <w:tc>
          <w:tcPr>
            <w:tcW w:w="6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Accumulated other comprehensive income (loss), net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(542,399)</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(363,814)</w:t>
            </w:r>
          </w:p>
        </w:tc>
      </w:tr>
      <w:tr>
        <w:trPr>
          <w:trHeight w:val="162"/>
        </w:trPr>
        <w:tc>
          <w:tcPr>
            <w:tcW w:w="1600" w:type="dxa"/>
            <w:vAlign w:val="bottom"/>
          </w:tcPr>
          <w:p>
            <w:pPr>
              <w:spacing w:after="0"/>
              <w:rPr>
                <w:sz w:val="14"/>
                <w:szCs w:val="14"/>
                <w:color w:val="auto"/>
              </w:rPr>
            </w:pPr>
          </w:p>
        </w:tc>
        <w:tc>
          <w:tcPr>
            <w:tcW w:w="6140" w:type="dxa"/>
            <w:vAlign w:val="bottom"/>
          </w:tcPr>
          <w:p>
            <w:pPr>
              <w:ind w:left="360"/>
              <w:spacing w:after="0" w:line="162" w:lineRule="exact"/>
              <w:rPr>
                <w:sz w:val="20"/>
                <w:szCs w:val="20"/>
                <w:color w:val="auto"/>
              </w:rPr>
            </w:pPr>
            <w:r>
              <w:rPr>
                <w:rFonts w:ascii="Arial" w:cs="Arial" w:eastAsia="Arial" w:hAnsi="Arial"/>
                <w:sz w:val="15"/>
                <w:szCs w:val="15"/>
                <w:color w:val="auto"/>
              </w:rPr>
              <w:t>Treasury stock — common, at cost — 18,312,024 shares at September 30, 2018;</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6140" w:type="dxa"/>
            <w:vAlign w:val="bottom"/>
          </w:tcPr>
          <w:p>
            <w:pPr>
              <w:ind w:left="500"/>
              <w:spacing w:after="0"/>
              <w:rPr>
                <w:sz w:val="20"/>
                <w:szCs w:val="20"/>
                <w:color w:val="auto"/>
              </w:rPr>
            </w:pPr>
            <w:r>
              <w:rPr>
                <w:rFonts w:ascii="Arial" w:cs="Arial" w:eastAsia="Arial" w:hAnsi="Arial"/>
                <w:sz w:val="15"/>
                <w:szCs w:val="15"/>
                <w:color w:val="auto"/>
              </w:rPr>
              <w:t>9,733,115 shares at December 31, 2017</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5"/>
                <w:szCs w:val="15"/>
                <w:color w:val="auto"/>
              </w:rPr>
              <w:t>(3,048,405)</w:t>
            </w:r>
          </w:p>
        </w:tc>
        <w:tc>
          <w:tcPr>
            <w:tcW w:w="20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(1,454,282)</w:t>
            </w:r>
          </w:p>
        </w:tc>
      </w:tr>
      <w:tr>
        <w:trPr>
          <w:trHeight w:val="169"/>
        </w:trPr>
        <w:tc>
          <w:tcPr>
            <w:tcW w:w="1600" w:type="dxa"/>
            <w:vAlign w:val="bottom"/>
            <w:tcBorders>
              <w:top w:val="single" w:sz="8" w:color="CFF0FC"/>
            </w:tcBorders>
            <w:shd w:val="clear" w:color="auto" w:fill="CFF0FC"/>
          </w:tcPr>
          <w:p>
            <w:pPr>
              <w:spacing w:after="0"/>
              <w:rPr>
                <w:sz w:val="14"/>
                <w:szCs w:val="14"/>
                <w:color w:val="auto"/>
              </w:rPr>
            </w:pPr>
          </w:p>
        </w:tc>
        <w:tc>
          <w:tcPr>
            <w:tcW w:w="6140" w:type="dxa"/>
            <w:vAlign w:val="bottom"/>
            <w:tcBorders>
              <w:top w:val="single" w:sz="8" w:color="CFF0FC"/>
            </w:tcBorders>
            <w:shd w:val="clear" w:color="auto" w:fill="CFF0FC"/>
          </w:tcPr>
          <w:p>
            <w:pPr>
              <w:ind w:left="840"/>
              <w:spacing w:after="0" w:line="169" w:lineRule="exact"/>
              <w:rPr>
                <w:sz w:val="20"/>
                <w:szCs w:val="20"/>
                <w:color w:val="auto"/>
              </w:rPr>
            </w:pPr>
            <w:r>
              <w:rPr>
                <w:rFonts w:ascii="Arial" w:cs="Arial" w:eastAsia="Arial" w:hAnsi="Arial"/>
                <w:sz w:val="15"/>
                <w:szCs w:val="15"/>
                <w:color w:val="auto"/>
              </w:rPr>
              <w:t>Total shareholders’ equity</w:t>
            </w:r>
          </w:p>
        </w:tc>
        <w:tc>
          <w:tcPr>
            <w:tcW w:w="8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15,436,085</w:t>
            </w:r>
          </w:p>
        </w:tc>
        <w:tc>
          <w:tcPr>
            <w:tcW w:w="40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16,250,819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6140" w:type="dxa"/>
            <w:vAlign w:val="bottom"/>
          </w:tcPr>
          <w:p>
            <w:pPr>
              <w:ind w:left="84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0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116,827,637</w:t>
            </w:r>
          </w:p>
        </w:tc>
        <w:tc>
          <w:tcPr>
            <w:tcW w:w="400" w:type="dxa"/>
            <w:vAlign w:val="bottom"/>
          </w:tcPr>
          <w:p>
            <w:pPr>
              <w:spacing w:after="0"/>
              <w:rPr>
                <w:sz w:val="14"/>
                <w:szCs w:val="14"/>
                <w:color w:val="auto"/>
              </w:rPr>
            </w:pPr>
          </w:p>
        </w:tc>
        <w:tc>
          <w:tcPr>
            <w:tcW w:w="200" w:type="dxa"/>
            <w:vAlign w:val="bottom"/>
          </w:tcPr>
          <w:p>
            <w:pPr>
              <w:jc w:val="right"/>
              <w:ind w:right="8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118,593,487</w:t>
            </w:r>
          </w:p>
        </w:tc>
        <w:tc>
          <w:tcPr>
            <w:tcW w:w="1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311"/>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520"/>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511"/>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4"/>
                <w:szCs w:val="14"/>
                <w:color w:val="auto"/>
              </w:rPr>
              <w:t>September 30</w:t>
            </w:r>
          </w:p>
        </w:tc>
        <w:tc>
          <w:tcPr>
            <w:tcW w:w="20" w:type="dxa"/>
            <w:vAlign w:val="bottom"/>
          </w:tcPr>
          <w:p>
            <w:pPr>
              <w:spacing w:after="0"/>
              <w:rPr>
                <w:sz w:val="14"/>
                <w:szCs w:val="14"/>
                <w:color w:val="auto"/>
              </w:rPr>
            </w:pPr>
          </w:p>
        </w:tc>
      </w:tr>
      <w:tr>
        <w:trPr>
          <w:trHeight w:val="161"/>
        </w:trPr>
        <w:tc>
          <w:tcPr>
            <w:tcW w:w="184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w w:val="94"/>
              </w:rPr>
              <w:t>In thousands, except per share</w:t>
            </w:r>
          </w:p>
        </w:tc>
        <w:tc>
          <w:tcPr>
            <w:tcW w:w="4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3"/>
                <w:szCs w:val="13"/>
                <w:color w:val="auto"/>
              </w:rPr>
            </w:pPr>
          </w:p>
        </w:tc>
        <w:tc>
          <w:tcPr>
            <w:tcW w:w="860" w:type="dxa"/>
            <w:vAlign w:val="bottom"/>
          </w:tcPr>
          <w:p>
            <w:pPr>
              <w:jc w:val="right"/>
              <w:ind w:right="211"/>
              <w:spacing w:after="0" w:line="153" w:lineRule="exact"/>
              <w:rPr>
                <w:sz w:val="20"/>
                <w:szCs w:val="20"/>
                <w:color w:val="auto"/>
              </w:rPr>
            </w:pPr>
            <w:r>
              <w:rPr>
                <w:rFonts w:ascii="Arial" w:cs="Arial" w:eastAsia="Arial" w:hAnsi="Arial"/>
                <w:sz w:val="14"/>
                <w:szCs w:val="14"/>
                <w:color w:val="auto"/>
              </w:rPr>
              <w:t>2017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3"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3"/>
                <w:szCs w:val="13"/>
                <w:color w:val="auto"/>
              </w:rPr>
            </w:pPr>
          </w:p>
        </w:tc>
        <w:tc>
          <w:tcPr>
            <w:tcW w:w="860" w:type="dxa"/>
            <w:vAlign w:val="bottom"/>
          </w:tcPr>
          <w:p>
            <w:pPr>
              <w:jc w:val="right"/>
              <w:ind w:right="211"/>
              <w:spacing w:after="0" w:line="153"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Loans and leases, including fees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1,060,832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953,662</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3,065,272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2,776,340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Fully taxable</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80,118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87,937</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244,989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Exempt from federal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Deposits at banks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14,970</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66,546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income</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1,167,375</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1,057,210</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3,378,430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3,093,656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600" w:type="dxa"/>
            <w:vAlign w:val="bottom"/>
          </w:tcPr>
          <w:p>
            <w:pPr>
              <w:ind w:left="80"/>
              <w:spacing w:after="0"/>
              <w:rPr>
                <w:sz w:val="20"/>
                <w:szCs w:val="20"/>
                <w:color w:val="auto"/>
              </w:rPr>
            </w:pPr>
            <w:r>
              <w:rPr>
                <w:rFonts w:ascii="Arial" w:cs="Arial" w:eastAsia="Arial" w:hAnsi="Arial"/>
                <w:sz w:val="18"/>
                <w:szCs w:val="18"/>
                <w:color w:val="auto"/>
              </w:rPr>
              <w:t>Savings and interest-checking deposits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56,156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145,421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Time deposits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13,992</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Deposits at Cayman Islands office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Short-term borrowings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Long-term borrowings</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66,049</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47,506</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178,048</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expense</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138,337</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100,076</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365,088</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i w:val="1"/>
                <w:iCs w:val="1"/>
                <w:color w:val="auto"/>
              </w:rPr>
              <w:t>Net interest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1,029,038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957,134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3,013,342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2,809,594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Provision for credit losses</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Net interest income after provision for credit losses</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1,013,038</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927,134</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2,919,342</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2,672,594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Mortgage banking revenues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96,737</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268,213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Service charges on deposit accounts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108,647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109,356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320,546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319,589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Trust income</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133,545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124,900</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402,561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Brokerage services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12,267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14,676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38,288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Trading account and foreign exchange gains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Loss on bank investment securities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(10,520)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revenues from operations</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113,769</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106,702</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340,351</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ind w:left="580"/>
              <w:spacing w:after="0"/>
              <w:rPr>
                <w:sz w:val="20"/>
                <w:szCs w:val="20"/>
                <w:color w:val="auto"/>
              </w:rPr>
            </w:pPr>
            <w:r>
              <w:rPr>
                <w:rFonts w:ascii="Arial" w:cs="Arial" w:eastAsia="Arial" w:hAnsi="Arial"/>
                <w:sz w:val="18"/>
                <w:szCs w:val="18"/>
                <w:color w:val="auto"/>
              </w:rPr>
              <w:t>Total other income</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459,429</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1,375,404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Salaries and employee benefits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431,371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398,605</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1,313,336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1,246,400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Equipment and net occupancy</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77,481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75,558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225,309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Outside data processing and software</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45,761</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148,819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FDIC assessments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18,849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23,969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58,689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Advertising and marketing</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17,403</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Printing, postage and supplies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26,881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Amortization of core deposit and other intangible assets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 costs of operations</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228,189</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633,903</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560,030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other expense</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775,979</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806,025</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2,485,900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2,344,512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Income before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696,353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580,538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1,808,846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1,695,172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170,262</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224,615</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436,985</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609,269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600" w:type="dxa"/>
            <w:vAlign w:val="bottom"/>
            <w:tcBorders>
              <w:bottom w:val="single" w:sz="8" w:color="CFF0FC"/>
            </w:tcBorders>
          </w:tcPr>
          <w:p>
            <w:pPr>
              <w:ind w:left="80"/>
              <w:spacing w:after="0"/>
              <w:rPr>
                <w:sz w:val="20"/>
                <w:szCs w:val="20"/>
                <w:color w:val="auto"/>
              </w:rPr>
            </w:pPr>
            <w:r>
              <w:rPr>
                <w:rFonts w:ascii="Arial" w:cs="Arial" w:eastAsia="Arial" w:hAnsi="Arial"/>
                <w:sz w:val="18"/>
                <w:szCs w:val="18"/>
                <w:i w:val="1"/>
                <w:iCs w:val="1"/>
                <w:color w:val="auto"/>
              </w:rPr>
              <w:t>Net income</w:t>
            </w:r>
          </w:p>
        </w:tc>
        <w:tc>
          <w:tcPr>
            <w:tcW w:w="4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526,091</w:t>
            </w:r>
          </w:p>
        </w:tc>
        <w:tc>
          <w:tcPr>
            <w:tcW w:w="2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355,923</w:t>
            </w:r>
          </w:p>
        </w:tc>
        <w:tc>
          <w:tcPr>
            <w:tcW w:w="4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1,371,861</w:t>
            </w:r>
          </w:p>
        </w:tc>
        <w:tc>
          <w:tcPr>
            <w:tcW w:w="2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1,085,903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Net income available to common shareholders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505,363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335,801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1,310,697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505,365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335,804</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1,310,703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1,025,023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b w:val="1"/>
                <w:bCs w:val="1"/>
                <w:color w:val="auto"/>
              </w:rPr>
              <w:t>Net income per common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 dividends per common share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142,822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151,347</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145,424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142,976</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151,691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145,605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62"/>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ind w:left="3720"/>
              <w:spacing w:after="0"/>
              <w:rPr>
                <w:sz w:val="20"/>
                <w:szCs w:val="20"/>
                <w:color w:val="auto"/>
              </w:rPr>
            </w:pPr>
            <w:r>
              <w:rPr>
                <w:rFonts w:ascii="Arial" w:cs="Arial" w:eastAsia="Arial" w:hAnsi="Arial"/>
                <w:sz w:val="18"/>
                <w:szCs w:val="18"/>
                <w:color w:val="auto"/>
              </w:rPr>
              <w:t>- 4 -</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gridSpan w:val="5"/>
          </w:tcPr>
          <w:p>
            <w:pPr>
              <w:jc w:val="right"/>
              <w:ind w:right="260"/>
              <w:spacing w:after="0"/>
              <w:rPr>
                <w:sz w:val="20"/>
                <w:szCs w:val="20"/>
                <w:color w:val="auto"/>
              </w:rPr>
            </w:pPr>
            <w:r>
              <w:rPr>
                <w:rFonts w:ascii="Arial" w:cs="Arial" w:eastAsia="Arial" w:hAnsi="Arial"/>
                <w:sz w:val="14"/>
                <w:szCs w:val="14"/>
                <w:color w:val="auto"/>
                <w:w w:val="92"/>
              </w:rPr>
              <w:t>Three Months Ended September 30</w:t>
            </w:r>
          </w:p>
        </w:tc>
        <w:tc>
          <w:tcPr>
            <w:tcW w:w="140" w:type="dxa"/>
            <w:vAlign w:val="bottom"/>
          </w:tcPr>
          <w:p>
            <w:pPr>
              <w:spacing w:after="0"/>
              <w:rPr>
                <w:sz w:val="14"/>
                <w:szCs w:val="14"/>
                <w:color w:val="auto"/>
              </w:rPr>
            </w:pPr>
          </w:p>
        </w:tc>
        <w:tc>
          <w:tcPr>
            <w:tcW w:w="2300" w:type="dxa"/>
            <w:vAlign w:val="bottom"/>
            <w:gridSpan w:val="4"/>
          </w:tcPr>
          <w:p>
            <w:pPr>
              <w:jc w:val="right"/>
              <w:ind w:right="220"/>
              <w:spacing w:after="0"/>
              <w:rPr>
                <w:sz w:val="20"/>
                <w:szCs w:val="20"/>
                <w:color w:val="auto"/>
              </w:rPr>
            </w:pPr>
            <w:r>
              <w:rPr>
                <w:rFonts w:ascii="Arial" w:cs="Arial" w:eastAsia="Arial" w:hAnsi="Arial"/>
                <w:sz w:val="14"/>
                <w:szCs w:val="14"/>
                <w:color w:val="auto"/>
                <w:w w:val="95"/>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2"/>
              <w:spacing w:after="0" w:line="153" w:lineRule="exact"/>
              <w:rPr>
                <w:sz w:val="20"/>
                <w:szCs w:val="20"/>
                <w:color w:val="auto"/>
              </w:rPr>
            </w:pPr>
            <w:r>
              <w:rPr>
                <w:rFonts w:ascii="Arial" w:cs="Arial" w:eastAsia="Arial" w:hAnsi="Arial"/>
                <w:sz w:val="14"/>
                <w:szCs w:val="14"/>
                <w:color w:val="auto"/>
              </w:rPr>
              <w:t>2018</w:t>
            </w:r>
          </w:p>
        </w:tc>
        <w:tc>
          <w:tcPr>
            <w:tcW w:w="360" w:type="dxa"/>
            <w:vAlign w:val="bottom"/>
          </w:tcPr>
          <w:p>
            <w:pPr>
              <w:spacing w:after="0"/>
              <w:rPr>
                <w:sz w:val="13"/>
                <w:szCs w:val="13"/>
                <w:color w:val="auto"/>
              </w:rPr>
            </w:pPr>
          </w:p>
        </w:tc>
        <w:tc>
          <w:tcPr>
            <w:tcW w:w="900" w:type="dxa"/>
            <w:vAlign w:val="bottom"/>
          </w:tcPr>
          <w:p>
            <w:pPr>
              <w:jc w:val="right"/>
              <w:ind w:right="232"/>
              <w:spacing w:after="0" w:line="153" w:lineRule="exact"/>
              <w:rPr>
                <w:sz w:val="20"/>
                <w:szCs w:val="20"/>
                <w:color w:val="auto"/>
              </w:rPr>
            </w:pPr>
            <w:r>
              <w:rPr>
                <w:rFonts w:ascii="Arial" w:cs="Arial" w:eastAsia="Arial" w:hAnsi="Arial"/>
                <w:sz w:val="14"/>
                <w:szCs w:val="14"/>
                <w:color w:val="auto"/>
              </w:rPr>
              <w:t>2017</w:t>
            </w:r>
          </w:p>
        </w:tc>
        <w:tc>
          <w:tcPr>
            <w:tcW w:w="200" w:type="dxa"/>
            <w:vAlign w:val="bottom"/>
          </w:tcPr>
          <w:p>
            <w:pPr>
              <w:spacing w:after="0"/>
              <w:rPr>
                <w:sz w:val="13"/>
                <w:szCs w:val="13"/>
                <w:color w:val="auto"/>
              </w:rPr>
            </w:pPr>
          </w:p>
        </w:tc>
        <w:tc>
          <w:tcPr>
            <w:tcW w:w="1060" w:type="dxa"/>
            <w:vAlign w:val="bottom"/>
            <w:gridSpan w:val="2"/>
          </w:tcPr>
          <w:p>
            <w:pPr>
              <w:jc w:val="right"/>
              <w:ind w:right="236"/>
              <w:spacing w:after="0" w:line="153" w:lineRule="exact"/>
              <w:rPr>
                <w:sz w:val="20"/>
                <w:szCs w:val="20"/>
                <w:color w:val="auto"/>
              </w:rPr>
            </w:pPr>
            <w:r>
              <w:rPr>
                <w:rFonts w:ascii="Arial" w:cs="Arial" w:eastAsia="Arial" w:hAnsi="Arial"/>
                <w:sz w:val="14"/>
                <w:szCs w:val="14"/>
                <w:color w:val="auto"/>
              </w:rPr>
              <w:t>2018</w:t>
            </w:r>
          </w:p>
        </w:tc>
        <w:tc>
          <w:tcPr>
            <w:tcW w:w="340" w:type="dxa"/>
            <w:vAlign w:val="bottom"/>
          </w:tcPr>
          <w:p>
            <w:pPr>
              <w:spacing w:after="0"/>
              <w:rPr>
                <w:sz w:val="13"/>
                <w:szCs w:val="13"/>
                <w:color w:val="auto"/>
              </w:rPr>
            </w:pPr>
          </w:p>
        </w:tc>
        <w:tc>
          <w:tcPr>
            <w:tcW w:w="920" w:type="dxa"/>
            <w:vAlign w:val="bottom"/>
          </w:tcPr>
          <w:p>
            <w:pPr>
              <w:jc w:val="right"/>
              <w:ind w:right="232"/>
              <w:spacing w:after="0" w:line="153"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526,091</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355,923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$ 1,371,861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(30,381)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(167,798)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Cash flow hedges adjustments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(961)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(1,120)</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(13,972)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(265)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(1,409)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21,447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(24,458)</w:t>
            </w:r>
          </w:p>
        </w:tc>
        <w:tc>
          <w:tcPr>
            <w:tcW w:w="3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(161,732)</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500"/>
              <w:spacing w:after="0"/>
              <w:rPr>
                <w:sz w:val="20"/>
                <w:szCs w:val="20"/>
                <w:color w:val="auto"/>
              </w:rPr>
            </w:pPr>
            <w:r>
              <w:rPr>
                <w:rFonts w:ascii="Arial" w:cs="Arial" w:eastAsia="Arial" w:hAnsi="Arial"/>
                <w:sz w:val="18"/>
                <w:szCs w:val="18"/>
                <w:i w:val="1"/>
                <w:iCs w:val="1"/>
                <w:color w:val="auto"/>
              </w:rPr>
              <w:t>Total comprehensive income</w:t>
            </w:r>
          </w:p>
        </w:tc>
        <w:tc>
          <w:tcPr>
            <w:tcW w:w="122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501,633</w:t>
            </w:r>
          </w:p>
        </w:tc>
        <w:tc>
          <w:tcPr>
            <w:tcW w:w="3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$ 1,210,129</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vMerge w:val="restart"/>
          </w:tcPr>
          <w:p>
            <w:pPr>
              <w:jc w:val="right"/>
              <w:ind w:right="690"/>
              <w:spacing w:after="0"/>
              <w:rPr>
                <w:sz w:val="20"/>
                <w:szCs w:val="20"/>
                <w:color w:val="auto"/>
              </w:rPr>
            </w:pPr>
            <w:r>
              <w:rPr>
                <w:rFonts w:ascii="Arial" w:cs="Arial" w:eastAsia="Arial" w:hAnsi="Arial"/>
                <w:sz w:val="18"/>
                <w:szCs w:val="18"/>
                <w:color w:val="auto"/>
              </w:rPr>
              <w:t>- 5 -</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40" w:type="dxa"/>
            <w:vAlign w:val="bottom"/>
            <w:gridSpan w:val="6"/>
          </w:tcPr>
          <w:p>
            <w:pPr>
              <w:jc w:val="right"/>
              <w:ind w:right="180"/>
              <w:spacing w:after="0"/>
              <w:rPr>
                <w:sz w:val="20"/>
                <w:szCs w:val="20"/>
                <w:color w:val="auto"/>
              </w:rPr>
            </w:pPr>
            <w:r>
              <w:rPr>
                <w:rFonts w:ascii="Arial" w:cs="Arial" w:eastAsia="Arial" w:hAnsi="Arial"/>
                <w:sz w:val="14"/>
                <w:szCs w:val="14"/>
                <w:color w:val="auto"/>
                <w:w w:val="94"/>
              </w:rPr>
              <w:t>Nine Months Ended September 30</w:t>
            </w:r>
          </w:p>
        </w:tc>
        <w:tc>
          <w:tcPr>
            <w:tcW w:w="0" w:type="dxa"/>
            <w:vAlign w:val="bottom"/>
          </w:tcPr>
          <w:p>
            <w:pPr>
              <w:spacing w:after="0"/>
              <w:rPr>
                <w:sz w:val="1"/>
                <w:szCs w:val="1"/>
                <w:color w:val="auto"/>
              </w:rPr>
            </w:pPr>
          </w:p>
        </w:tc>
      </w:tr>
      <w:tr>
        <w:trPr>
          <w:trHeight w:val="154"/>
        </w:trPr>
        <w:tc>
          <w:tcPr>
            <w:tcW w:w="228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thousands</w:t>
            </w:r>
          </w:p>
        </w:tc>
        <w:tc>
          <w:tcPr>
            <w:tcW w:w="5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2018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280" w:type="dxa"/>
            <w:vAlign w:val="bottom"/>
            <w:gridSpan w:val="2"/>
          </w:tcPr>
          <w:p>
            <w:pPr>
              <w:spacing w:after="0"/>
              <w:rPr>
                <w:sz w:val="20"/>
                <w:szCs w:val="20"/>
                <w:color w:val="auto"/>
              </w:rPr>
            </w:pPr>
            <w:r>
              <w:rPr>
                <w:rFonts w:ascii="Arial" w:cs="Arial" w:eastAsia="Arial" w:hAnsi="Arial"/>
                <w:sz w:val="14"/>
                <w:szCs w:val="14"/>
                <w:color w:val="auto"/>
              </w:rPr>
              <w:t>Cash flows from operating</w:t>
            </w:r>
          </w:p>
        </w:tc>
        <w:tc>
          <w:tcPr>
            <w:tcW w:w="5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59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1,371,861</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1,085,903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780"/>
              <w:spacing w:after="0"/>
              <w:rPr>
                <w:sz w:val="20"/>
                <w:szCs w:val="20"/>
                <w:color w:val="auto"/>
              </w:rPr>
            </w:pPr>
            <w:r>
              <w:rPr>
                <w:rFonts w:ascii="Arial" w:cs="Arial" w:eastAsia="Arial" w:hAnsi="Arial"/>
                <w:sz w:val="14"/>
                <w:szCs w:val="14"/>
                <w:color w:val="auto"/>
              </w:rPr>
              <w:t>Provision for credit losses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94,000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Depreciation and amortization of premises and equipment</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80,186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780"/>
              <w:spacing w:after="0"/>
              <w:rPr>
                <w:sz w:val="20"/>
                <w:szCs w:val="20"/>
                <w:color w:val="auto"/>
              </w:rPr>
            </w:pPr>
            <w:r>
              <w:rPr>
                <w:rFonts w:ascii="Arial" w:cs="Arial" w:eastAsia="Arial" w:hAnsi="Arial"/>
                <w:sz w:val="14"/>
                <w:szCs w:val="14"/>
                <w:color w:val="auto"/>
              </w:rPr>
              <w:t>Amortization of capitalized servicing rights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36,567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Amortization of core deposit and other intangible assets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780"/>
              <w:spacing w:after="0"/>
              <w:rPr>
                <w:sz w:val="20"/>
                <w:szCs w:val="20"/>
                <w:color w:val="auto"/>
              </w:rPr>
            </w:pPr>
            <w:r>
              <w:rPr>
                <w:rFonts w:ascii="Arial" w:cs="Arial" w:eastAsia="Arial" w:hAnsi="Arial"/>
                <w:sz w:val="14"/>
                <w:szCs w:val="14"/>
                <w:color w:val="auto"/>
              </w:rPr>
              <w:t>Provision for deferred income taxes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(73,410)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Asset write-downs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780"/>
              <w:spacing w:after="0"/>
              <w:rPr>
                <w:sz w:val="20"/>
                <w:szCs w:val="20"/>
                <w:color w:val="auto"/>
              </w:rPr>
            </w:pPr>
            <w:r>
              <w:rPr>
                <w:rFonts w:ascii="Arial" w:cs="Arial" w:eastAsia="Arial" w:hAnsi="Arial"/>
                <w:sz w:val="14"/>
                <w:szCs w:val="14"/>
                <w:color w:val="auto"/>
              </w:rPr>
              <w:t>Net gain on sales of assets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(17,681)</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(27,967)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accrued interest receivable, payable</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(30,178)</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(23,059)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780"/>
              <w:spacing w:after="0"/>
              <w:rPr>
                <w:sz w:val="20"/>
                <w:szCs w:val="20"/>
                <w:color w:val="auto"/>
              </w:rPr>
            </w:pPr>
            <w:r>
              <w:rPr>
                <w:rFonts w:ascii="Arial" w:cs="Arial" w:eastAsia="Arial" w:hAnsi="Arial"/>
                <w:sz w:val="14"/>
                <w:szCs w:val="14"/>
                <w:color w:val="auto"/>
              </w:rPr>
              <w:t>Net change in other accrued income and expense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125,478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110,138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loans originated for sale</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(252,981)</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5900" w:type="dxa"/>
            <w:vAlign w:val="bottom"/>
            <w:tcBorders>
              <w:bottom w:val="single" w:sz="8" w:color="CFF0FC"/>
            </w:tcBorders>
          </w:tcPr>
          <w:p>
            <w:pPr>
              <w:ind w:left="780"/>
              <w:spacing w:after="0"/>
              <w:rPr>
                <w:sz w:val="20"/>
                <w:szCs w:val="20"/>
                <w:color w:val="auto"/>
              </w:rPr>
            </w:pPr>
            <w:r>
              <w:rPr>
                <w:rFonts w:ascii="Arial" w:cs="Arial" w:eastAsia="Arial" w:hAnsi="Arial"/>
                <w:sz w:val="14"/>
                <w:szCs w:val="14"/>
                <w:color w:val="auto"/>
              </w:rPr>
              <w:t>Net change in trading account assets and liabilities</w:t>
            </w:r>
          </w:p>
        </w:tc>
        <w:tc>
          <w:tcPr>
            <w:tcW w:w="10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179,214</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88,705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5900" w:type="dxa"/>
            <w:vAlign w:val="bottom"/>
            <w:shd w:val="clear" w:color="auto" w:fill="CFF0FC"/>
          </w:tcPr>
          <w:p>
            <w:pPr>
              <w:ind w:left="7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1,539,617</w:t>
            </w:r>
          </w:p>
        </w:tc>
        <w:tc>
          <w:tcPr>
            <w:tcW w:w="3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2,065,866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investing</w:t>
            </w:r>
          </w:p>
        </w:tc>
        <w:tc>
          <w:tcPr>
            <w:tcW w:w="5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5900" w:type="dxa"/>
            <w:vAlign w:val="bottom"/>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512,143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540"/>
              <w:spacing w:after="0"/>
              <w:rPr>
                <w:sz w:val="20"/>
                <w:szCs w:val="20"/>
                <w:color w:val="auto"/>
              </w:rPr>
            </w:pPr>
            <w:r>
              <w:rPr>
                <w:rFonts w:ascii="Arial" w:cs="Arial" w:eastAsia="Arial" w:hAnsi="Arial"/>
                <w:sz w:val="14"/>
                <w:szCs w:val="14"/>
                <w:color w:val="auto"/>
              </w:rPr>
              <w:t>Equity and other securities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649,204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maturities of investment securities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540"/>
              <w:spacing w:after="0"/>
              <w:rPr>
                <w:sz w:val="20"/>
                <w:szCs w:val="20"/>
                <w:color w:val="auto"/>
              </w:rPr>
            </w:pPr>
            <w:r>
              <w:rPr>
                <w:rFonts w:ascii="Arial" w:cs="Arial" w:eastAsia="Arial" w:hAnsi="Arial"/>
                <w:sz w:val="14"/>
                <w:szCs w:val="14"/>
                <w:color w:val="auto"/>
              </w:rPr>
              <w:t>Available for sale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1,415,214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1,650,258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Held to maturity</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374,718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Purchases of investment securities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(9,197)</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(248,705)</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540"/>
              <w:spacing w:after="0"/>
              <w:rPr>
                <w:sz w:val="20"/>
                <w:szCs w:val="20"/>
                <w:color w:val="auto"/>
              </w:rPr>
            </w:pPr>
            <w:r>
              <w:rPr>
                <w:rFonts w:ascii="Arial" w:cs="Arial" w:eastAsia="Arial" w:hAnsi="Arial"/>
                <w:sz w:val="14"/>
                <w:szCs w:val="14"/>
                <w:color w:val="auto"/>
              </w:rPr>
              <w:t>Held to maturity</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(444,703)</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(1,175,608)</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Equity and other securities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(644,404)</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(132,104)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Net decrease in loans and leases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1,443,623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2,259,049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interest-bearing deposits at banks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(1,444,843)</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(1,305,846)</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Capital expenditures, net</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(59,302)</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(62,515)</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decrease in loan servicing advances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267,074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Other, net</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(11,072)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5900" w:type="dxa"/>
            <w:vAlign w:val="bottom"/>
            <w:tcBorders>
              <w:top w:val="single" w:sz="8" w:color="CFF0FC"/>
            </w:tcBorders>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1,536,730</w:t>
            </w:r>
          </w:p>
        </w:tc>
        <w:tc>
          <w:tcPr>
            <w:tcW w:w="3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2,179,337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financing</w:t>
            </w:r>
          </w:p>
        </w:tc>
        <w:tc>
          <w:tcPr>
            <w:tcW w:w="5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5900" w:type="dxa"/>
            <w:vAlign w:val="bottom"/>
          </w:tcPr>
          <w:p>
            <w:pPr>
              <w:ind w:left="300"/>
              <w:spacing w:after="0"/>
              <w:rPr>
                <w:sz w:val="20"/>
                <w:szCs w:val="20"/>
                <w:color w:val="auto"/>
              </w:rPr>
            </w:pPr>
            <w:r>
              <w:rPr>
                <w:rFonts w:ascii="Arial" w:cs="Arial" w:eastAsia="Arial" w:hAnsi="Arial"/>
                <w:sz w:val="14"/>
                <w:szCs w:val="14"/>
                <w:color w:val="auto"/>
              </w:rPr>
              <w:t>Net decrease in deposits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(3,289,371)</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(1,976,237)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short-term borrowings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1,135,011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Proceeds from long-term borrowings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1,773,189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2,145,950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on long-term borrowings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(707,594)</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(3,029,320)</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Purchases of treasury stock</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(1,694,562)</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(981,691)</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Dividends paid — common</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(371,380)</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(345,166)</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Dividends paid — preferred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(53,628)</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(53,842)</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net</w:t>
            </w:r>
          </w:p>
        </w:tc>
        <w:tc>
          <w:tcPr>
            <w:tcW w:w="10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22,711</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5900" w:type="dxa"/>
            <w:vAlign w:val="bottom"/>
            <w:tcBorders>
              <w:bottom w:val="single" w:sz="8" w:color="CFF0FC"/>
            </w:tcBorders>
          </w:tcPr>
          <w:p>
            <w:pPr>
              <w:ind w:left="540"/>
              <w:spacing w:after="0" w:line="155" w:lineRule="exact"/>
              <w:rPr>
                <w:sz w:val="20"/>
                <w:szCs w:val="20"/>
                <w:color w:val="auto"/>
              </w:rPr>
            </w:pPr>
            <w:r>
              <w:rPr>
                <w:rFonts w:ascii="Arial" w:cs="Arial" w:eastAsia="Arial" w:hAnsi="Arial"/>
                <w:sz w:val="14"/>
                <w:szCs w:val="14"/>
                <w:color w:val="auto"/>
              </w:rPr>
              <w:t>Net cash used by financing activities</w:t>
            </w:r>
          </w:p>
        </w:tc>
        <w:tc>
          <w:tcPr>
            <w:tcW w:w="10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(3,185,624)</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(4,197,500)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590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(109,277)</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47,703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59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1,420,888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1,320,549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Borders>
              <w:bottom w:val="single" w:sz="8" w:color="CFF0FC"/>
            </w:tcBorders>
            <w:shd w:val="clear" w:color="auto" w:fill="CFF0FC"/>
          </w:tcPr>
          <w:p>
            <w:pPr>
              <w:spacing w:after="0"/>
              <w:rPr>
                <w:sz w:val="13"/>
                <w:szCs w:val="13"/>
                <w:color w:val="auto"/>
              </w:rPr>
            </w:pPr>
          </w:p>
        </w:tc>
        <w:tc>
          <w:tcPr>
            <w:tcW w:w="1540" w:type="dxa"/>
            <w:vAlign w:val="bottom"/>
            <w:tcBorders>
              <w:bottom w:val="single" w:sz="8" w:color="CFF0FC"/>
            </w:tcBorders>
            <w:shd w:val="clear" w:color="auto" w:fill="CFF0FC"/>
          </w:tcPr>
          <w:p>
            <w:pPr>
              <w:spacing w:after="0"/>
              <w:rPr>
                <w:sz w:val="13"/>
                <w:szCs w:val="13"/>
                <w:color w:val="auto"/>
              </w:rPr>
            </w:pPr>
          </w:p>
        </w:tc>
        <w:tc>
          <w:tcPr>
            <w:tcW w:w="590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1,311,611</w:t>
            </w:r>
          </w:p>
        </w:tc>
        <w:tc>
          <w:tcPr>
            <w:tcW w:w="3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1,368,252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w:t>
            </w:r>
          </w:p>
        </w:tc>
        <w:tc>
          <w:tcPr>
            <w:tcW w:w="5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80" w:type="dxa"/>
            <w:vAlign w:val="bottom"/>
            <w:gridSpan w:val="2"/>
            <w:vMerge w:val="continue"/>
          </w:tcPr>
          <w:p>
            <w:pPr>
              <w:spacing w:after="0"/>
              <w:rPr>
                <w:sz w:val="10"/>
                <w:szCs w:val="10"/>
                <w:color w:val="auto"/>
              </w:rPr>
            </w:pPr>
          </w:p>
        </w:tc>
        <w:tc>
          <w:tcPr>
            <w:tcW w:w="5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flow information</w:t>
            </w:r>
          </w:p>
        </w:tc>
        <w:tc>
          <w:tcPr>
            <w:tcW w:w="5900" w:type="dxa"/>
            <w:vAlign w:val="bottom"/>
          </w:tcPr>
          <w:p>
            <w:pPr>
              <w:ind w:left="300"/>
              <w:spacing w:after="0"/>
              <w:rPr>
                <w:sz w:val="20"/>
                <w:szCs w:val="20"/>
                <w:color w:val="auto"/>
              </w:rPr>
            </w:pPr>
            <w:r>
              <w:rPr>
                <w:rFonts w:ascii="Arial" w:cs="Arial" w:eastAsia="Arial" w:hAnsi="Arial"/>
                <w:sz w:val="14"/>
                <w:szCs w:val="14"/>
                <w:color w:val="auto"/>
              </w:rPr>
              <w:t>Interest received during the period</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3,360,710</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3,088,042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paid during the period</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381,137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310,640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spacing w:after="0"/>
              <w:rPr>
                <w:sz w:val="17"/>
                <w:szCs w:val="17"/>
                <w:color w:val="auto"/>
              </w:rPr>
            </w:pPr>
          </w:p>
        </w:tc>
        <w:tc>
          <w:tcPr>
            <w:tcW w:w="59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Income taxes paid during the period</w:t>
            </w:r>
          </w:p>
        </w:tc>
        <w:tc>
          <w:tcPr>
            <w:tcW w:w="10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197,247</w:t>
            </w:r>
          </w:p>
        </w:tc>
        <w:tc>
          <w:tcPr>
            <w:tcW w:w="3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462,163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gridSpan w:val="2"/>
            <w:shd w:val="clear" w:color="auto" w:fill="CFF0FC"/>
          </w:tcPr>
          <w:p>
            <w:pPr>
              <w:spacing w:after="0" w:line="124" w:lineRule="exact"/>
              <w:rPr>
                <w:sz w:val="20"/>
                <w:szCs w:val="20"/>
                <w:color w:val="auto"/>
              </w:rPr>
            </w:pPr>
            <w:r>
              <w:rPr>
                <w:rFonts w:ascii="Arial" w:cs="Arial" w:eastAsia="Arial" w:hAnsi="Arial"/>
                <w:sz w:val="14"/>
                <w:szCs w:val="14"/>
                <w:color w:val="auto"/>
              </w:rPr>
              <w:t>Supplemental schedule of</w:t>
            </w:r>
          </w:p>
        </w:tc>
        <w:tc>
          <w:tcPr>
            <w:tcW w:w="59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noncash investing and financing</w:t>
            </w:r>
          </w:p>
        </w:tc>
        <w:tc>
          <w:tcPr>
            <w:tcW w:w="59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activities</w:t>
            </w:r>
          </w:p>
        </w:tc>
        <w:tc>
          <w:tcPr>
            <w:tcW w:w="5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Real estate acquired in settlement of loans</w:t>
            </w:r>
          </w:p>
        </w:tc>
        <w:tc>
          <w:tcPr>
            <w:tcW w:w="11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50,849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900" w:type="dxa"/>
            <w:vAlign w:val="bottom"/>
          </w:tcPr>
          <w:p>
            <w:pPr>
              <w:ind w:left="300"/>
              <w:spacing w:after="0"/>
              <w:rPr>
                <w:sz w:val="20"/>
                <w:szCs w:val="20"/>
                <w:color w:val="auto"/>
              </w:rPr>
            </w:pPr>
            <w:r>
              <w:rPr>
                <w:rFonts w:ascii="Arial" w:cs="Arial" w:eastAsia="Arial" w:hAnsi="Arial"/>
                <w:sz w:val="14"/>
                <w:szCs w:val="14"/>
                <w:color w:val="auto"/>
              </w:rPr>
              <w:t>Securitization of residential mortgage loans allocated to</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590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Available-for-sale investment securities</w:t>
            </w: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17,606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900" w:type="dxa"/>
            <w:vAlign w:val="bottom"/>
          </w:tcPr>
          <w:p>
            <w:pPr>
              <w:ind w:left="540"/>
              <w:spacing w:after="0"/>
              <w:rPr>
                <w:sz w:val="20"/>
                <w:szCs w:val="20"/>
                <w:color w:val="auto"/>
              </w:rPr>
            </w:pPr>
            <w:r>
              <w:rPr>
                <w:rFonts w:ascii="Arial" w:cs="Arial" w:eastAsia="Arial" w:hAnsi="Arial"/>
                <w:sz w:val="14"/>
                <w:szCs w:val="14"/>
                <w:color w:val="auto"/>
              </w:rPr>
              <w:t>Capitalized servicing rights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Common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Preferred</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Income</w:t>
            </w:r>
          </w:p>
        </w:tc>
        <w:tc>
          <w:tcPr>
            <w:tcW w:w="1100" w:type="dxa"/>
            <w:vAlign w:val="bottom"/>
            <w:gridSpan w:val="2"/>
          </w:tcPr>
          <w:p>
            <w:pPr>
              <w:jc w:val="right"/>
              <w:ind w:right="321"/>
              <w:spacing w:after="0"/>
              <w:rPr>
                <w:sz w:val="20"/>
                <w:szCs w:val="20"/>
                <w:color w:val="auto"/>
              </w:rPr>
            </w:pPr>
            <w:r>
              <w:rPr>
                <w:rFonts w:ascii="Arial" w:cs="Arial" w:eastAsia="Arial" w:hAnsi="Arial"/>
                <w:sz w:val="14"/>
                <w:szCs w:val="14"/>
                <w:color w:val="auto"/>
              </w:rPr>
              <w:t>Treasury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2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Dollars in thousands, except per share</w:t>
            </w:r>
          </w:p>
        </w:tc>
        <w:tc>
          <w:tcPr>
            <w:tcW w:w="104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w w:val="91"/>
              </w:rPr>
              <w:t>Stock</w:t>
            </w:r>
          </w:p>
        </w:tc>
        <w:tc>
          <w:tcPr>
            <w:tcW w:w="800" w:type="dxa"/>
            <w:vAlign w:val="bottom"/>
            <w:gridSpan w:val="2"/>
          </w:tcPr>
          <w:p>
            <w:pPr>
              <w:jc w:val="right"/>
              <w:ind w:right="340"/>
              <w:spacing w:after="0" w:line="153" w:lineRule="exact"/>
              <w:rPr>
                <w:sz w:val="20"/>
                <w:szCs w:val="20"/>
                <w:color w:val="auto"/>
              </w:rPr>
            </w:pPr>
            <w:r>
              <w:rPr>
                <w:rFonts w:ascii="Arial" w:cs="Arial" w:eastAsia="Arial" w:hAnsi="Arial"/>
                <w:sz w:val="14"/>
                <w:szCs w:val="14"/>
                <w:color w:val="auto"/>
              </w:rPr>
              <w:t>Stock</w:t>
            </w:r>
          </w:p>
        </w:tc>
        <w:tc>
          <w:tcPr>
            <w:tcW w:w="80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w w:val="91"/>
              </w:rPr>
              <w:t>Issuable</w:t>
            </w:r>
          </w:p>
        </w:tc>
        <w:tc>
          <w:tcPr>
            <w:tcW w:w="104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rPr>
              <w:t>Capital</w:t>
            </w:r>
          </w:p>
        </w:tc>
        <w:tc>
          <w:tcPr>
            <w:tcW w:w="1060" w:type="dxa"/>
            <w:vAlign w:val="bottom"/>
            <w:gridSpan w:val="2"/>
          </w:tcPr>
          <w:p>
            <w:pPr>
              <w:jc w:val="right"/>
              <w:ind w:right="340"/>
              <w:spacing w:after="0" w:line="153" w:lineRule="exact"/>
              <w:rPr>
                <w:sz w:val="20"/>
                <w:szCs w:val="20"/>
                <w:color w:val="auto"/>
              </w:rPr>
            </w:pPr>
            <w:r>
              <w:rPr>
                <w:rFonts w:ascii="Arial" w:cs="Arial" w:eastAsia="Arial" w:hAnsi="Arial"/>
                <w:sz w:val="14"/>
                <w:szCs w:val="14"/>
                <w:color w:val="auto"/>
              </w:rPr>
              <w:t>Earnings</w:t>
            </w:r>
          </w:p>
        </w:tc>
        <w:tc>
          <w:tcPr>
            <w:tcW w:w="60" w:type="dxa"/>
            <w:vAlign w:val="bottom"/>
          </w:tcPr>
          <w:p>
            <w:pPr>
              <w:spacing w:after="0"/>
              <w:rPr>
                <w:sz w:val="15"/>
                <w:szCs w:val="15"/>
                <w:color w:val="auto"/>
              </w:rPr>
            </w:pPr>
          </w:p>
        </w:tc>
        <w:tc>
          <w:tcPr>
            <w:tcW w:w="110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w w:val="96"/>
              </w:rPr>
              <w:t>(Loss), Net</w:t>
            </w:r>
          </w:p>
        </w:tc>
        <w:tc>
          <w:tcPr>
            <w:tcW w:w="1100" w:type="dxa"/>
            <w:vAlign w:val="bottom"/>
            <w:gridSpan w:val="2"/>
          </w:tcPr>
          <w:p>
            <w:pPr>
              <w:jc w:val="right"/>
              <w:ind w:right="401"/>
              <w:spacing w:after="0" w:line="153" w:lineRule="exact"/>
              <w:rPr>
                <w:sz w:val="20"/>
                <w:szCs w:val="20"/>
                <w:color w:val="auto"/>
              </w:rPr>
            </w:pPr>
            <w:r>
              <w:rPr>
                <w:rFonts w:ascii="Arial" w:cs="Arial" w:eastAsia="Arial" w:hAnsi="Arial"/>
                <w:sz w:val="14"/>
                <w:szCs w:val="14"/>
                <w:color w:val="auto"/>
              </w:rPr>
              <w:t>Stock</w:t>
            </w:r>
          </w:p>
        </w:tc>
        <w:tc>
          <w:tcPr>
            <w:tcW w:w="1000" w:type="dxa"/>
            <w:vAlign w:val="bottom"/>
            <w:gridSpan w:val="2"/>
          </w:tcPr>
          <w:p>
            <w:pPr>
              <w:jc w:val="right"/>
              <w:ind w:right="400"/>
              <w:spacing w:after="0" w:line="153"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79,973</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6,676,948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9,222,488</w:t>
            </w:r>
          </w:p>
        </w:tc>
        <w:tc>
          <w:tcPr>
            <w:tcW w:w="1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(294,636)</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(431,796)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16,486,622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1,085,903</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46,721</w:t>
            </w:r>
          </w:p>
        </w:tc>
        <w:tc>
          <w:tcPr>
            <w:tcW w:w="20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1,132,624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(54,604)</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Exercise of 304,436 Series A stock</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warrants into 165,498 shares of</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(22,992)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22,992</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(981,691)</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(981,691)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(51,606)</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68,014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(368)</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$2.25 per share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(344,307)</w:t>
            </w:r>
          </w:p>
        </w:tc>
        <w:tc>
          <w:tcPr>
            <w:tcW w:w="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(344,307)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6,598,048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9,909,415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(1,254,733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16,318,052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79,909</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6,590,855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10,164,804</w:t>
            </w:r>
          </w:p>
        </w:tc>
        <w:tc>
          <w:tcPr>
            <w:tcW w:w="1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(363,814)</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(1,454,282)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16,250,819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Cumulative effect of change in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accounting principle — equity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16,853</w:t>
            </w:r>
          </w:p>
        </w:tc>
        <w:tc>
          <w:tcPr>
            <w:tcW w:w="14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(16,853)</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1,371,861</w:t>
            </w:r>
          </w:p>
        </w:tc>
        <w:tc>
          <w:tcPr>
            <w:tcW w:w="1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(161,732)</w:t>
            </w:r>
          </w:p>
        </w:tc>
        <w:tc>
          <w:tcPr>
            <w:tcW w:w="11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1,210,129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(54,390)</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76,517 Series A stock</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warrants into 45,426 shares of</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(7,240)</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(1,694,562)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(1,694,562)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2,836</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(3,282)</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56,793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$2.55 per share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(370,723)</w:t>
            </w: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(370,723)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Balance — September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79,883</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6,585,447</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11,128,343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(542,399)</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(3,048,405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15,436,085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- 7 -</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5"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2017 (“2017 Annual Report”), except that effective January 1, 2018 the Company adopted amended accounting guidance that is discussed in notes 2, 15 and 16 herein. In the opinion of management, all adjustments necessary for a fair presentation have been made and were all of a normal recurring nature.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Investment securities</w:t>
      </w:r>
    </w:p>
    <w:p>
      <w:pPr>
        <w:spacing w:after="0" w:line="115"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 Net unrealized losses recorded as loss on bank investment securities in the consolidated statement of income during the three months and nine months ended September 30, 2018 were $3 million and $11 million, respectively. The amortized cost and estimated fair value of investment securities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Gross</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Amortized</w:t>
            </w: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Unrealized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Estimated</w:t>
            </w:r>
          </w:p>
        </w:tc>
        <w:tc>
          <w:tcPr>
            <w:tcW w:w="1160" w:type="dxa"/>
            <w:vAlign w:val="bottom"/>
          </w:tcPr>
          <w:p>
            <w:pPr>
              <w:spacing w:after="0"/>
              <w:rPr>
                <w:sz w:val="12"/>
                <w:szCs w:val="12"/>
                <w:color w:val="auto"/>
              </w:rPr>
            </w:pPr>
          </w:p>
        </w:tc>
      </w:tr>
      <w:tr>
        <w:trPr>
          <w:trHeight w:val="167"/>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Cost</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Gains</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Losses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c>
          <w:tcPr>
            <w:tcW w:w="116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tcPr>
          <w:p>
            <w:pPr>
              <w:jc w:val="right"/>
              <w:ind w:right="653"/>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1,623,860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1,608,672</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7,686,746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283,660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7,412,696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137,552</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131,328</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9,449,975</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306,998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9,154,515</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445,199</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444,787</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2,842,807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2,750,478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117,996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105,274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3,965</w:t>
            </w: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3,418,719</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12,969</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118,418</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3,313,270</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12,868,694</w:t>
            </w:r>
          </w:p>
        </w:tc>
        <w:tc>
          <w:tcPr>
            <w:tcW w:w="28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24,507</w:t>
            </w:r>
          </w:p>
        </w:tc>
        <w:tc>
          <w:tcPr>
            <w:tcW w:w="30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425,416</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12,467,785</w:t>
            </w:r>
          </w:p>
        </w:tc>
        <w:tc>
          <w:tcPr>
            <w:tcW w:w="120" w:type="dxa"/>
            <w:vAlign w:val="bottom"/>
            <w:tcBorders>
              <w:bottom w:val="single" w:sz="8" w:color="CFF0FC"/>
            </w:tcBorders>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77,871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13,253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90,129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410,518</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410,518</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488,389</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13,253</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500,647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8"/>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2"/>
              <w:spacing w:after="0"/>
              <w:rPr>
                <w:sz w:val="20"/>
                <w:szCs w:val="20"/>
                <w:color w:val="auto"/>
              </w:rPr>
            </w:pPr>
            <w:r>
              <w:rPr>
                <w:rFonts w:ascii="Arial" w:cs="Arial" w:eastAsia="Arial" w:hAnsi="Arial"/>
                <w:sz w:val="18"/>
                <w:szCs w:val="18"/>
                <w:color w:val="auto"/>
                <w:w w:val="93"/>
              </w:rPr>
              <w:t>- 8 -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Gross</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Amortized</w:t>
            </w: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Unrealized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Estimated</w:t>
            </w:r>
          </w:p>
        </w:tc>
      </w:tr>
      <w:tr>
        <w:trPr>
          <w:trHeight w:val="167"/>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Cost</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Gains</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Losses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r>
      <w:tr>
        <w:trPr>
          <w:trHeight w:val="155"/>
        </w:trPr>
        <w:tc>
          <w:tcPr>
            <w:tcW w:w="5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tcPr>
          <w:p>
            <w:pPr>
              <w:jc w:val="right"/>
              <w:ind w:right="653"/>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1,965,665</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1,947,487</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8,755,482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59,497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98,587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8,716,392</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136,905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128,832</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100,956</w:t>
            </w:r>
          </w:p>
        </w:tc>
        <w:tc>
          <w:tcPr>
            <w:tcW w:w="120" w:type="dxa"/>
            <w:vAlign w:val="bottom"/>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10,938,796</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85,154</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10,896,284</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24,562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3,187,953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27,236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3,201,443</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110,687</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3,353,213</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29,919</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3,341,762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securities — at cost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14,707,037</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115,073</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169,036</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14,653,074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three-month and nine-month periods ended September 30, 2018 and 2017,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At September 30, 2018, the amortized cost and estimated fair value of debt securities by contractual maturity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color w:val="auto"/>
                <w:w w:val="98"/>
              </w:rPr>
              <w:t>Amortized</w:t>
            </w: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Estimated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Fair Value</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3"/>
          </w:tcPr>
          <w:p>
            <w:pPr>
              <w:jc w:val="right"/>
              <w:ind w:right="63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1,269,955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1,261,175</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361,249</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354,788</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101,971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101,055</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30,029</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24,778</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1,763,204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1,741,796</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7,686,771</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7,412,719</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9,449,975</w:t>
            </w:r>
          </w:p>
        </w:tc>
        <w:tc>
          <w:tcPr>
            <w:tcW w:w="3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9,154,515</w:t>
            </w:r>
          </w:p>
        </w:tc>
        <w:tc>
          <w:tcPr>
            <w:tcW w:w="80" w:type="dxa"/>
            <w:vAlign w:val="bottom"/>
            <w:tcBorders>
              <w:bottom w:val="single" w:sz="8" w:color="CFF0FC"/>
            </w:tcBorders>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448,774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448,366</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80" w:type="dxa"/>
            <w:vAlign w:val="bottom"/>
            <w:tcBorders>
              <w:bottom w:val="single" w:sz="8" w:color="CFF0FC"/>
            </w:tcBorders>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457,916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457,518</w:t>
            </w:r>
          </w:p>
        </w:tc>
        <w:tc>
          <w:tcPr>
            <w:tcW w:w="8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2,960,803</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2,855,752</w:t>
            </w:r>
          </w:p>
        </w:tc>
        <w:tc>
          <w:tcPr>
            <w:tcW w:w="80" w:type="dxa"/>
            <w:vAlign w:val="bottom"/>
            <w:tcBorders>
              <w:bottom w:val="single" w:sz="8" w:color="CFF0FC"/>
            </w:tcBorders>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3,418,719</w:t>
            </w: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3,313,270</w:t>
            </w:r>
          </w:p>
        </w:tc>
        <w:tc>
          <w:tcPr>
            <w:tcW w:w="80" w:type="dxa"/>
            <w:vAlign w:val="bottom"/>
            <w:tcBorders>
              <w:bottom w:val="single" w:sz="8" w:color="CFF0FC"/>
            </w:tcBorders>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40" w:type="dxa"/>
            <w:vAlign w:val="bottom"/>
            <w:vMerge w:val="restart"/>
          </w:tcPr>
          <w:p>
            <w:pPr>
              <w:jc w:val="right"/>
              <w:ind w:right="810"/>
              <w:spacing w:after="0"/>
              <w:rPr>
                <w:sz w:val="20"/>
                <w:szCs w:val="20"/>
                <w:color w:val="auto"/>
              </w:rPr>
            </w:pPr>
            <w:r>
              <w:rPr>
                <w:rFonts w:ascii="Arial" w:cs="Arial" w:eastAsia="Arial" w:hAnsi="Arial"/>
                <w:sz w:val="18"/>
                <w:szCs w:val="18"/>
                <w:color w:val="auto"/>
              </w:rPr>
              <w:t>- 9 -</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250"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A summary of investment securities that as of September 30, 2018 and December 31, 2017 had been in a continuous unrealized loss position for less than twelve months and those that had been in a continuous unrealized loss position for twelve months or longer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4"/>
                <w:szCs w:val="14"/>
                <w:color w:val="auto"/>
              </w:rPr>
              <w:t>Less Than 12 Months</w:t>
            </w:r>
          </w:p>
        </w:tc>
        <w:tc>
          <w:tcPr>
            <w:tcW w:w="2320" w:type="dxa"/>
            <w:vAlign w:val="bottom"/>
            <w:gridSpan w:val="4"/>
          </w:tcPr>
          <w:p>
            <w:pPr>
              <w:jc w:val="right"/>
              <w:ind w:right="660"/>
              <w:spacing w:after="0"/>
              <w:rPr>
                <w:sz w:val="20"/>
                <w:szCs w:val="20"/>
                <w:color w:val="auto"/>
              </w:rPr>
            </w:pPr>
            <w:r>
              <w:rPr>
                <w:rFonts w:ascii="Arial" w:cs="Arial" w:eastAsia="Arial" w:hAnsi="Arial"/>
                <w:sz w:val="14"/>
                <w:szCs w:val="14"/>
                <w:color w:val="auto"/>
              </w:rPr>
              <w:t>12 Months or More</w:t>
            </w:r>
          </w:p>
        </w:tc>
      </w:tr>
      <w:tr>
        <w:trPr>
          <w:trHeight w:val="137"/>
        </w:trPr>
        <w:tc>
          <w:tcPr>
            <w:tcW w:w="6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500"/>
              <w:spacing w:after="0" w:line="137" w:lineRule="exact"/>
              <w:rPr>
                <w:sz w:val="20"/>
                <w:szCs w:val="20"/>
                <w:color w:val="auto"/>
              </w:rPr>
            </w:pPr>
            <w:r>
              <w:rPr>
                <w:rFonts w:ascii="Arial" w:cs="Arial" w:eastAsia="Arial" w:hAnsi="Arial"/>
                <w:sz w:val="14"/>
                <w:szCs w:val="14"/>
                <w:color w:val="auto"/>
                <w:w w:val="91"/>
              </w:rPr>
              <w:t>Fair</w:t>
            </w:r>
          </w:p>
        </w:tc>
        <w:tc>
          <w:tcPr>
            <w:tcW w:w="920" w:type="dxa"/>
            <w:vAlign w:val="bottom"/>
            <w:tcBorders>
              <w:top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7" w:lineRule="exact"/>
              <w:rPr>
                <w:sz w:val="20"/>
                <w:szCs w:val="20"/>
                <w:color w:val="auto"/>
              </w:rPr>
            </w:pPr>
            <w:r>
              <w:rPr>
                <w:rFonts w:ascii="Arial" w:cs="Arial" w:eastAsia="Arial" w:hAnsi="Arial"/>
                <w:sz w:val="14"/>
                <w:szCs w:val="14"/>
                <w:color w:val="auto"/>
                <w:w w:val="99"/>
              </w:rPr>
              <w:t>Fair</w:t>
            </w:r>
          </w:p>
        </w:tc>
        <w:tc>
          <w:tcPr>
            <w:tcW w:w="960" w:type="dxa"/>
            <w:vAlign w:val="bottom"/>
            <w:tcBorders>
              <w:top w:val="single" w:sz="8" w:color="auto"/>
            </w:tcBorders>
          </w:tcPr>
          <w:p>
            <w:pPr>
              <w:jc w:val="right"/>
              <w:ind w:right="92"/>
              <w:spacing w:after="0" w:line="137"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r>
      <w:tr>
        <w:trPr>
          <w:trHeight w:val="167"/>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Value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color w:val="auto"/>
              </w:rPr>
              <w:t>Losses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r>
      <w:tr>
        <w:trPr>
          <w:trHeight w:val="155"/>
        </w:trPr>
        <w:tc>
          <w:tcPr>
            <w:tcW w:w="6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1,601,806</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(15,117)</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2,973,861</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(80,037)</w:t>
            </w:r>
          </w:p>
        </w:tc>
        <w:tc>
          <w:tcPr>
            <w:tcW w:w="940" w:type="dxa"/>
            <w:vAlign w:val="bottom"/>
          </w:tcPr>
          <w:p>
            <w:pPr>
              <w:jc w:val="right"/>
              <w:spacing w:after="0"/>
              <w:rPr>
                <w:sz w:val="20"/>
                <w:szCs w:val="20"/>
                <w:color w:val="auto"/>
              </w:rPr>
            </w:pPr>
            <w:r>
              <w:rPr>
                <w:rFonts w:ascii="Arial" w:cs="Arial" w:eastAsia="Arial" w:hAnsi="Arial"/>
                <w:sz w:val="18"/>
                <w:szCs w:val="18"/>
                <w:color w:val="auto"/>
              </w:rPr>
              <w:t>3,628,562</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(203,623)</w:t>
            </w: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15,409</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940" w:type="dxa"/>
            <w:vAlign w:val="bottom"/>
          </w:tcPr>
          <w:p>
            <w:pPr>
              <w:jc w:val="right"/>
              <w:spacing w:after="0"/>
              <w:rPr>
                <w:sz w:val="20"/>
                <w:szCs w:val="20"/>
                <w:color w:val="auto"/>
              </w:rPr>
            </w:pPr>
            <w:r>
              <w:rPr>
                <w:rFonts w:ascii="Arial" w:cs="Arial" w:eastAsia="Arial" w:hAnsi="Arial"/>
                <w:sz w:val="18"/>
                <w:szCs w:val="18"/>
                <w:color w:val="auto"/>
              </w:rPr>
              <w:t>63,639</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(8,008)</w:t>
            </w:r>
          </w:p>
        </w:tc>
      </w:tr>
      <w:tr>
        <w:trPr>
          <w:trHeight w:val="223"/>
        </w:trPr>
        <w:tc>
          <w:tcPr>
            <w:tcW w:w="6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2,999,200</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(80,249)</w:t>
            </w: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5,294,382</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444,787</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1,762,808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(52,208)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800,906</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(42,033)</w:t>
            </w: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52,180</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(23,747)</w:t>
            </w:r>
          </w:p>
        </w:tc>
      </w:tr>
      <w:tr>
        <w:trPr>
          <w:trHeight w:val="223"/>
        </w:trPr>
        <w:tc>
          <w:tcPr>
            <w:tcW w:w="6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2,208,109</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(52,621)</w:t>
            </w: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856,522</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5,207,309</w:t>
            </w:r>
          </w:p>
        </w:tc>
        <w:tc>
          <w:tcPr>
            <w:tcW w:w="34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(132,870)</w:t>
            </w:r>
          </w:p>
        </w:tc>
        <w:tc>
          <w:tcPr>
            <w:tcW w:w="3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6,150,904</w:t>
            </w:r>
          </w:p>
        </w:tc>
        <w:tc>
          <w:tcPr>
            <w:tcW w:w="3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(292,546)</w:t>
            </w:r>
          </w:p>
        </w:tc>
        <w:tc>
          <w:tcPr>
            <w:tcW w:w="10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278,132</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(1,761)</w:t>
            </w:r>
          </w:p>
        </w:tc>
        <w:tc>
          <w:tcPr>
            <w:tcW w:w="940" w:type="dxa"/>
            <w:vAlign w:val="bottom"/>
          </w:tcPr>
          <w:p>
            <w:pPr>
              <w:jc w:val="right"/>
              <w:spacing w:after="0"/>
              <w:rPr>
                <w:sz w:val="20"/>
                <w:szCs w:val="20"/>
                <w:color w:val="auto"/>
              </w:rPr>
            </w:pPr>
            <w:r>
              <w:rPr>
                <w:rFonts w:ascii="Arial" w:cs="Arial" w:eastAsia="Arial" w:hAnsi="Arial"/>
                <w:sz w:val="18"/>
                <w:szCs w:val="18"/>
                <w:color w:val="auto"/>
              </w:rPr>
              <w:t>1,669,355</w:t>
            </w:r>
          </w:p>
        </w:tc>
        <w:tc>
          <w:tcPr>
            <w:tcW w:w="3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(16,417)</w:t>
            </w: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2,106,142</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(13,695)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3,138,841</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(84,892)</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3,067</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61,159</w:t>
            </w:r>
          </w:p>
        </w:tc>
        <w:tc>
          <w:tcPr>
            <w:tcW w:w="3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(10,449)</w:t>
            </w: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(a)</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18,162</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r>
      <w:tr>
        <w:trPr>
          <w:trHeight w:val="20"/>
        </w:trPr>
        <w:tc>
          <w:tcPr>
            <w:tcW w:w="6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2,387,341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(15,482)</w:t>
            </w:r>
          </w:p>
        </w:tc>
        <w:tc>
          <w:tcPr>
            <w:tcW w:w="940" w:type="dxa"/>
            <w:vAlign w:val="bottom"/>
          </w:tcPr>
          <w:p>
            <w:pPr>
              <w:jc w:val="right"/>
              <w:spacing w:after="0"/>
              <w:rPr>
                <w:sz w:val="20"/>
                <w:szCs w:val="20"/>
                <w:color w:val="auto"/>
              </w:rPr>
            </w:pPr>
            <w:r>
              <w:rPr>
                <w:rFonts w:ascii="Arial" w:cs="Arial" w:eastAsia="Arial" w:hAnsi="Arial"/>
                <w:sz w:val="18"/>
                <w:szCs w:val="18"/>
                <w:color w:val="auto"/>
              </w:rPr>
              <w:t>4,887,991</w:t>
            </w:r>
          </w:p>
        </w:tc>
        <w:tc>
          <w:tcPr>
            <w:tcW w:w="3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(112,184)</w:t>
            </w:r>
          </w:p>
        </w:tc>
      </w:tr>
      <w:tr>
        <w:trPr>
          <w:trHeight w:val="236"/>
        </w:trPr>
        <w:tc>
          <w:tcPr>
            <w:tcW w:w="65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1,331,759</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(7,036)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265,695</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(6,710)</w:t>
            </w: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5,061</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(1,216)</w:t>
            </w:r>
          </w:p>
        </w:tc>
        <w:tc>
          <w:tcPr>
            <w:tcW w:w="940" w:type="dxa"/>
            <w:vAlign w:val="bottom"/>
          </w:tcPr>
          <w:p>
            <w:pPr>
              <w:jc w:val="right"/>
              <w:spacing w:after="0"/>
              <w:rPr>
                <w:sz w:val="20"/>
                <w:szCs w:val="20"/>
                <w:color w:val="auto"/>
              </w:rPr>
            </w:pPr>
            <w:r>
              <w:rPr>
                <w:rFonts w:ascii="Arial" w:cs="Arial" w:eastAsia="Arial" w:hAnsi="Arial"/>
                <w:sz w:val="18"/>
                <w:szCs w:val="18"/>
                <w:color w:val="auto"/>
              </w:rPr>
              <w:t>55,255</w:t>
            </w:r>
          </w:p>
        </w:tc>
        <w:tc>
          <w:tcPr>
            <w:tcW w:w="3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(26,359)</w:t>
            </w:r>
          </w:p>
        </w:tc>
      </w:tr>
      <w:tr>
        <w:trPr>
          <w:trHeight w:val="20"/>
        </w:trPr>
        <w:tc>
          <w:tcPr>
            <w:tcW w:w="6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1,339,774</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(8,256)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327,060</w:t>
            </w: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(33,114)</w:t>
            </w:r>
          </w:p>
        </w:tc>
      </w:tr>
      <w:tr>
        <w:trPr>
          <w:trHeight w:val="20"/>
        </w:trPr>
        <w:tc>
          <w:tcPr>
            <w:tcW w:w="6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3,727,115</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(23,738)</w:t>
            </w:r>
          </w:p>
        </w:tc>
        <w:tc>
          <w:tcPr>
            <w:tcW w:w="940" w:type="dxa"/>
            <w:vAlign w:val="bottom"/>
          </w:tcPr>
          <w:p>
            <w:pPr>
              <w:jc w:val="right"/>
              <w:spacing w:after="0"/>
              <w:rPr>
                <w:sz w:val="20"/>
                <w:szCs w:val="20"/>
                <w:color w:val="auto"/>
              </w:rPr>
            </w:pPr>
            <w:r>
              <w:rPr>
                <w:rFonts w:ascii="Arial" w:cs="Arial" w:eastAsia="Arial" w:hAnsi="Arial"/>
                <w:sz w:val="18"/>
                <w:szCs w:val="18"/>
                <w:color w:val="auto"/>
              </w:rPr>
              <w:t>5,215,051</w:t>
            </w:r>
          </w:p>
        </w:tc>
        <w:tc>
          <w:tcPr>
            <w:tcW w:w="3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(145,298)</w:t>
            </w:r>
          </w:p>
        </w:tc>
      </w:tr>
      <w:tr>
        <w:trPr>
          <w:trHeight w:val="20"/>
        </w:trPr>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80" w:hanging="572"/>
        <w:spacing w:after="0" w:line="263" w:lineRule="auto"/>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Beginning January 1, 2018, equity securities with readily determinable fair values are required to be measured at fair value with changes in fair value recognized in the consolidated statement of income. As a result, subsequent to December 31, 2017 disclosing the time period for which these equity securities had been in a continuous unrealized loss position is no longer relevant.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55"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223"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The Company owned 1,503 individual debt securities with aggregate gross unrealized losses of $425 million at September 30, 2018. Based on a review of each of the securities in the investment securities portfolio at September 30, 2018, the Company concluded that it expected to recover the amortized cost basis of its investment. As of September 30, 2018, the Company does not intend to sell nor is it anticipated that it would be required to sell any of its impaired investment securities at a loss. At September 30, 2018, the Company has not identified events or changes in circumstances which may have a significant adverse effect on the fair value of the $411 million of cost method equity securities.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September 30, 2018 and December 31, 2017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Accruing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Loans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Accruing</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Acquired at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Loans Past</w:t>
            </w:r>
          </w:p>
        </w:tc>
        <w:tc>
          <w:tcPr>
            <w:tcW w:w="2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 Discount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Due 90</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Past Due</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30-89 Days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Days or</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90 days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Purchased</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Past Due</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More (a)</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or More (b)</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Impaired (c)</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Nonaccrual</w:t>
            </w: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$21,317,925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81,323</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234,656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$21,635,394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24,650,660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97,630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4,277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207,584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25,022,535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1,631,501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20" w:type="dxa"/>
            <w:vAlign w:val="bottom"/>
          </w:tcPr>
          <w:p>
            <w:pPr>
              <w:jc w:val="right"/>
              <w:spacing w:after="0"/>
              <w:rPr>
                <w:sz w:val="20"/>
                <w:szCs w:val="20"/>
                <w:color w:val="auto"/>
              </w:rPr>
            </w:pPr>
            <w:r>
              <w:rPr>
                <w:rFonts w:ascii="Arial" w:cs="Arial" w:eastAsia="Arial" w:hAnsi="Arial"/>
                <w:sz w:val="18"/>
                <w:szCs w:val="18"/>
                <w:color w:val="auto"/>
              </w:rPr>
              <w:t>6,792,917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39,598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18,887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6,852,429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13,989,937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437,170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193,604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7,065</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224,618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227,619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15,080,013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20" w:type="dxa"/>
            <w:vAlign w:val="bottom"/>
          </w:tcPr>
          <w:p>
            <w:pPr>
              <w:jc w:val="right"/>
              <w:spacing w:after="0"/>
              <w:rPr>
                <w:sz w:val="20"/>
                <w:szCs w:val="20"/>
                <w:color w:val="auto"/>
              </w:rPr>
            </w:pPr>
            <w:r>
              <w:rPr>
                <w:rFonts w:ascii="Arial" w:cs="Arial" w:eastAsia="Arial" w:hAnsi="Arial"/>
                <w:sz w:val="18"/>
                <w:szCs w:val="18"/>
                <w:color w:val="auto"/>
              </w:rPr>
              <w:t>2,373,778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93,582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90,843</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82,454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2,641,386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20" w:type="dxa"/>
            <w:vAlign w:val="bottom"/>
          </w:tcPr>
          <w:p>
            <w:pPr>
              <w:jc w:val="right"/>
              <w:spacing w:after="0"/>
              <w:rPr>
                <w:sz w:val="20"/>
                <w:szCs w:val="20"/>
                <w:color w:val="auto"/>
              </w:rPr>
            </w:pPr>
            <w:r>
              <w:rPr>
                <w:rFonts w:ascii="Arial" w:cs="Arial" w:eastAsia="Arial" w:hAnsi="Arial"/>
                <w:sz w:val="18"/>
                <w:szCs w:val="18"/>
                <w:color w:val="auto"/>
              </w:rPr>
              <w:t>4,850,989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35,212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66,303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3,527,867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71,184</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5,144,471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41,992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27,957</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9,594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5,228,119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84,280,045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905,045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870,832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86,680,485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$21,332,234</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167,756</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240,991</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$21,742,651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24,910,381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166,305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6,016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184,982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25,288,943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1,618,973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20" w:type="dxa"/>
            <w:vAlign w:val="bottom"/>
          </w:tcPr>
          <w:p>
            <w:pPr>
              <w:jc w:val="right"/>
              <w:spacing w:after="0"/>
              <w:rPr>
                <w:sz w:val="20"/>
                <w:szCs w:val="20"/>
                <w:color w:val="auto"/>
              </w:rPr>
            </w:pPr>
            <w:r>
              <w:rPr>
                <w:rFonts w:ascii="Arial" w:cs="Arial" w:eastAsia="Arial" w:hAnsi="Arial"/>
                <w:sz w:val="18"/>
                <w:szCs w:val="18"/>
                <w:color w:val="auto"/>
              </w:rPr>
              <w:t>6,407,451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23,467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4,706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15,376,759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474,372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233,437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282,102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16,610,086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20" w:type="dxa"/>
            <w:vAlign w:val="bottom"/>
          </w:tcPr>
          <w:p>
            <w:pPr>
              <w:jc w:val="right"/>
              <w:spacing w:after="0"/>
              <w:rPr>
                <w:sz w:val="20"/>
                <w:szCs w:val="20"/>
                <w:color w:val="auto"/>
              </w:rPr>
            </w:pPr>
            <w:r>
              <w:rPr>
                <w:rFonts w:ascii="Arial" w:cs="Arial" w:eastAsia="Arial" w:hAnsi="Arial"/>
                <w:sz w:val="18"/>
                <w:szCs w:val="18"/>
                <w:color w:val="auto"/>
              </w:rPr>
              <w:t>2,718,019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83,898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105,236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96,105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3,003,258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20" w:type="dxa"/>
            <w:vAlign w:val="bottom"/>
          </w:tcPr>
          <w:p>
            <w:pPr>
              <w:jc w:val="right"/>
              <w:spacing w:after="0"/>
              <w:rPr>
                <w:sz w:val="20"/>
                <w:szCs w:val="20"/>
                <w:color w:val="auto"/>
              </w:rPr>
            </w:pPr>
            <w:r>
              <w:rPr>
                <w:rFonts w:ascii="Arial" w:cs="Arial" w:eastAsia="Arial" w:hAnsi="Arial"/>
                <w:sz w:val="18"/>
                <w:szCs w:val="18"/>
                <w:color w:val="auto"/>
              </w:rPr>
              <w:t>5,171,345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38,546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9,391</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74,500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5,293,782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3,441,371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4,349,071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40,929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24,102</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4,429,170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85,325,604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1,078,943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87,988,983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72"/>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8" w:lineRule="exact"/>
        <w:rPr>
          <w:rFonts w:ascii="Arial" w:cs="Arial" w:eastAsia="Arial" w:hAnsi="Arial"/>
          <w:sz w:val="18"/>
          <w:szCs w:val="18"/>
          <w:i w:val="1"/>
          <w:iCs w:val="1"/>
          <w:color w:val="auto"/>
        </w:rPr>
      </w:pPr>
    </w:p>
    <w:p>
      <w:pPr>
        <w:ind w:left="520" w:right="20" w:hanging="512"/>
        <w:spacing w:after="0" w:line="250"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20" w:hanging="512"/>
        <w:spacing w:after="0"/>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97"/>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3"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One-to-four family residential mortgage loans held for sale were $258 million and $356 million at September 30, 2018 and December 31, 2017, respectively. Commercial real estate loans held for sale were $381 million at September 30, 2018 and $22 million at December 31, 2017.</w:t>
      </w:r>
    </w:p>
    <w:p>
      <w:pPr>
        <w:spacing w:after="0" w:line="7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color w:val="auto"/>
              </w:rPr>
              <w:t>September 30,</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r>
      <w:tr>
        <w:trPr>
          <w:trHeight w:val="167"/>
        </w:trPr>
        <w:tc>
          <w:tcPr>
            <w:tcW w:w="6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176"/>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3"/>
          </w:tcPr>
          <w:p>
            <w:pPr>
              <w:jc w:val="right"/>
              <w:ind w:right="635"/>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5"/>
                <w:szCs w:val="15"/>
                <w:color w:val="auto"/>
              </w:rPr>
            </w:pPr>
          </w:p>
        </w:tc>
      </w:tr>
      <w:tr>
        <w:trPr>
          <w:trHeight w:val="209"/>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1,124,232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1,394,188</w:t>
            </w:r>
          </w:p>
        </w:tc>
        <w:tc>
          <w:tcPr>
            <w:tcW w:w="8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Carrying amount: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31,105</w:t>
            </w:r>
          </w:p>
        </w:tc>
        <w:tc>
          <w:tcPr>
            <w:tcW w:w="8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165,431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228,054</w:t>
            </w:r>
          </w:p>
        </w:tc>
        <w:tc>
          <w:tcPr>
            <w:tcW w:w="8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507,475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620,827</w:t>
            </w:r>
          </w:p>
        </w:tc>
        <w:tc>
          <w:tcPr>
            <w:tcW w:w="80" w:type="dxa"/>
            <w:vAlign w:val="bottom"/>
            <w:shd w:val="clear" w:color="auto" w:fill="CFF0FC"/>
          </w:tcPr>
          <w:p>
            <w:pPr>
              <w:spacing w:after="0"/>
              <w:rPr>
                <w:sz w:val="19"/>
                <w:szCs w:val="19"/>
                <w:color w:val="auto"/>
              </w:rPr>
            </w:pPr>
          </w:p>
        </w:tc>
      </w:tr>
      <w:tr>
        <w:trPr>
          <w:trHeight w:val="229"/>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97,125</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123,413</w:t>
            </w:r>
          </w:p>
        </w:tc>
        <w:tc>
          <w:tcPr>
            <w:tcW w:w="8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796,504</w:t>
            </w: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1,003,399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9"/>
          <w:szCs w:val="19"/>
          <w:color w:val="auto"/>
        </w:rPr>
        <w:t>Purchased impaired loans included in the table above totaled $326 million at September 30, 2018 and $410 million at December 31, 2017, representing less than 1% of the Company’s assets as of each date. A summary of changes in the accretable yield for loans acquired at a discount for the three months and nine months ended September 30, 2018 and 2017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7"/>
          </w:tcPr>
          <w:p>
            <w:pPr>
              <w:ind w:left="100"/>
              <w:spacing w:after="0"/>
              <w:rPr>
                <w:sz w:val="20"/>
                <w:szCs w:val="20"/>
                <w:color w:val="auto"/>
              </w:rPr>
            </w:pPr>
            <w:r>
              <w:rPr>
                <w:rFonts w:ascii="Arial" w:cs="Arial" w:eastAsia="Arial" w:hAnsi="Arial"/>
                <w:sz w:val="14"/>
                <w:szCs w:val="14"/>
                <w:color w:val="auto"/>
                <w:w w:val="97"/>
              </w:rPr>
              <w:t>Three 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color w:val="auto"/>
              </w:rPr>
              <w:t>2017</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80"/>
              <w:spacing w:after="0" w:line="150" w:lineRule="exact"/>
              <w:rPr>
                <w:sz w:val="20"/>
                <w:szCs w:val="20"/>
                <w:color w:val="auto"/>
              </w:rPr>
            </w:pPr>
            <w:r>
              <w:rPr>
                <w:rFonts w:ascii="Arial" w:cs="Arial" w:eastAsia="Arial" w:hAnsi="Arial"/>
                <w:sz w:val="14"/>
                <w:szCs w:val="14"/>
                <w:color w:val="auto"/>
                <w:w w:val="86"/>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7"/>
              <w:spacing w:after="0" w:line="150" w:lineRule="exact"/>
              <w:rPr>
                <w:sz w:val="20"/>
                <w:szCs w:val="20"/>
                <w:color w:val="auto"/>
              </w:rPr>
            </w:pPr>
            <w:r>
              <w:rPr>
                <w:rFonts w:ascii="Arial" w:cs="Arial" w:eastAsia="Arial" w:hAnsi="Arial"/>
                <w:sz w:val="14"/>
                <w:szCs w:val="14"/>
                <w:color w:val="auto"/>
                <w:w w:val="91"/>
              </w:rPr>
              <w:t>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0" w:lineRule="exact"/>
              <w:rPr>
                <w:sz w:val="20"/>
                <w:szCs w:val="20"/>
                <w:color w:val="auto"/>
              </w:rPr>
            </w:pPr>
            <w:r>
              <w:rPr>
                <w:rFonts w:ascii="Arial" w:cs="Arial" w:eastAsia="Arial" w:hAnsi="Arial"/>
                <w:sz w:val="14"/>
                <w:szCs w:val="14"/>
                <w:color w:val="auto"/>
                <w:w w:val="89"/>
              </w:rPr>
              <w:t>Purchased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5"/>
              <w:spacing w:after="0" w:line="150"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3"/>
                <w:szCs w:val="13"/>
                <w:color w:val="auto"/>
              </w:rPr>
            </w:pPr>
          </w:p>
        </w:tc>
      </w:tr>
      <w:tr>
        <w:trPr>
          <w:trHeight w:val="167"/>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Impaired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Acquired</w:t>
            </w: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Impaired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Acquired</w:t>
            </w:r>
          </w:p>
        </w:tc>
      </w:tr>
      <w:tr>
        <w:trPr>
          <w:trHeight w:val="176"/>
        </w:trPr>
        <w:tc>
          <w:tcPr>
            <w:tcW w:w="4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jc w:val="right"/>
              <w:ind w:right="760"/>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38"/>
        </w:trPr>
        <w:tc>
          <w:tcPr>
            <w:tcW w:w="47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149,388</w:t>
            </w:r>
          </w:p>
        </w:tc>
        <w:tc>
          <w:tcPr>
            <w:tcW w:w="16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117,715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133,532</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163,099</w:t>
            </w:r>
          </w:p>
        </w:tc>
        <w:tc>
          <w:tcPr>
            <w:tcW w:w="80" w:type="dxa"/>
            <w:vAlign w:val="bottom"/>
          </w:tcPr>
          <w:p>
            <w:pPr>
              <w:spacing w:after="0"/>
              <w:rPr>
                <w:sz w:val="24"/>
                <w:szCs w:val="24"/>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(18,001)</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(20,064)</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Reclassifications from nonaccretable balance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6,041</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101,740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150,621</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8"/>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color w:val="auto"/>
              </w:rPr>
              <w:t>2017</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80"/>
              <w:spacing w:after="0" w:line="150" w:lineRule="exact"/>
              <w:rPr>
                <w:sz w:val="20"/>
                <w:szCs w:val="20"/>
                <w:color w:val="auto"/>
              </w:rPr>
            </w:pPr>
            <w:r>
              <w:rPr>
                <w:rFonts w:ascii="Arial" w:cs="Arial" w:eastAsia="Arial" w:hAnsi="Arial"/>
                <w:sz w:val="14"/>
                <w:szCs w:val="14"/>
                <w:color w:val="auto"/>
                <w:w w:val="86"/>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7"/>
              <w:spacing w:after="0" w:line="150" w:lineRule="exact"/>
              <w:rPr>
                <w:sz w:val="20"/>
                <w:szCs w:val="20"/>
                <w:color w:val="auto"/>
              </w:rPr>
            </w:pPr>
            <w:r>
              <w:rPr>
                <w:rFonts w:ascii="Arial" w:cs="Arial" w:eastAsia="Arial" w:hAnsi="Arial"/>
                <w:sz w:val="14"/>
                <w:szCs w:val="14"/>
                <w:color w:val="auto"/>
                <w:w w:val="91"/>
              </w:rPr>
              <w:t>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0" w:lineRule="exact"/>
              <w:rPr>
                <w:sz w:val="20"/>
                <w:szCs w:val="20"/>
                <w:color w:val="auto"/>
              </w:rPr>
            </w:pPr>
            <w:r>
              <w:rPr>
                <w:rFonts w:ascii="Arial" w:cs="Arial" w:eastAsia="Arial" w:hAnsi="Arial"/>
                <w:sz w:val="14"/>
                <w:szCs w:val="14"/>
                <w:color w:val="auto"/>
                <w:w w:val="89"/>
              </w:rPr>
              <w:t>Purchased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5"/>
              <w:spacing w:after="0" w:line="150"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3"/>
                <w:szCs w:val="13"/>
                <w:color w:val="auto"/>
              </w:rPr>
            </w:pPr>
          </w:p>
        </w:tc>
      </w:tr>
      <w:tr>
        <w:trPr>
          <w:trHeight w:val="167"/>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Impaired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Acquired</w:t>
            </w: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Impaired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Acquired</w:t>
            </w:r>
          </w:p>
        </w:tc>
      </w:tr>
      <w:tr>
        <w:trPr>
          <w:trHeight w:val="176"/>
        </w:trPr>
        <w:tc>
          <w:tcPr>
            <w:tcW w:w="4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jc w:val="right"/>
              <w:ind w:right="760"/>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157,918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133,162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154,233</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201,153</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(48,507)</w:t>
            </w: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(66,505)</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Other (a)</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380" w:hanging="372"/>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September 30,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0" w:type="dxa"/>
            <w:vAlign w:val="bottom"/>
            <w:gridSpan w:val="3"/>
          </w:tcPr>
          <w:p>
            <w:pPr>
              <w:jc w:val="center"/>
              <w:ind w:left="1134"/>
              <w:spacing w:after="0"/>
              <w:rPr>
                <w:sz w:val="20"/>
                <w:szCs w:val="20"/>
                <w:color w:val="auto"/>
              </w:rPr>
            </w:pPr>
            <w:r>
              <w:rPr>
                <w:rFonts w:ascii="Arial" w:cs="Arial" w:eastAsia="Arial" w:hAnsi="Arial"/>
                <w:sz w:val="14"/>
                <w:szCs w:val="14"/>
                <w:color w:val="auto"/>
                <w:w w:val="94"/>
              </w:rPr>
              <w:t>Commercial,</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4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6"/>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8"/>
        </w:trPr>
        <w:tc>
          <w:tcPr>
            <w:tcW w:w="3580" w:type="dxa"/>
            <w:vAlign w:val="bottom"/>
          </w:tcPr>
          <w:p>
            <w:pPr>
              <w:spacing w:after="0"/>
              <w:rPr>
                <w:sz w:val="20"/>
                <w:szCs w:val="20"/>
                <w:color w:val="auto"/>
              </w:rPr>
            </w:pPr>
            <w:r>
              <w:rPr>
                <w:rFonts w:ascii="Arial" w:cs="Arial" w:eastAsia="Arial" w:hAnsi="Arial"/>
                <w:sz w:val="18"/>
                <w:szCs w:val="18"/>
                <w:color w:val="auto"/>
              </w:rPr>
              <w:t>Beginning balance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$ 328,830</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353,761</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76,123</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182,987</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77,547</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$ 1,019,248</w:t>
            </w:r>
          </w:p>
        </w:tc>
        <w:tc>
          <w:tcPr>
            <w:tcW w:w="120" w:type="dxa"/>
            <w:vAlign w:val="bottom"/>
          </w:tcPr>
          <w:p>
            <w:pPr>
              <w:spacing w:after="0"/>
              <w:rPr>
                <w:sz w:val="24"/>
                <w:szCs w:val="24"/>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6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(6,972)</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(11,394)</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Net charge-offs</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(11,792)</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(1,941)</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(3,338)</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(34,995)</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(52,066)</w:t>
            </w: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7,123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14,577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12,951</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36,306</w:t>
            </w:r>
          </w:p>
        </w:tc>
        <w:tc>
          <w:tcPr>
            <w:tcW w:w="120" w:type="dxa"/>
            <w:vAlign w:val="bottom"/>
          </w:tcPr>
          <w:p>
            <w:pPr>
              <w:spacing w:after="0"/>
              <w:rPr>
                <w:sz w:val="19"/>
                <w:szCs w:val="19"/>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5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12,636</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(22,044)</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Ending balance</w:t>
            </w:r>
          </w:p>
        </w:tc>
        <w:tc>
          <w:tcPr>
            <w:tcW w:w="1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$ 317,189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355,003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193,830</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$ 1,019,488</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September 30, 2017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Commercial,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Financial,</w:t>
            </w:r>
          </w:p>
        </w:tc>
        <w:tc>
          <w:tcPr>
            <w:tcW w:w="12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140" w:type="dxa"/>
            <w:vAlign w:val="bottom"/>
          </w:tcPr>
          <w:p>
            <w:pPr>
              <w:spacing w:after="0"/>
              <w:rPr>
                <w:sz w:val="13"/>
                <w:szCs w:val="13"/>
                <w:color w:val="auto"/>
              </w:rPr>
            </w:pPr>
          </w:p>
        </w:tc>
        <w:tc>
          <w:tcPr>
            <w:tcW w:w="94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w w:val="93"/>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5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8"/>
        </w:trPr>
        <w:tc>
          <w:tcPr>
            <w:tcW w:w="514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$ 339,314</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$ 366,229</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66,006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158,559</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78,117</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$ 1,008,225</w:t>
            </w:r>
          </w:p>
        </w:tc>
        <w:tc>
          <w:tcPr>
            <w:tcW w:w="100" w:type="dxa"/>
            <w:vAlign w:val="bottom"/>
          </w:tcPr>
          <w:p>
            <w:pPr>
              <w:spacing w:after="0"/>
              <w:rPr>
                <w:sz w:val="24"/>
                <w:szCs w:val="24"/>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(7,699)</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33,886</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(9,714)</w:t>
            </w: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(258)</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(4,206)</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(32,874)</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(47,052)</w:t>
            </w: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740" w:type="dxa"/>
            <w:vAlign w:val="bottom"/>
          </w:tcPr>
          <w:p>
            <w:pPr>
              <w:jc w:val="right"/>
              <w:spacing w:after="0"/>
              <w:rPr>
                <w:sz w:val="20"/>
                <w:szCs w:val="20"/>
                <w:color w:val="auto"/>
              </w:rPr>
            </w:pPr>
            <w:r>
              <w:rPr>
                <w:rFonts w:ascii="Arial" w:cs="Arial" w:eastAsia="Arial" w:hAnsi="Arial"/>
                <w:sz w:val="18"/>
                <w:szCs w:val="18"/>
                <w:color w:val="auto"/>
              </w:rPr>
              <w:t>4,423</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5,895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9,807</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22,153</w:t>
            </w:r>
          </w:p>
        </w:tc>
        <w:tc>
          <w:tcPr>
            <w:tcW w:w="100" w:type="dxa"/>
            <w:vAlign w:val="bottom"/>
          </w:tcPr>
          <w:p>
            <w:pPr>
              <w:spacing w:after="0"/>
              <w:rPr>
                <w:sz w:val="19"/>
                <w:szCs w:val="19"/>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(23,067)</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$ 336,474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$ 364,167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65,095</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169,378</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78,212</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$ 1,013,326</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0" w:type="dxa"/>
            <w:vAlign w:val="bottom"/>
            <w:gridSpan w:val="3"/>
          </w:tcPr>
          <w:p>
            <w:pPr>
              <w:jc w:val="center"/>
              <w:ind w:left="1133"/>
              <w:spacing w:after="0"/>
              <w:rPr>
                <w:sz w:val="20"/>
                <w:szCs w:val="20"/>
                <w:color w:val="auto"/>
              </w:rPr>
            </w:pPr>
            <w:r>
              <w:rPr>
                <w:rFonts w:ascii="Arial" w:cs="Arial" w:eastAsia="Arial" w:hAnsi="Arial"/>
                <w:sz w:val="14"/>
                <w:szCs w:val="14"/>
                <w:color w:val="auto"/>
                <w:w w:val="94"/>
              </w:rPr>
              <w:t>Commercial,</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4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6"/>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Consumer</w:t>
            </w: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4"/>
              </w:rPr>
              <w:t>Unallocated</w:t>
            </w: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78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Beginning balance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$ 328,599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374,085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170,809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$ 1,017,198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11,508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(27,464)</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16,469</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93,502</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Net charge-offs</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(41,273)</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(7,855)</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(11,658)</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(105,479)</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(166,265)</w:t>
            </w:r>
          </w:p>
        </w:tc>
        <w:tc>
          <w:tcPr>
            <w:tcW w:w="20" w:type="dxa"/>
            <w:vAlign w:val="bottom"/>
          </w:tcPr>
          <w:p>
            <w:pPr>
              <w:spacing w:after="0"/>
              <w:rPr>
                <w:sz w:val="19"/>
                <w:szCs w:val="19"/>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18,355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16,237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34,998</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74,555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5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(22,918)</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(6,693)</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(70,481)</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Ending balance</w:t>
            </w:r>
          </w:p>
        </w:tc>
        <w:tc>
          <w:tcPr>
            <w:tcW w:w="1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$ 317,189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355,003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$ 1,019,488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580" w:type="dxa"/>
            <w:vAlign w:val="bottom"/>
          </w:tcPr>
          <w:p>
            <w:pPr>
              <w:spacing w:after="0"/>
              <w:rPr>
                <w:sz w:val="24"/>
                <w:szCs w:val="24"/>
                <w:color w:val="auto"/>
              </w:rPr>
            </w:pPr>
          </w:p>
        </w:tc>
        <w:tc>
          <w:tcPr>
            <w:tcW w:w="2600" w:type="dxa"/>
            <w:vAlign w:val="bottom"/>
            <w:gridSpan w:val="3"/>
          </w:tcPr>
          <w:p>
            <w:pPr>
              <w:jc w:val="right"/>
              <w:ind w:right="280"/>
              <w:spacing w:after="0"/>
              <w:rPr>
                <w:sz w:val="20"/>
                <w:szCs w:val="20"/>
                <w:color w:val="auto"/>
              </w:rPr>
            </w:pPr>
            <w:r>
              <w:rPr>
                <w:rFonts w:ascii="Arial" w:cs="Arial" w:eastAsia="Arial" w:hAnsi="Arial"/>
                <w:sz w:val="18"/>
                <w:szCs w:val="18"/>
                <w:color w:val="auto"/>
              </w:rPr>
              <w:t>- 13 -</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2017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0" w:type="dxa"/>
            <w:vAlign w:val="bottom"/>
            <w:gridSpan w:val="3"/>
          </w:tcPr>
          <w:p>
            <w:pPr>
              <w:jc w:val="center"/>
              <w:ind w:left="1134"/>
              <w:spacing w:after="0"/>
              <w:rPr>
                <w:sz w:val="20"/>
                <w:szCs w:val="20"/>
                <w:color w:val="auto"/>
              </w:rPr>
            </w:pPr>
            <w:r>
              <w:rPr>
                <w:rFonts w:ascii="Arial" w:cs="Arial" w:eastAsia="Arial" w:hAnsi="Arial"/>
                <w:sz w:val="14"/>
                <w:szCs w:val="14"/>
                <w:color w:val="auto"/>
                <w:w w:val="94"/>
              </w:rPr>
              <w:t>Commercial,</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center"/>
              <w:ind w:right="241"/>
              <w:spacing w:after="0"/>
              <w:rPr>
                <w:sz w:val="20"/>
                <w:szCs w:val="20"/>
                <w:color w:val="auto"/>
              </w:rPr>
            </w:pPr>
            <w:r>
              <w:rPr>
                <w:rFonts w:ascii="Arial" w:cs="Arial" w:eastAsia="Arial" w:hAnsi="Arial"/>
                <w:sz w:val="14"/>
                <w:szCs w:val="14"/>
                <w:color w:val="auto"/>
                <w:w w:val="96"/>
              </w:rPr>
              <w:t>Financial,</w:t>
            </w:r>
          </w:p>
        </w:tc>
        <w:tc>
          <w:tcPr>
            <w:tcW w:w="2140" w:type="dxa"/>
            <w:vAlign w:val="bottom"/>
            <w:gridSpan w:val="4"/>
          </w:tcPr>
          <w:p>
            <w:pPr>
              <w:jc w:val="right"/>
              <w:ind w:right="821"/>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60" w:type="dxa"/>
            <w:vAlign w:val="bottom"/>
            <w:gridSpan w:val="2"/>
          </w:tcPr>
          <w:p>
            <w:pPr>
              <w:jc w:val="center"/>
              <w:ind w:right="241"/>
              <w:spacing w:after="0" w:line="155" w:lineRule="exact"/>
              <w:rPr>
                <w:sz w:val="20"/>
                <w:szCs w:val="20"/>
                <w:color w:val="auto"/>
              </w:rPr>
            </w:pPr>
            <w:r>
              <w:rPr>
                <w:rFonts w:ascii="Arial" w:cs="Arial" w:eastAsia="Arial" w:hAnsi="Arial"/>
                <w:sz w:val="14"/>
                <w:szCs w:val="14"/>
                <w:color w:val="auto"/>
                <w:w w:val="93"/>
              </w:rPr>
              <w:t>Leasing, etc.</w:t>
            </w:r>
          </w:p>
        </w:tc>
        <w:tc>
          <w:tcPr>
            <w:tcW w:w="10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6"/>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21"/>
              <w:spacing w:after="0" w:line="155" w:lineRule="exact"/>
              <w:rPr>
                <w:sz w:val="20"/>
                <w:szCs w:val="20"/>
                <w:color w:val="auto"/>
              </w:rPr>
            </w:pPr>
            <w:r>
              <w:rPr>
                <w:rFonts w:ascii="Arial" w:cs="Arial" w:eastAsia="Arial" w:hAnsi="Arial"/>
                <w:sz w:val="14"/>
                <w:szCs w:val="14"/>
                <w:color w:val="auto"/>
                <w:w w:val="99"/>
              </w:rPr>
              <w:t>Consumer</w:t>
            </w: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21"/>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681"/>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Beginning balance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$ 330,833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44,642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137,000</w:t>
            </w: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Net charge-offs</w:t>
            </w: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0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(51,318)</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(7,556)</w:t>
            </w:r>
          </w:p>
        </w:tc>
        <w:tc>
          <w:tcPr>
            <w:tcW w:w="10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(16,364)</w:t>
            </w:r>
          </w:p>
        </w:tc>
        <w:tc>
          <w:tcPr>
            <w:tcW w:w="10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(96,060)</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(171,298)</w:t>
            </w: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12,317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32,242</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58,627</w:t>
            </w:r>
          </w:p>
        </w:tc>
        <w:tc>
          <w:tcPr>
            <w:tcW w:w="120" w:type="dxa"/>
            <w:vAlign w:val="bottom"/>
          </w:tcPr>
          <w:p>
            <w:pPr>
              <w:spacing w:after="0"/>
              <w:rPr>
                <w:sz w:val="19"/>
                <w:szCs w:val="19"/>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5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(39,001</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(10,099</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(63,818</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(112,671</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Ending balance</w:t>
            </w:r>
          </w:p>
        </w:tc>
        <w:tc>
          <w:tcPr>
            <w:tcW w:w="1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$ 336,474</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364,167</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1,013,326</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w:t>
      </w:r>
    </w:p>
    <w:p>
      <w:pPr>
        <w:spacing w:after="0" w:line="6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right="20" w:firstLine="518"/>
        <w:spacing w:after="0" w:line="289" w:lineRule="auto"/>
        <w:rPr>
          <w:sz w:val="20"/>
          <w:szCs w:val="20"/>
          <w:color w:val="auto"/>
        </w:rPr>
      </w:pPr>
      <w:r>
        <w:rPr>
          <w:rFonts w:ascii="Arial" w:cs="Arial" w:eastAsia="Arial" w:hAnsi="Arial"/>
          <w:sz w:val="18"/>
          <w:szCs w:val="18"/>
          <w:color w:val="auto"/>
        </w:rPr>
        <w:t>I</w:t>
      </w:r>
      <w:r>
        <w:rPr>
          <w:rFonts w:ascii="Arial" w:cs="Arial" w:eastAsia="Arial" w:hAnsi="Arial"/>
          <w:sz w:val="20"/>
          <w:szCs w:val="20"/>
          <w:color w:val="auto"/>
        </w:rPr>
        <w:t>nformation with respect to loans and leases that were considered impaired as of September 30, 2018 and December 31, 2017 and</w:t>
      </w:r>
      <w:r>
        <w:rPr>
          <w:rFonts w:ascii="Arial" w:cs="Arial" w:eastAsia="Arial" w:hAnsi="Arial"/>
          <w:sz w:val="18"/>
          <w:szCs w:val="18"/>
          <w:color w:val="auto"/>
        </w:rPr>
        <w:t xml:space="preserve"> </w:t>
      </w:r>
      <w:r>
        <w:rPr>
          <w:rFonts w:ascii="Arial" w:cs="Arial" w:eastAsia="Arial" w:hAnsi="Arial"/>
          <w:sz w:val="20"/>
          <w:szCs w:val="20"/>
          <w:color w:val="auto"/>
        </w:rPr>
        <w:t>for the three-month and nine-month periods ended September 30, 2018 and 2017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89"/>
              </w:rPr>
              <w:t>September 30, 2018</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December 31, 2017</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4"/>
              </w:rPr>
              <w:t>Unpaid</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300"/>
              <w:spacing w:after="0" w:line="137" w:lineRule="exact"/>
              <w:rPr>
                <w:sz w:val="20"/>
                <w:szCs w:val="20"/>
                <w:color w:val="auto"/>
              </w:rPr>
            </w:pPr>
            <w:r>
              <w:rPr>
                <w:rFonts w:ascii="Arial" w:cs="Arial" w:eastAsia="Arial" w:hAnsi="Arial"/>
                <w:sz w:val="14"/>
                <w:szCs w:val="14"/>
                <w:color w:val="auto"/>
                <w:w w:val="94"/>
              </w:rPr>
              <w:t>Unpaid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8"/>
              </w:rPr>
              <w:t>Recorded</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Principal</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Principal</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r>
      <w:tr>
        <w:trPr>
          <w:trHeight w:val="167"/>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Balance</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Allowance</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Balance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Allowance</w:t>
            </w:r>
          </w:p>
        </w:tc>
        <w:tc>
          <w:tcPr>
            <w:tcW w:w="2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$ 171,272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193,161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46,554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177,250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194,257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123,451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135,167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75,084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11,287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11,650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20,357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122,627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145,231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101,724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122,602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75,183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91,149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92,439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48,711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53,869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11,536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17,010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5,872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573,760</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658,137</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499,152</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585,903</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115,654</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115,327</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104,753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114,998</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138,356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149,716</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11,428</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19,742</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18,980</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218,384</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273,186</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261,157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314,587</w:t>
            </w:r>
          </w:p>
        </w:tc>
        <w:tc>
          <w:tcPr>
            <w:tcW w:w="3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255,507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308,815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46,554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309,584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228,204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250,165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205,555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224,800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7,956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18,985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23,078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29,487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137,278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164,973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141,582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81,056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101,339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86,865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108,577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48,711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53,869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0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11,536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17,010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5,872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$ 792,144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931,323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1820" w:type="dxa"/>
            <w:vAlign w:val="bottom"/>
            <w:gridSpan w:val="2"/>
          </w:tcPr>
          <w:p>
            <w:pPr>
              <w:jc w:val="right"/>
              <w:ind w:right="137"/>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3200" w:type="dxa"/>
            <w:vAlign w:val="bottom"/>
            <w:gridSpan w:val="7"/>
          </w:tcPr>
          <w:p>
            <w:pPr>
              <w:jc w:val="center"/>
              <w:ind w:right="320"/>
              <w:spacing w:after="0"/>
              <w:rPr>
                <w:sz w:val="20"/>
                <w:szCs w:val="20"/>
                <w:color w:val="auto"/>
              </w:rPr>
            </w:pPr>
            <w:r>
              <w:rPr>
                <w:rFonts w:ascii="Arial" w:cs="Arial" w:eastAsia="Arial" w:hAnsi="Arial"/>
                <w:sz w:val="14"/>
                <w:szCs w:val="14"/>
                <w:color w:val="auto"/>
                <w:w w:val="91"/>
              </w:rPr>
              <w:t>Three Months Ended September 30, 2018</w:t>
            </w:r>
          </w:p>
        </w:tc>
        <w:tc>
          <w:tcPr>
            <w:tcW w:w="3060" w:type="dxa"/>
            <w:vAlign w:val="bottom"/>
            <w:gridSpan w:val="7"/>
          </w:tcPr>
          <w:p>
            <w:pPr>
              <w:jc w:val="center"/>
              <w:ind w:right="140"/>
              <w:spacing w:after="0"/>
              <w:rPr>
                <w:sz w:val="20"/>
                <w:szCs w:val="20"/>
                <w:color w:val="auto"/>
              </w:rPr>
            </w:pPr>
            <w:r>
              <w:rPr>
                <w:rFonts w:ascii="Arial" w:cs="Arial" w:eastAsia="Arial" w:hAnsi="Arial"/>
                <w:sz w:val="14"/>
                <w:szCs w:val="14"/>
                <w:color w:val="auto"/>
                <w:w w:val="91"/>
              </w:rPr>
              <w:t>Three Months Ended September 30, 2017</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color w:val="auto"/>
                <w:w w:val="89"/>
              </w:rPr>
              <w:t>Recognized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Average</w:t>
            </w:r>
          </w:p>
        </w:tc>
        <w:tc>
          <w:tcPr>
            <w:tcW w:w="12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color w:val="auto"/>
                <w:w w:val="91"/>
              </w:rPr>
              <w:t>Recognized</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Recorded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Recorded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60" w:type="dxa"/>
            <w:vAlign w:val="bottom"/>
            <w:gridSpan w:val="3"/>
          </w:tcPr>
          <w:p>
            <w:pPr>
              <w:jc w:val="center"/>
              <w:ind w:right="500"/>
              <w:spacing w:after="0"/>
              <w:rPr>
                <w:sz w:val="20"/>
                <w:szCs w:val="20"/>
                <w:color w:val="auto"/>
              </w:rPr>
            </w:pPr>
            <w:r>
              <w:rPr>
                <w:rFonts w:ascii="Arial" w:cs="Arial" w:eastAsia="Arial" w:hAnsi="Arial"/>
                <w:sz w:val="14"/>
                <w:szCs w:val="14"/>
                <w:color w:val="auto"/>
                <w:w w:val="89"/>
              </w:rPr>
              <w:t>Total</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Investment</w:t>
            </w: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color w:val="auto"/>
                <w:w w:val="96"/>
              </w:rPr>
              <w:t>Total</w:t>
            </w: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ind w:left="34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51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$ 256,196</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1,985</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$ 224,526</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60" w:type="dxa"/>
            <w:vAlign w:val="bottom"/>
          </w:tcPr>
          <w:p>
            <w:pPr>
              <w:jc w:val="right"/>
              <w:spacing w:after="0"/>
              <w:rPr>
                <w:sz w:val="20"/>
                <w:szCs w:val="20"/>
                <w:color w:val="auto"/>
              </w:rPr>
            </w:pPr>
            <w:r>
              <w:rPr>
                <w:rFonts w:ascii="Arial" w:cs="Arial" w:eastAsia="Arial" w:hAnsi="Arial"/>
                <w:sz w:val="18"/>
                <w:szCs w:val="18"/>
                <w:color w:val="auto"/>
              </w:rPr>
              <w:t>204,315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233,572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9,623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113,892</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760" w:type="dxa"/>
            <w:vAlign w:val="bottom"/>
          </w:tcPr>
          <w:p>
            <w:pPr>
              <w:jc w:val="right"/>
              <w:spacing w:after="0"/>
              <w:rPr>
                <w:sz w:val="20"/>
                <w:szCs w:val="20"/>
                <w:color w:val="auto"/>
              </w:rPr>
            </w:pPr>
            <w:r>
              <w:rPr>
                <w:rFonts w:ascii="Arial" w:cs="Arial" w:eastAsia="Arial" w:hAnsi="Arial"/>
                <w:sz w:val="18"/>
                <w:szCs w:val="18"/>
                <w:color w:val="auto"/>
              </w:rPr>
              <w:t>81,729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91,974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760" w:type="dxa"/>
            <w:vAlign w:val="bottom"/>
          </w:tcPr>
          <w:p>
            <w:pPr>
              <w:jc w:val="right"/>
              <w:spacing w:after="0"/>
              <w:rPr>
                <w:sz w:val="20"/>
                <w:szCs w:val="20"/>
                <w:color w:val="auto"/>
              </w:rPr>
            </w:pPr>
            <w:r>
              <w:rPr>
                <w:rFonts w:ascii="Arial" w:cs="Arial" w:eastAsia="Arial" w:hAnsi="Arial"/>
                <w:sz w:val="18"/>
                <w:szCs w:val="18"/>
                <w:color w:val="auto"/>
              </w:rPr>
              <w:t>48,542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47,831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$ 757,997</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11,147</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8,195</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754,780</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5160" w:type="dxa"/>
            <w:vAlign w:val="bottom"/>
          </w:tcPr>
          <w:p>
            <w:pPr>
              <w:spacing w:after="0"/>
              <w:rPr>
                <w:sz w:val="24"/>
                <w:szCs w:val="24"/>
                <w:color w:val="auto"/>
              </w:rPr>
            </w:pPr>
          </w:p>
        </w:tc>
        <w:tc>
          <w:tcPr>
            <w:tcW w:w="3200" w:type="dxa"/>
            <w:vAlign w:val="bottom"/>
            <w:gridSpan w:val="7"/>
          </w:tcPr>
          <w:p>
            <w:pPr>
              <w:jc w:val="center"/>
              <w:ind w:right="320"/>
              <w:spacing w:after="0"/>
              <w:rPr>
                <w:sz w:val="20"/>
                <w:szCs w:val="20"/>
                <w:color w:val="auto"/>
              </w:rPr>
            </w:pPr>
            <w:r>
              <w:rPr>
                <w:rFonts w:ascii="Arial" w:cs="Arial" w:eastAsia="Arial" w:hAnsi="Arial"/>
                <w:sz w:val="14"/>
                <w:szCs w:val="14"/>
                <w:color w:val="auto"/>
                <w:w w:val="93"/>
              </w:rPr>
              <w:t>Nine Months Ended September 30, 2018</w:t>
            </w:r>
          </w:p>
        </w:tc>
        <w:tc>
          <w:tcPr>
            <w:tcW w:w="3060" w:type="dxa"/>
            <w:vAlign w:val="bottom"/>
            <w:gridSpan w:val="7"/>
          </w:tcPr>
          <w:p>
            <w:pPr>
              <w:jc w:val="center"/>
              <w:ind w:right="140"/>
              <w:spacing w:after="0"/>
              <w:rPr>
                <w:sz w:val="20"/>
                <w:szCs w:val="20"/>
                <w:color w:val="auto"/>
              </w:rPr>
            </w:pPr>
            <w:r>
              <w:rPr>
                <w:rFonts w:ascii="Arial" w:cs="Arial" w:eastAsia="Arial" w:hAnsi="Arial"/>
                <w:sz w:val="14"/>
                <w:szCs w:val="14"/>
                <w:color w:val="auto"/>
                <w:w w:val="93"/>
              </w:rPr>
              <w:t>Nine Months Ended September 30, 2017</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color w:val="auto"/>
                <w:w w:val="89"/>
              </w:rPr>
              <w:t>Recognized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Average</w:t>
            </w:r>
          </w:p>
        </w:tc>
        <w:tc>
          <w:tcPr>
            <w:tcW w:w="12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color w:val="auto"/>
                <w:w w:val="91"/>
              </w:rPr>
              <w:t>Recognized</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Recorded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Recorded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60" w:type="dxa"/>
            <w:vAlign w:val="bottom"/>
            <w:gridSpan w:val="3"/>
          </w:tcPr>
          <w:p>
            <w:pPr>
              <w:jc w:val="center"/>
              <w:ind w:right="500"/>
              <w:spacing w:after="0"/>
              <w:rPr>
                <w:sz w:val="20"/>
                <w:szCs w:val="20"/>
                <w:color w:val="auto"/>
              </w:rPr>
            </w:pPr>
            <w:r>
              <w:rPr>
                <w:rFonts w:ascii="Arial" w:cs="Arial" w:eastAsia="Arial" w:hAnsi="Arial"/>
                <w:sz w:val="14"/>
                <w:szCs w:val="14"/>
                <w:color w:val="auto"/>
                <w:w w:val="89"/>
              </w:rPr>
              <w:t>Total</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Investment</w:t>
            </w: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color w:val="auto"/>
                <w:w w:val="96"/>
              </w:rPr>
              <w:t>Total</w:t>
            </w: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ind w:left="34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$ 266,594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242,410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184,795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205,814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760" w:type="dxa"/>
            <w:vAlign w:val="bottom"/>
          </w:tcPr>
          <w:p>
            <w:pPr>
              <w:jc w:val="right"/>
              <w:spacing w:after="0"/>
              <w:rPr>
                <w:sz w:val="20"/>
                <w:szCs w:val="20"/>
                <w:color w:val="auto"/>
              </w:rPr>
            </w:pPr>
            <w:r>
              <w:rPr>
                <w:rFonts w:ascii="Arial" w:cs="Arial" w:eastAsia="Arial" w:hAnsi="Arial"/>
                <w:sz w:val="18"/>
                <w:szCs w:val="18"/>
                <w:color w:val="auto"/>
              </w:rPr>
              <w:t>9,111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14,551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760" w:type="dxa"/>
            <w:vAlign w:val="bottom"/>
          </w:tcPr>
          <w:p>
            <w:pPr>
              <w:jc w:val="right"/>
              <w:spacing w:after="0"/>
              <w:rPr>
                <w:sz w:val="20"/>
                <w:szCs w:val="20"/>
                <w:color w:val="auto"/>
              </w:rPr>
            </w:pPr>
            <w:r>
              <w:rPr>
                <w:rFonts w:ascii="Arial" w:cs="Arial" w:eastAsia="Arial" w:hAnsi="Arial"/>
                <w:sz w:val="18"/>
                <w:szCs w:val="18"/>
                <w:color w:val="auto"/>
              </w:rPr>
              <w:t>126,910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108,741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94,680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Consumer: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46,829</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760" w:type="dxa"/>
            <w:vAlign w:val="bottom"/>
          </w:tcPr>
          <w:p>
            <w:pPr>
              <w:jc w:val="right"/>
              <w:spacing w:after="0"/>
              <w:rPr>
                <w:sz w:val="20"/>
                <w:szCs w:val="20"/>
                <w:color w:val="auto"/>
              </w:rPr>
            </w:pPr>
            <w:r>
              <w:rPr>
                <w:rFonts w:ascii="Arial" w:cs="Arial" w:eastAsia="Arial" w:hAnsi="Arial"/>
                <w:sz w:val="18"/>
                <w:szCs w:val="18"/>
                <w:color w:val="auto"/>
              </w:rPr>
              <w:t>11,189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$ 744,561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22,055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747,412</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3"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following table summarizes the loan grades applied to the various classes of the Company’s commercial loans and commercial real estate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6"/>
              </w:rPr>
              <w:t>Commercial,</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Real Estate</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ind w:left="140"/>
              <w:spacing w:after="0" w:line="150" w:lineRule="exact"/>
              <w:rPr>
                <w:sz w:val="20"/>
                <w:szCs w:val="20"/>
                <w:color w:val="auto"/>
              </w:rPr>
            </w:pPr>
            <w:r>
              <w:rPr>
                <w:rFonts w:ascii="Arial" w:cs="Arial" w:eastAsia="Arial" w:hAnsi="Arial"/>
                <w:sz w:val="14"/>
                <w:szCs w:val="14"/>
                <w:color w:val="auto"/>
              </w:rPr>
              <w:t>Residential</w:t>
            </w:r>
          </w:p>
        </w:tc>
        <w:tc>
          <w:tcPr>
            <w:tcW w:w="960" w:type="dxa"/>
            <w:vAlign w:val="bottom"/>
          </w:tcPr>
          <w:p>
            <w:pPr>
              <w:jc w:val="center"/>
              <w:spacing w:after="0" w:line="150"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Financial,</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Builder and</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Commercial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Leasing, etc.</w:t>
            </w: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Commercial</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Developer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2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Pass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$20,498,610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24,190,472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1,499,791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6,709,973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902,128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624,479</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140,834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Criticized nonaccrual</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234,656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207,584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21,635,394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25,022,535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1,643,411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6,852,429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$20,490,486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24,380,184</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1,485,148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Criticized accrual</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1,011,174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723,777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140,119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240,991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21,742,651</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25,288,943</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1,631,718</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$29 million and $23 million, respectively, at September 30, 2018 and $34 million and $25 million, respectively, at December 31, 2017. Residential real estate loans and home equity loans and lines of credit that were more than 150 days past due but did not require a partial charge-off because the net realizable value of the collateral exceeded the outstanding customer balance were $18 million and $29 million, respectively, at September 30, 2018 and $20 million and $32 million, respectively, at December 31, 2017.</w:t>
      </w:r>
    </w:p>
    <w:p>
      <w:pPr>
        <w:spacing w:after="0" w:line="17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8"/>
          <w:szCs w:val="18"/>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3"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changing market conditions, the introduction of new loan and lease product types, and other risks associated with the Company’s loan portfolio that may not be specifically identifiable.</w:t>
      </w:r>
    </w:p>
    <w:p>
      <w:pPr>
        <w:spacing w:after="0" w:line="6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allocation of the allowance for credit losses summarized on the basis of the Company’s impairment methodology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Commercial,</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Financial,</w:t>
            </w:r>
          </w:p>
        </w:tc>
        <w:tc>
          <w:tcPr>
            <w:tcW w:w="2280" w:type="dxa"/>
            <w:vAlign w:val="bottom"/>
            <w:gridSpan w:val="4"/>
          </w:tcPr>
          <w:p>
            <w:pPr>
              <w:ind w:left="660"/>
              <w:spacing w:after="0"/>
              <w:rPr>
                <w:sz w:val="20"/>
                <w:szCs w:val="20"/>
                <w:color w:val="auto"/>
              </w:rPr>
            </w:pPr>
            <w:r>
              <w:rPr>
                <w:rFonts w:ascii="Arial" w:cs="Arial" w:eastAsia="Arial" w:hAnsi="Arial"/>
                <w:sz w:val="14"/>
                <w:szCs w:val="14"/>
                <w:color w:val="auto"/>
              </w:rPr>
              <w:t>Real Estate</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1120" w:type="dxa"/>
            <w:vAlign w:val="bottom"/>
            <w:gridSpan w:val="3"/>
          </w:tcPr>
          <w:p>
            <w:pPr>
              <w:jc w:val="center"/>
              <w:ind w:right="300"/>
              <w:spacing w:after="0" w:line="155" w:lineRule="exact"/>
              <w:rPr>
                <w:sz w:val="20"/>
                <w:szCs w:val="20"/>
                <w:color w:val="auto"/>
              </w:rPr>
            </w:pPr>
            <w:r>
              <w:rPr>
                <w:rFonts w:ascii="Arial" w:cs="Arial" w:eastAsia="Arial" w:hAnsi="Arial"/>
                <w:sz w:val="14"/>
                <w:szCs w:val="14"/>
                <w:color w:val="auto"/>
                <w:w w:val="93"/>
              </w:rPr>
              <w:t>Leasing, etc.</w:t>
            </w:r>
          </w:p>
        </w:tc>
        <w:tc>
          <w:tcPr>
            <w:tcW w:w="11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8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8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46,554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13,081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12,339</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270,635</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341,922</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Purchased impaired</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14,910</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317,189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355,003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941,203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78,285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1,019,488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12,279</w:t>
            </w: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283,111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363,990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47,645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158,530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328,599</w:t>
            </w:r>
          </w:p>
        </w:tc>
        <w:tc>
          <w:tcPr>
            <w:tcW w:w="30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374,085</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30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7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938,898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1,017,198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Financial,</w:t>
            </w:r>
          </w:p>
        </w:tc>
        <w:tc>
          <w:tcPr>
            <w:tcW w:w="2480" w:type="dxa"/>
            <w:vAlign w:val="bottom"/>
            <w:gridSpan w:val="4"/>
          </w:tcPr>
          <w:p>
            <w:pPr>
              <w:ind w:left="760"/>
              <w:spacing w:after="0"/>
              <w:rPr>
                <w:sz w:val="20"/>
                <w:szCs w:val="20"/>
                <w:color w:val="auto"/>
              </w:rPr>
            </w:pPr>
            <w:r>
              <w:rPr>
                <w:rFonts w:ascii="Arial" w:cs="Arial" w:eastAsia="Arial" w:hAnsi="Arial"/>
                <w:sz w:val="14"/>
                <w:szCs w:val="14"/>
                <w:color w:val="auto"/>
              </w:rPr>
              <w:t>Real Estate</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00"/>
              <w:spacing w:after="0" w:line="155" w:lineRule="exact"/>
              <w:rPr>
                <w:sz w:val="20"/>
                <w:szCs w:val="20"/>
                <w:color w:val="auto"/>
              </w:rPr>
            </w:pPr>
            <w:r>
              <w:rPr>
                <w:rFonts w:ascii="Arial" w:cs="Arial" w:eastAsia="Arial" w:hAnsi="Arial"/>
                <w:sz w:val="14"/>
                <w:szCs w:val="14"/>
                <w:color w:val="auto"/>
                <w:w w:val="90"/>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Commercial</w:t>
            </w: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0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3"/>
              </w:rPr>
              <w:t>(In thousands)</w:t>
            </w:r>
          </w:p>
        </w:tc>
        <w:tc>
          <w:tcPr>
            <w:tcW w:w="9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255,507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254,611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218,334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63,692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21,379,887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33,253,245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17,187,604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13,741,625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85,562,361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Purchased impaired</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10,519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315,461</w:t>
            </w:r>
          </w:p>
        </w:tc>
        <w:tc>
          <w:tcPr>
            <w:tcW w:w="3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21,635,394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33,518,375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17,721,399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13,805,317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86,680,485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226,205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202,163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21,476,254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33,117,512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19,023,843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13,201,050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86,818,659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387,338</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21,742,651</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33,366,373</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19,613,344</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13,266,615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87,988,983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00" w:lineRule="exact"/>
        <w:rPr>
          <w:sz w:val="20"/>
          <w:szCs w:val="20"/>
          <w:color w:val="auto"/>
        </w:rPr>
      </w:pPr>
    </w:p>
    <w:p>
      <w:pPr>
        <w:spacing w:after="0" w:line="239"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and nine-month periods ended September 30,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center"/>
              <w:ind w:right="12"/>
              <w:spacing w:after="0"/>
              <w:rPr>
                <w:sz w:val="20"/>
                <w:szCs w:val="20"/>
                <w:color w:val="auto"/>
              </w:rPr>
            </w:pPr>
            <w:r>
              <w:rPr>
                <w:rFonts w:ascii="Arial" w:cs="Arial" w:eastAsia="Arial" w:hAnsi="Arial"/>
                <w:sz w:val="14"/>
                <w:szCs w:val="14"/>
                <w:color w:val="auto"/>
                <w:w w:val="90"/>
              </w:rPr>
              <w:t>Pre-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6"/>
              </w:rPr>
              <w:t>Post-modification (a)</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Combination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6"/>
              </w:rPr>
              <w:t>modification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2"/>
              </w:rPr>
              <w:t>Recorded</w:t>
            </w:r>
          </w:p>
        </w:tc>
        <w:tc>
          <w:tcPr>
            <w:tcW w:w="3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Principal</w:t>
            </w:r>
          </w:p>
        </w:tc>
        <w:tc>
          <w:tcPr>
            <w:tcW w:w="3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Interest Rate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Concession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vMerge w:val="restart"/>
          </w:tcPr>
          <w:p>
            <w:pPr>
              <w:spacing w:after="0"/>
              <w:rPr>
                <w:sz w:val="20"/>
                <w:szCs w:val="20"/>
                <w:color w:val="auto"/>
              </w:rPr>
            </w:pPr>
            <w:r>
              <w:rPr>
                <w:rFonts w:ascii="Arial" w:cs="Arial" w:eastAsia="Arial" w:hAnsi="Arial"/>
                <w:sz w:val="14"/>
                <w:szCs w:val="14"/>
                <w:color w:val="auto"/>
                <w:w w:val="91"/>
              </w:rPr>
              <w:t>Three Months Ended September 30, 2018</w:t>
            </w:r>
          </w:p>
        </w:tc>
        <w:tc>
          <w:tcPr>
            <w:tcW w:w="1360" w:type="dxa"/>
            <w:vAlign w:val="bottom"/>
            <w:vMerge w:val="restart"/>
          </w:tcPr>
          <w:p>
            <w:pPr>
              <w:spacing w:after="0"/>
              <w:rPr>
                <w:sz w:val="14"/>
                <w:szCs w:val="14"/>
                <w:color w:val="auto"/>
              </w:rPr>
            </w:pPr>
          </w:p>
        </w:tc>
        <w:tc>
          <w:tcPr>
            <w:tcW w:w="1600" w:type="dxa"/>
            <w:vAlign w:val="bottom"/>
            <w:gridSpan w:val="3"/>
          </w:tcPr>
          <w:p>
            <w:pPr>
              <w:ind w:left="820"/>
              <w:spacing w:after="0"/>
              <w:rPr>
                <w:sz w:val="20"/>
                <w:szCs w:val="20"/>
                <w:color w:val="auto"/>
              </w:rPr>
            </w:pPr>
            <w:r>
              <w:rPr>
                <w:rFonts w:ascii="Arial" w:cs="Arial" w:eastAsia="Arial" w:hAnsi="Arial"/>
                <w:sz w:val="14"/>
                <w:szCs w:val="14"/>
                <w:color w:val="auto"/>
              </w:rPr>
              <w:t>Number</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Deferral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w w:val="91"/>
              </w:rPr>
              <w:t>Reduction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Types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Borders>
              <w:bottom w:val="single" w:sz="8" w:color="auto"/>
            </w:tcBorders>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2"/>
        </w:trPr>
        <w:tc>
          <w:tcPr>
            <w:tcW w:w="37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5,018</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30,086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Three Months Ended September 30, 2017</w:t>
            </w:r>
          </w:p>
        </w:tc>
        <w:tc>
          <w:tcPr>
            <w:tcW w:w="8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420" w:type="dxa"/>
            <w:vAlign w:val="bottom"/>
            <w:tcBorders>
              <w:top w:val="single" w:sz="8" w:color="auto"/>
            </w:tcBorders>
            <w:shd w:val="clear" w:color="auto" w:fill="CFF0FC"/>
          </w:tcPr>
          <w:p>
            <w:pPr>
              <w:spacing w:after="0"/>
              <w:rPr>
                <w:sz w:val="5"/>
                <w:szCs w:val="5"/>
                <w:color w:val="auto"/>
              </w:rPr>
            </w:pPr>
          </w:p>
        </w:tc>
        <w:tc>
          <w:tcPr>
            <w:tcW w:w="1360" w:type="dxa"/>
            <w:vAlign w:val="bottom"/>
            <w:tcBorders>
              <w:top w:val="single" w:sz="8" w:color="CFF0FC"/>
            </w:tcBorders>
            <w:shd w:val="clear" w:color="auto" w:fill="CFF0FC"/>
          </w:tcPr>
          <w:p>
            <w:pPr>
              <w:spacing w:after="0"/>
              <w:rPr>
                <w:sz w:val="5"/>
                <w:szCs w:val="5"/>
                <w:color w:val="auto"/>
              </w:rPr>
            </w:pPr>
          </w:p>
        </w:tc>
        <w:tc>
          <w:tcPr>
            <w:tcW w:w="82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15,236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11,516</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29,857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9"/>
              </w:rPr>
              <w:t>- 19 -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center"/>
              <w:ind w:right="32"/>
              <w:spacing w:after="0"/>
              <w:rPr>
                <w:sz w:val="20"/>
                <w:szCs w:val="20"/>
                <w:color w:val="auto"/>
              </w:rPr>
            </w:pPr>
            <w:r>
              <w:rPr>
                <w:rFonts w:ascii="Arial" w:cs="Arial" w:eastAsia="Arial" w:hAnsi="Arial"/>
                <w:sz w:val="14"/>
                <w:szCs w:val="14"/>
                <w:color w:val="auto"/>
                <w:w w:val="90"/>
              </w:rPr>
              <w:t>Pre-</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8"/>
              </w:rPr>
              <w:t>Post-modification (a)</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7" w:lineRule="exact"/>
              <w:rPr>
                <w:sz w:val="20"/>
                <w:szCs w:val="20"/>
                <w:color w:val="auto"/>
              </w:rPr>
            </w:pPr>
            <w:r>
              <w:rPr>
                <w:rFonts w:ascii="Arial" w:cs="Arial" w:eastAsia="Arial" w:hAnsi="Arial"/>
                <w:sz w:val="14"/>
                <w:szCs w:val="14"/>
                <w:color w:val="auto"/>
                <w:w w:val="96"/>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modification</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2"/>
              <w:spacing w:after="0" w:line="149" w:lineRule="exact"/>
              <w:rPr>
                <w:sz w:val="20"/>
                <w:szCs w:val="20"/>
                <w:color w:val="auto"/>
              </w:rPr>
            </w:pPr>
            <w:r>
              <w:rPr>
                <w:rFonts w:ascii="Arial" w:cs="Arial" w:eastAsia="Arial" w:hAnsi="Arial"/>
                <w:sz w:val="14"/>
                <w:szCs w:val="14"/>
                <w:color w:val="auto"/>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Recorded</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Principal</w:t>
            </w:r>
          </w:p>
        </w:tc>
        <w:tc>
          <w:tcPr>
            <w:tcW w:w="3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Interest Rate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gridSpan w:val="2"/>
          </w:tcPr>
          <w:p>
            <w:pPr>
              <w:spacing w:after="0" w:line="153" w:lineRule="exact"/>
              <w:rPr>
                <w:sz w:val="20"/>
                <w:szCs w:val="20"/>
                <w:color w:val="auto"/>
              </w:rPr>
            </w:pPr>
            <w:r>
              <w:rPr>
                <w:rFonts w:ascii="Arial" w:cs="Arial" w:eastAsia="Arial" w:hAnsi="Arial"/>
                <w:sz w:val="14"/>
                <w:szCs w:val="14"/>
                <w:color w:val="auto"/>
              </w:rPr>
              <w:t>Nine Months Ended September 30, 2018</w:t>
            </w:r>
          </w:p>
        </w:tc>
        <w:tc>
          <w:tcPr>
            <w:tcW w:w="6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3"/>
                <w:szCs w:val="13"/>
                <w:color w:val="auto"/>
              </w:rPr>
            </w:pPr>
          </w:p>
        </w:tc>
        <w:tc>
          <w:tcPr>
            <w:tcW w:w="740" w:type="dxa"/>
            <w:vAlign w:val="bottom"/>
            <w:gridSpan w:val="2"/>
          </w:tcPr>
          <w:p>
            <w:pPr>
              <w:jc w:val="center"/>
              <w:spacing w:after="0" w:line="153" w:lineRule="exact"/>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3"/>
                <w:szCs w:val="13"/>
                <w:color w:val="auto"/>
              </w:rPr>
            </w:pPr>
          </w:p>
        </w:tc>
        <w:tc>
          <w:tcPr>
            <w:tcW w:w="660" w:type="dxa"/>
            <w:vAlign w:val="bottom"/>
          </w:tcPr>
          <w:p>
            <w:pPr>
              <w:jc w:val="right"/>
              <w:ind w:right="17"/>
              <w:spacing w:after="0" w:line="153" w:lineRule="exact"/>
              <w:rPr>
                <w:sz w:val="20"/>
                <w:szCs w:val="20"/>
                <w:color w:val="auto"/>
              </w:rPr>
            </w:pPr>
            <w:r>
              <w:rPr>
                <w:rFonts w:ascii="Arial" w:cs="Arial" w:eastAsia="Arial" w:hAnsi="Arial"/>
                <w:sz w:val="14"/>
                <w:szCs w:val="14"/>
                <w:color w:val="auto"/>
              </w:rPr>
              <w:t>Deferral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1"/>
              <w:spacing w:after="0" w:line="153" w:lineRule="exact"/>
              <w:rPr>
                <w:sz w:val="20"/>
                <w:szCs w:val="20"/>
                <w:color w:val="auto"/>
              </w:rPr>
            </w:pPr>
            <w:r>
              <w:rPr>
                <w:rFonts w:ascii="Arial" w:cs="Arial" w:eastAsia="Arial" w:hAnsi="Arial"/>
                <w:sz w:val="14"/>
                <w:szCs w:val="14"/>
                <w:color w:val="auto"/>
                <w:w w:val="88"/>
              </w:rPr>
              <w:t>Reduction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660" w:type="dxa"/>
            <w:vAlign w:val="bottom"/>
          </w:tcPr>
          <w:p>
            <w:pPr>
              <w:jc w:val="center"/>
              <w:ind w:right="72"/>
              <w:spacing w:after="0" w:line="153" w:lineRule="exact"/>
              <w:rPr>
                <w:sz w:val="20"/>
                <w:szCs w:val="20"/>
                <w:color w:val="auto"/>
              </w:rPr>
            </w:pPr>
            <w:r>
              <w:rPr>
                <w:rFonts w:ascii="Arial" w:cs="Arial" w:eastAsia="Arial" w:hAnsi="Arial"/>
                <w:sz w:val="14"/>
                <w:szCs w:val="14"/>
                <w:color w:val="auto"/>
                <w:w w:val="89"/>
              </w:rPr>
              <w:t>Types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360" w:type="dxa"/>
            <w:vAlign w:val="bottom"/>
            <w:tcBorders>
              <w:top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3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$ 47,029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658</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6,111</w:t>
            </w:r>
          </w:p>
        </w:tc>
        <w:tc>
          <w:tcPr>
            <w:tcW w:w="3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96,884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157,552</w:t>
            </w:r>
          </w:p>
        </w:tc>
        <w:tc>
          <w:tcPr>
            <w:tcW w:w="30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$ 80,032</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w:t>
            </w:r>
          </w:p>
        </w:tc>
        <w:tc>
          <w:tcPr>
            <w:tcW w:w="3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70,772</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161,617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4"/>
                <w:szCs w:val="14"/>
                <w:color w:val="auto"/>
              </w:rPr>
              <w:t>Nine Months Ended September 30, 2017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$ 18,449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6,459</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47,211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179,726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$ 49,250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101,844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158,912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20" w:hanging="472"/>
        <w:spacing w:after="0" w:line="277" w:lineRule="auto"/>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8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2018 and 2017 and for which there was a subsequent payment default during the nine-month periods ended September 30, 2018 and 2017, respectively, were not material.</w:t>
      </w:r>
    </w:p>
    <w:p>
      <w:pPr>
        <w:spacing w:after="0" w:line="178"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amount of foreclosed residential real estate property held by the Company was $85 million and $108 million at September 30, 2018 and December 31, 2017, respectively. There were $404 million and $497 million at September 30, 2018 and December 31, 2017, respectively, in loans secured by residential real estate that were in the process of foreclosure. Of all loans in the process of foreclosure at September 30, 2018, approximately 40% were classified as purchased impaired and 20% were government guaranteed.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Borrowings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January 2018, M&amp;T Bank, the principal subsidiary of M&amp;T, issued $1.0 billion of senior notes that mature in January 2021 pursuant to a Bank Note Program, of which $650 million have a 2.625% fixed interest rate and $350 million have a variable rate paid quarterly at rates that are indexed to the three-month London Interbank Offered Rate (“LIBOR”). In July 2018, M&amp;T issued $750 million of senior notes that mature in July 2023, of which $500 million have a 3.55% fixed interest rate and $250 million have a variable rate paid quarterly at rates that are indexed to the three-month LIBOR.</w:t>
      </w:r>
    </w:p>
    <w:p>
      <w:pPr>
        <w:spacing w:after="0" w:line="219"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M&amp;T had $521 million of fixed and variable rate junior subordinated deferrable interest debentures ("Junior Subordinated Debentures") outstanding at September 30, 2018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63"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5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Also included in long-term borrowings are agreements to repurchase securities of $412 million and $422 million at September 30, 2018 and December 31, 2017,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$429 million and $442 million at September 30, 2018 and December 31, 2017, respectively</w:t>
      </w:r>
      <w:r>
        <w:rPr>
          <w:rFonts w:ascii="Arial" w:cs="Arial" w:eastAsia="Arial" w:hAnsi="Arial"/>
          <w:sz w:val="15"/>
          <w:szCs w:val="15"/>
          <w:color w:val="auto"/>
        </w:rPr>
        <w: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5. Shareholders' equity</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Issued and outstanding preferred stock of M&amp;T as of September 30, 2018 and December 31, 2017 is presented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7040" w:type="dxa"/>
            <w:vAlign w:val="bottom"/>
          </w:tcPr>
          <w:p>
            <w:pPr>
              <w:spacing w:after="0"/>
              <w:rPr>
                <w:sz w:val="12"/>
                <w:szCs w:val="12"/>
                <w:color w:val="auto"/>
              </w:rPr>
            </w:pPr>
          </w:p>
        </w:tc>
        <w:tc>
          <w:tcPr>
            <w:tcW w:w="98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0"/>
              </w:rPr>
              <w:t>Issued and</w:t>
            </w:r>
          </w:p>
        </w:tc>
        <w:tc>
          <w:tcPr>
            <w:tcW w:w="2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Carrying</w:t>
            </w:r>
          </w:p>
        </w:tc>
      </w:tr>
      <w:tr>
        <w:trPr>
          <w:trHeight w:val="167"/>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155"/>
        </w:trPr>
        <w:tc>
          <w:tcPr>
            <w:tcW w:w="7040" w:type="dxa"/>
            <w:vAlign w:val="bottom"/>
          </w:tcPr>
          <w:p>
            <w:pPr>
              <w:spacing w:after="0"/>
              <w:rPr>
                <w:sz w:val="13"/>
                <w:szCs w:val="13"/>
                <w:color w:val="auto"/>
              </w:rPr>
            </w:pPr>
          </w:p>
        </w:tc>
        <w:tc>
          <w:tcPr>
            <w:tcW w:w="2000" w:type="dxa"/>
            <w:vAlign w:val="bottom"/>
            <w:tcBorders>
              <w:top w:val="single" w:sz="8" w:color="auto"/>
            </w:tcBorders>
            <w:gridSpan w:val="3"/>
          </w:tcPr>
          <w:p>
            <w:pPr>
              <w:ind w:left="340"/>
              <w:spacing w:after="0" w:line="155" w:lineRule="exact"/>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3"/>
                <w:szCs w:val="13"/>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230,000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230,000</w:t>
            </w:r>
          </w:p>
        </w:tc>
        <w:tc>
          <w:tcPr>
            <w:tcW w:w="80" w:type="dxa"/>
            <w:vAlign w:val="bottom"/>
          </w:tcPr>
          <w:p>
            <w:pPr>
              <w:spacing w:after="0"/>
              <w:rPr>
                <w:sz w:val="20"/>
                <w:szCs w:val="20"/>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151,500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151,500</w:t>
            </w:r>
          </w:p>
        </w:tc>
        <w:tc>
          <w:tcPr>
            <w:tcW w:w="80" w:type="dxa"/>
            <w:vAlign w:val="bottom"/>
          </w:tcPr>
          <w:p>
            <w:pPr>
              <w:spacing w:after="0"/>
              <w:rPr>
                <w:sz w:val="20"/>
                <w:szCs w:val="20"/>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350,000</w:t>
            </w:r>
          </w:p>
        </w:tc>
        <w:tc>
          <w:tcPr>
            <w:tcW w:w="80" w:type="dxa"/>
            <w:vAlign w:val="bottom"/>
          </w:tcPr>
          <w:p>
            <w:pPr>
              <w:spacing w:after="0"/>
              <w:rPr>
                <w:sz w:val="20"/>
                <w:szCs w:val="20"/>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500,000</w:t>
            </w:r>
          </w:p>
        </w:tc>
        <w:tc>
          <w:tcPr>
            <w:tcW w:w="80" w:type="dxa"/>
            <w:vAlign w:val="bottom"/>
          </w:tcPr>
          <w:p>
            <w:pPr>
              <w:spacing w:after="0"/>
              <w:rPr>
                <w:sz w:val="20"/>
                <w:szCs w:val="20"/>
                <w:color w:val="auto"/>
              </w:rPr>
            </w:pPr>
          </w:p>
        </w:tc>
      </w:tr>
    </w:tbl>
    <w:p>
      <w:pPr>
        <w:spacing w:after="0" w:line="242" w:lineRule="exact"/>
        <w:rPr>
          <w:sz w:val="20"/>
          <w:szCs w:val="20"/>
          <w:color w:val="auto"/>
        </w:rPr>
      </w:pPr>
    </w:p>
    <w:p>
      <w:pPr>
        <w:ind w:left="520" w:hanging="512"/>
        <w:spacing w:after="0" w:line="258"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$73.58 per share issued in connection with the Series A preferred stock expire on December 23, 2018 and totaled 180,491 at September 30, 2018.</w:t>
      </w:r>
    </w:p>
    <w:p>
      <w:pPr>
        <w:spacing w:after="0" w:line="1" w:lineRule="exact"/>
        <w:rPr>
          <w:rFonts w:ascii="Arial" w:cs="Arial" w:eastAsia="Arial" w:hAnsi="Arial"/>
          <w:sz w:val="18"/>
          <w:szCs w:val="18"/>
          <w:i w:val="1"/>
          <w:iCs w:val="1"/>
          <w:color w:val="auto"/>
        </w:rPr>
      </w:pPr>
    </w:p>
    <w:p>
      <w:pPr>
        <w:jc w:val="both"/>
        <w:ind w:left="520" w:hanging="512"/>
        <w:spacing w:after="0" w:line="250"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jc w:val="both"/>
        <w:ind w:left="520" w:hanging="512"/>
        <w:spacing w:after="0" w:line="253"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93"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In addition to the Series A warrants mentioned in (a) above, a warrant to purchase 95,743 shares of M&amp;T common stock at $517.01 per share was outstanding at September 30, 2018. The obligation under that warrant was assumed by M&amp;T in an acquisition and expires on December 12, 2018.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Pension plans and other postretirement benefits</w:t>
      </w:r>
    </w:p>
    <w:p>
      <w:pPr>
        <w:spacing w:after="0" w:line="11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left="537"/>
              <w:spacing w:after="0"/>
              <w:rPr>
                <w:sz w:val="20"/>
                <w:szCs w:val="20"/>
                <w:color w:val="auto"/>
              </w:rPr>
            </w:pPr>
            <w:r>
              <w:rPr>
                <w:rFonts w:ascii="Arial" w:cs="Arial" w:eastAsia="Arial" w:hAnsi="Arial"/>
                <w:sz w:val="14"/>
                <w:szCs w:val="14"/>
                <w:color w:val="auto"/>
                <w:w w:val="91"/>
              </w:rPr>
              <w:t>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Pension</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r>
      <w:tr>
        <w:trPr>
          <w:trHeight w:val="167"/>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Benefits</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60" w:type="dxa"/>
            <w:vAlign w:val="bottom"/>
            <w:gridSpan w:val="7"/>
          </w:tcPr>
          <w:p>
            <w:pPr>
              <w:jc w:val="center"/>
              <w:ind w:right="160"/>
              <w:spacing w:after="0" w:line="150" w:lineRule="exact"/>
              <w:rPr>
                <w:sz w:val="20"/>
                <w:szCs w:val="20"/>
                <w:color w:val="auto"/>
              </w:rPr>
            </w:pPr>
            <w:r>
              <w:rPr>
                <w:rFonts w:ascii="Arial" w:cs="Arial" w:eastAsia="Arial" w:hAnsi="Arial"/>
                <w:sz w:val="14"/>
                <w:szCs w:val="14"/>
                <w:color w:val="auto"/>
                <w:w w:val="92"/>
              </w:rPr>
              <w:t>Three Months Ended September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76"/>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8"/>
        </w:trPr>
        <w:tc>
          <w:tcPr>
            <w:tcW w:w="61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5,086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5,048</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4"/>
                <w:szCs w:val="24"/>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19,818</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(30,781)</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(27,131)</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10,948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7,316</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223"/>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left="537"/>
              <w:spacing w:after="0"/>
              <w:rPr>
                <w:sz w:val="20"/>
                <w:szCs w:val="20"/>
                <w:color w:val="auto"/>
              </w:rPr>
            </w:pPr>
            <w:r>
              <w:rPr>
                <w:rFonts w:ascii="Arial" w:cs="Arial" w:eastAsia="Arial" w:hAnsi="Arial"/>
                <w:sz w:val="14"/>
                <w:szCs w:val="14"/>
                <w:color w:val="auto"/>
                <w:w w:val="91"/>
              </w:rPr>
              <w:t>Other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8"/>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Pension</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r>
      <w:tr>
        <w:trPr>
          <w:trHeight w:val="167"/>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Benefits</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60" w:type="dxa"/>
            <w:vAlign w:val="bottom"/>
            <w:gridSpan w:val="7"/>
          </w:tcPr>
          <w:p>
            <w:pPr>
              <w:jc w:val="center"/>
              <w:ind w:right="160"/>
              <w:spacing w:after="0" w:line="150" w:lineRule="exact"/>
              <w:rPr>
                <w:sz w:val="20"/>
                <w:szCs w:val="20"/>
                <w:color w:val="auto"/>
              </w:rPr>
            </w:pPr>
            <w:r>
              <w:rPr>
                <w:rFonts w:ascii="Arial" w:cs="Arial" w:eastAsia="Arial" w:hAnsi="Arial"/>
                <w:sz w:val="14"/>
                <w:szCs w:val="14"/>
                <w:color w:val="auto"/>
                <w:w w:val="92"/>
              </w:rPr>
              <w:t>Nine Months Ended September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76"/>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71"/>
        </w:trPr>
        <w:tc>
          <w:tcPr>
            <w:tcW w:w="61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15,258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15,145</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4"/>
                <w:szCs w:val="24"/>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59,452</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12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(92,344)</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(81,393)</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(3,546)</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(1,019)</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32,844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21,947</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r>
        <w:trPr>
          <w:trHeight w:val="223"/>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Service cost is reflected in salaries and employee benefits expense. The other components of net periodic benefit cost are reflected in other costs of operations. Expenses incurred in connection with the Company's defined contribution pension and retirement savings plans totaled $16,907,000 and $16,085,000 for the three months ended September 30, 2018 and 2017, respectively, and $55,375,000 and $53,127,000 for the nine months ended September 30, 2018 and 2017, respectively, and are included in salaries and employee benefits expense.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Earnings per common share</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color w:val="auto"/>
              </w:rPr>
              <w:t>September 30</w:t>
            </w:r>
          </w:p>
        </w:tc>
        <w:tc>
          <w:tcPr>
            <w:tcW w:w="2220" w:type="dxa"/>
            <w:vAlign w:val="bottom"/>
            <w:gridSpan w:val="4"/>
          </w:tcPr>
          <w:p>
            <w:pPr>
              <w:jc w:val="right"/>
              <w:ind w:right="160"/>
              <w:spacing w:after="0"/>
              <w:rPr>
                <w:sz w:val="20"/>
                <w:szCs w:val="20"/>
                <w:color w:val="auto"/>
              </w:rPr>
            </w:pPr>
            <w:r>
              <w:rPr>
                <w:rFonts w:ascii="Arial" w:cs="Arial" w:eastAsia="Arial" w:hAnsi="Arial"/>
                <w:sz w:val="14"/>
                <w:szCs w:val="14"/>
                <w:color w:val="auto"/>
                <w:w w:val="94"/>
              </w:rPr>
              <w:t>Nine Months Ended September 30</w:t>
            </w:r>
          </w:p>
        </w:tc>
      </w:tr>
      <w:tr>
        <w:trPr>
          <w:trHeight w:val="167"/>
        </w:trPr>
        <w:tc>
          <w:tcPr>
            <w:tcW w:w="5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176"/>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360"/>
              <w:spacing w:after="0"/>
              <w:rPr>
                <w:sz w:val="20"/>
                <w:szCs w:val="20"/>
                <w:color w:val="auto"/>
              </w:rPr>
            </w:pPr>
            <w:r>
              <w:rPr>
                <w:rFonts w:ascii="Arial" w:cs="Arial" w:eastAsia="Arial" w:hAnsi="Arial"/>
                <w:sz w:val="14"/>
                <w:szCs w:val="14"/>
                <w:color w:val="auto"/>
                <w:w w:val="95"/>
              </w:rPr>
              <w:t>(In thousands, except per share)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1"/>
        </w:trPr>
        <w:tc>
          <w:tcPr>
            <w:tcW w:w="580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526,091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355,923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1,371,861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1,085,903</w:t>
            </w:r>
          </w:p>
        </w:tc>
        <w:tc>
          <w:tcPr>
            <w:tcW w:w="80" w:type="dxa"/>
            <w:vAlign w:val="bottom"/>
            <w:shd w:val="clear" w:color="auto" w:fill="CFF0FC"/>
          </w:tcPr>
          <w:p>
            <w:pPr>
              <w:spacing w:after="0"/>
              <w:rPr>
                <w:sz w:val="19"/>
                <w:szCs w:val="19"/>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Less: Preferred stock dividends (a)</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(18,130)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(18,130)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(54,390)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(54,604)</w:t>
            </w:r>
          </w:p>
        </w:tc>
      </w:tr>
      <w:tr>
        <w:trPr>
          <w:trHeight w:val="223"/>
        </w:trPr>
        <w:tc>
          <w:tcPr>
            <w:tcW w:w="5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507,961</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337,793</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1,317,471</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1,031,299</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0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(2,598)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(1,992)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(6,774)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(6,288)</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505,363</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335,801</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1,310,697</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1,025,011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 awards</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143,556</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152,245</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146,177</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153,814</w:t>
            </w:r>
          </w:p>
        </w:tc>
        <w:tc>
          <w:tcPr>
            <w:tcW w:w="80" w:type="dxa"/>
            <w:vAlign w:val="bottom"/>
            <w:shd w:val="clear" w:color="auto" w:fill="CFF0FC"/>
          </w:tcPr>
          <w:p>
            <w:pPr>
              <w:spacing w:after="0"/>
              <w:rPr>
                <w:sz w:val="20"/>
                <w:szCs w:val="20"/>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(734)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142,822</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151,347</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145,424</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152,866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FF0FC"/>
          </w:tcPr>
          <w:p>
            <w:pPr>
              <w:spacing w:after="0"/>
              <w:rPr>
                <w:sz w:val="19"/>
                <w:szCs w:val="19"/>
                <w:color w:val="auto"/>
              </w:rPr>
            </w:pPr>
          </w:p>
        </w:tc>
      </w:tr>
    </w:tbl>
    <w:p>
      <w:pPr>
        <w:spacing w:after="0" w:line="139" w:lineRule="exact"/>
        <w:rPr>
          <w:sz w:val="20"/>
          <w:szCs w:val="20"/>
          <w:color w:val="auto"/>
        </w:rPr>
      </w:pPr>
    </w:p>
    <w:p>
      <w:pPr>
        <w:ind w:left="880" w:hanging="832"/>
        <w:spacing w:after="0"/>
        <w:tabs>
          <w:tab w:leader="none" w:pos="8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Including impact of not as yet declared cumulative dividends.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ind w:right="700"/>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color w:val="auto"/>
              </w:rPr>
              <w:t>September 30</w:t>
            </w:r>
          </w:p>
        </w:tc>
        <w:tc>
          <w:tcPr>
            <w:tcW w:w="2160" w:type="dxa"/>
            <w:vAlign w:val="bottom"/>
            <w:gridSpan w:val="4"/>
          </w:tcPr>
          <w:p>
            <w:pPr>
              <w:jc w:val="right"/>
              <w:ind w:right="140"/>
              <w:spacing w:after="0"/>
              <w:rPr>
                <w:sz w:val="20"/>
                <w:szCs w:val="20"/>
                <w:color w:val="auto"/>
              </w:rPr>
            </w:pPr>
            <w:r>
              <w:rPr>
                <w:rFonts w:ascii="Arial" w:cs="Arial" w:eastAsia="Arial" w:hAnsi="Arial"/>
                <w:sz w:val="14"/>
                <w:szCs w:val="14"/>
                <w:color w:val="auto"/>
                <w:w w:val="93"/>
              </w:rPr>
              <w:t>Nine Months Ended September 30</w:t>
            </w:r>
          </w:p>
        </w:tc>
      </w:tr>
      <w:tr>
        <w:trPr>
          <w:trHeight w:val="167"/>
        </w:trPr>
        <w:tc>
          <w:tcPr>
            <w:tcW w:w="5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76"/>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400"/>
              <w:spacing w:after="0"/>
              <w:rPr>
                <w:sz w:val="20"/>
                <w:szCs w:val="20"/>
                <w:color w:val="auto"/>
              </w:rPr>
            </w:pPr>
            <w:r>
              <w:rPr>
                <w:rFonts w:ascii="Arial" w:cs="Arial" w:eastAsia="Arial" w:hAnsi="Arial"/>
                <w:sz w:val="14"/>
                <w:szCs w:val="14"/>
                <w:color w:val="auto"/>
                <w:w w:val="94"/>
              </w:rPr>
              <w:t>(In thousands, except per share)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8"/>
        </w:trPr>
        <w:tc>
          <w:tcPr>
            <w:tcW w:w="580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507,961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337,793</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1,317,471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1,031,299</w:t>
            </w:r>
          </w:p>
        </w:tc>
        <w:tc>
          <w:tcPr>
            <w:tcW w:w="120" w:type="dxa"/>
            <w:vAlign w:val="bottom"/>
          </w:tcPr>
          <w:p>
            <w:pPr>
              <w:spacing w:after="0"/>
              <w:rPr>
                <w:sz w:val="24"/>
                <w:szCs w:val="24"/>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(2,596)</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(1,989)</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(6,768)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(6,276)</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505,365</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335,804</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1,310,703</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1,025,023</w:t>
            </w:r>
          </w:p>
        </w:tc>
        <w:tc>
          <w:tcPr>
            <w:tcW w:w="120" w:type="dxa"/>
            <w:vAlign w:val="bottom"/>
          </w:tcPr>
          <w:p>
            <w:pPr>
              <w:spacing w:after="0"/>
              <w:rPr>
                <w:sz w:val="19"/>
                <w:szCs w:val="19"/>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143,556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152,245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146,177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153,814</w:t>
            </w:r>
          </w:p>
        </w:tc>
        <w:tc>
          <w:tcPr>
            <w:tcW w:w="120" w:type="dxa"/>
            <w:vAlign w:val="bottom"/>
          </w:tcPr>
          <w:p>
            <w:pPr>
              <w:spacing w:after="0"/>
              <w:rPr>
                <w:sz w:val="19"/>
                <w:szCs w:val="19"/>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(734)</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(898)</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w:t>
            </w: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FF0FC"/>
            </w:tcBorders>
          </w:tcPr>
          <w:p>
            <w:pPr>
              <w:spacing w:after="0"/>
              <w:rPr>
                <w:sz w:val="20"/>
                <w:szCs w:val="20"/>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142,976</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151,691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145,605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153,293</w:t>
            </w:r>
          </w:p>
        </w:tc>
        <w:tc>
          <w:tcPr>
            <w:tcW w:w="120" w:type="dxa"/>
            <w:vAlign w:val="bottom"/>
            <w:shd w:val="clear" w:color="auto" w:fill="CFF0FC"/>
          </w:tcPr>
          <w:p>
            <w:pPr>
              <w:spacing w:after="0"/>
              <w:rPr>
                <w:sz w:val="19"/>
                <w:szCs w:val="19"/>
                <w:color w:val="auto"/>
              </w:rPr>
            </w:pPr>
          </w:p>
        </w:tc>
      </w:tr>
      <w:tr>
        <w:trPr>
          <w:trHeight w:val="229"/>
        </w:trPr>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1"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Stock-based compensation awards and warrants to purchase common stock of M&amp;T representing 212,407 and 408,657 common shares during the three-month periods ended September 30, 2018 and 2017, respectively, and 220,653 and 404,487 common shares during the nine-month periods ended September 30, 2018 and 2017, respectively, were not included in the computations of diluted earnings per common share because the effect on those periods would have been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5"/>
        </w:trPr>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99"/>
              <w:spacing w:after="0" w:line="145" w:lineRule="exact"/>
              <w:rPr>
                <w:sz w:val="20"/>
                <w:szCs w:val="20"/>
                <w:color w:val="auto"/>
              </w:rPr>
            </w:pPr>
            <w:r>
              <w:rPr>
                <w:rFonts w:ascii="Arial" w:cs="Arial" w:eastAsia="Arial" w:hAnsi="Arial"/>
                <w:sz w:val="13"/>
                <w:szCs w:val="13"/>
                <w:color w:val="auto"/>
                <w:w w:val="98"/>
              </w:rPr>
              <w:t>Defined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8"/>
              <w:spacing w:after="0" w:line="145" w:lineRule="exact"/>
              <w:rPr>
                <w:sz w:val="20"/>
                <w:szCs w:val="20"/>
                <w:color w:val="auto"/>
              </w:rPr>
            </w:pPr>
            <w:r>
              <w:rPr>
                <w:rFonts w:ascii="Arial" w:cs="Arial" w:eastAsia="Arial" w:hAnsi="Arial"/>
                <w:sz w:val="13"/>
                <w:szCs w:val="13"/>
                <w:color w:val="auto"/>
                <w:w w:val="96"/>
              </w:rPr>
              <w:t>Total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color w:val="auto"/>
                <w:w w:val="94"/>
              </w:rPr>
              <w:t>Investment</w:t>
            </w:r>
          </w:p>
        </w:tc>
        <w:tc>
          <w:tcPr>
            <w:tcW w:w="820" w:type="dxa"/>
            <w:vAlign w:val="bottom"/>
            <w:gridSpan w:val="2"/>
          </w:tcPr>
          <w:p>
            <w:pPr>
              <w:jc w:val="center"/>
              <w:ind w:right="99"/>
              <w:spacing w:after="0"/>
              <w:rPr>
                <w:sz w:val="20"/>
                <w:szCs w:val="20"/>
                <w:color w:val="auto"/>
              </w:rPr>
            </w:pPr>
            <w:r>
              <w:rPr>
                <w:rFonts w:ascii="Arial" w:cs="Arial" w:eastAsia="Arial" w:hAnsi="Arial"/>
                <w:sz w:val="13"/>
                <w:szCs w:val="13"/>
                <w:color w:val="auto"/>
                <w:w w:val="98"/>
              </w:rPr>
              <w:t>Benefit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3"/>
                <w:szCs w:val="13"/>
                <w:color w:val="auto"/>
                <w:w w:val="98"/>
              </w:rPr>
              <w:t>Amount</w:t>
            </w:r>
          </w:p>
        </w:tc>
        <w:tc>
          <w:tcPr>
            <w:tcW w:w="3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3"/>
                <w:szCs w:val="13"/>
                <w:color w:val="auto"/>
              </w:rPr>
              <w:t>Securities (a)</w:t>
            </w:r>
          </w:p>
        </w:tc>
        <w:tc>
          <w:tcPr>
            <w:tcW w:w="820" w:type="dxa"/>
            <w:vAlign w:val="bottom"/>
            <w:gridSpan w:val="2"/>
          </w:tcPr>
          <w:p>
            <w:pPr>
              <w:jc w:val="center"/>
              <w:ind w:right="99"/>
              <w:spacing w:after="0"/>
              <w:rPr>
                <w:sz w:val="20"/>
                <w:szCs w:val="20"/>
                <w:color w:val="auto"/>
              </w:rPr>
            </w:pPr>
            <w:r>
              <w:rPr>
                <w:rFonts w:ascii="Arial" w:cs="Arial" w:eastAsia="Arial" w:hAnsi="Arial"/>
                <w:sz w:val="13"/>
                <w:szCs w:val="13"/>
                <w:color w:val="auto"/>
                <w:w w:val="85"/>
              </w:rPr>
              <w:t>Plans</w:t>
            </w:r>
          </w:p>
        </w:tc>
        <w:tc>
          <w:tcPr>
            <w:tcW w:w="8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Other</w:t>
            </w:r>
          </w:p>
        </w:tc>
        <w:tc>
          <w:tcPr>
            <w:tcW w:w="60" w:type="dxa"/>
            <w:vAlign w:val="bottom"/>
          </w:tcPr>
          <w:p>
            <w:pPr>
              <w:spacing w:after="0"/>
              <w:rPr>
                <w:sz w:val="13"/>
                <w:szCs w:val="13"/>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3"/>
                <w:szCs w:val="13"/>
                <w:color w:val="auto"/>
                <w:w w:val="94"/>
              </w:rPr>
              <w:t>Before Tax</w:t>
            </w:r>
          </w:p>
        </w:tc>
        <w:tc>
          <w:tcPr>
            <w:tcW w:w="3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Tax</w:t>
            </w:r>
          </w:p>
        </w:tc>
        <w:tc>
          <w:tcPr>
            <w:tcW w:w="120" w:type="dxa"/>
            <w:vAlign w:val="bottom"/>
          </w:tcPr>
          <w:p>
            <w:pPr>
              <w:spacing w:after="0"/>
              <w:rPr>
                <w:sz w:val="13"/>
                <w:szCs w:val="13"/>
                <w:color w:val="auto"/>
              </w:rPr>
            </w:pPr>
          </w:p>
        </w:tc>
        <w:tc>
          <w:tcPr>
            <w:tcW w:w="680" w:type="dxa"/>
            <w:vAlign w:val="bottom"/>
            <w:gridSpan w:val="2"/>
          </w:tcPr>
          <w:p>
            <w:pPr>
              <w:jc w:val="right"/>
              <w:ind w:right="319"/>
              <w:spacing w:after="0"/>
              <w:rPr>
                <w:sz w:val="20"/>
                <w:szCs w:val="20"/>
                <w:color w:val="auto"/>
              </w:rPr>
            </w:pPr>
            <w:r>
              <w:rPr>
                <w:rFonts w:ascii="Arial" w:cs="Arial" w:eastAsia="Arial" w:hAnsi="Arial"/>
                <w:sz w:val="13"/>
                <w:szCs w:val="13"/>
                <w:color w:val="auto"/>
              </w:rPr>
              <w:t>Net</w:t>
            </w:r>
          </w:p>
        </w:tc>
      </w:tr>
      <w:tr>
        <w:trPr>
          <w:trHeight w:val="168"/>
        </w:trPr>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88"/>
              <w:spacing w:after="0"/>
              <w:rPr>
                <w:sz w:val="20"/>
                <w:szCs w:val="20"/>
                <w:color w:val="auto"/>
              </w:rPr>
            </w:pPr>
            <w:r>
              <w:rPr>
                <w:rFonts w:ascii="Arial" w:cs="Arial" w:eastAsia="Arial" w:hAnsi="Arial"/>
                <w:sz w:val="13"/>
                <w:szCs w:val="13"/>
                <w:color w:val="auto"/>
              </w:rPr>
              <w:t>(In thousands)</w:t>
            </w: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11"/>
        </w:trPr>
        <w:tc>
          <w:tcPr>
            <w:tcW w:w="4300" w:type="dxa"/>
            <w:vAlign w:val="bottom"/>
          </w:tcPr>
          <w:p>
            <w:pPr>
              <w:spacing w:after="0"/>
              <w:rPr>
                <w:sz w:val="20"/>
                <w:szCs w:val="20"/>
                <w:color w:val="auto"/>
              </w:rPr>
            </w:pPr>
            <w:r>
              <w:rPr>
                <w:rFonts w:ascii="Arial" w:cs="Arial" w:eastAsia="Arial" w:hAnsi="Arial"/>
                <w:sz w:val="14"/>
                <w:szCs w:val="14"/>
                <w:color w:val="auto"/>
              </w:rPr>
              <w:t>Balance — January 1, 2018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(59,957)</w:t>
            </w:r>
          </w:p>
        </w:tc>
        <w:tc>
          <w:tcPr>
            <w:tcW w:w="120" w:type="dxa"/>
            <w:vAlign w:val="bottom"/>
          </w:tcPr>
          <w:p>
            <w:pPr>
              <w:spacing w:after="0"/>
              <w:rPr>
                <w:sz w:val="24"/>
                <w:szCs w:val="24"/>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(413,168)</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(20,165)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(493,290)</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129,476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(363,814)</w:t>
            </w:r>
          </w:p>
        </w:tc>
      </w:tr>
      <w:tr>
        <w:trPr>
          <w:trHeight w:val="143"/>
        </w:trPr>
        <w:tc>
          <w:tcPr>
            <w:tcW w:w="4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change in accounting principle — equity</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43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securities</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(22,795)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(22,795)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(16,853)</w:t>
            </w: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holding losses, net</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(230,135)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(230,135)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60,494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(169,641)</w:t>
            </w: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(1,783)</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(1,783)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(1,409)</w:t>
            </w: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losses on cash flow hedges</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(26,522)</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(26,522)</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6,972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(19,550)</w:t>
            </w:r>
          </w:p>
        </w:tc>
      </w:tr>
      <w:tr>
        <w:trPr>
          <w:trHeight w:val="137"/>
        </w:trPr>
        <w:tc>
          <w:tcPr>
            <w:tcW w:w="4300" w:type="dxa"/>
            <w:vAlign w:val="bottom"/>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30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(230,135)</w:t>
            </w:r>
          </w:p>
        </w:tc>
        <w:tc>
          <w:tcPr>
            <w:tcW w:w="12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(28,305)</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(258,440)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67,840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(190,600)</w:t>
            </w:r>
          </w:p>
        </w:tc>
      </w:tr>
      <w:tr>
        <w:trPr>
          <w:trHeight w:val="143"/>
        </w:trPr>
        <w:tc>
          <w:tcPr>
            <w:tcW w:w="4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430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300" w:type="dxa"/>
            <w:vAlign w:val="bottom"/>
          </w:tcPr>
          <w:p>
            <w:pPr>
              <w:ind w:left="360"/>
              <w:spacing w:after="0"/>
              <w:rPr>
                <w:sz w:val="20"/>
                <w:szCs w:val="20"/>
                <w:color w:val="auto"/>
              </w:rPr>
            </w:pPr>
            <w:r>
              <w:rPr>
                <w:rFonts w:ascii="Arial" w:cs="Arial" w:eastAsia="Arial" w:hAnsi="Arial"/>
                <w:sz w:val="14"/>
                <w:szCs w:val="14"/>
                <w:color w:val="auto"/>
              </w:rPr>
              <w:t>held-to-maturity (“HTM”) securities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4"/>
                <w:szCs w:val="14"/>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Gains realized in net income</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(14)</w:t>
            </w: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(61)</w:t>
            </w: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7,650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7,650</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(e)</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(2,011)</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5,639</w:t>
            </w:r>
          </w:p>
        </w:tc>
        <w:tc>
          <w:tcPr>
            <w:tcW w:w="100" w:type="dxa"/>
            <w:vAlign w:val="bottom"/>
            <w:shd w:val="clear" w:color="auto" w:fill="CFF0FC"/>
          </w:tcPr>
          <w:p>
            <w:pPr>
              <w:spacing w:after="0"/>
              <w:rPr>
                <w:sz w:val="14"/>
                <w:szCs w:val="14"/>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Amortization of prior service credit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(3,129)</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(3,129)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(f)</w:t>
            </w:r>
          </w:p>
        </w:tc>
        <w:tc>
          <w:tcPr>
            <w:tcW w:w="680" w:type="dxa"/>
            <w:vAlign w:val="bottom"/>
          </w:tcPr>
          <w:p>
            <w:pPr>
              <w:jc w:val="right"/>
              <w:spacing w:after="0"/>
              <w:rPr>
                <w:sz w:val="20"/>
                <w:szCs w:val="20"/>
                <w:color w:val="auto"/>
              </w:rPr>
            </w:pPr>
            <w:r>
              <w:rPr>
                <w:rFonts w:ascii="Arial" w:cs="Arial" w:eastAsia="Arial" w:hAnsi="Arial"/>
                <w:sz w:val="14"/>
                <w:szCs w:val="14"/>
                <w:color w:val="auto"/>
              </w:rPr>
              <w:t>823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(2,306)</w:t>
            </w: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actuarial losses</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32,225</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(f)</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(8,472)</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23,753</w:t>
            </w:r>
          </w:p>
        </w:tc>
        <w:tc>
          <w:tcPr>
            <w:tcW w:w="100" w:type="dxa"/>
            <w:vAlign w:val="bottom"/>
            <w:shd w:val="clear" w:color="auto" w:fill="CFF0FC"/>
          </w:tcPr>
          <w:p>
            <w:pPr>
              <w:spacing w:after="0"/>
              <w:rPr>
                <w:sz w:val="14"/>
                <w:szCs w:val="14"/>
                <w:color w:val="auto"/>
              </w:rPr>
            </w:pPr>
          </w:p>
        </w:tc>
      </w:tr>
      <w:tr>
        <w:trPr>
          <w:trHeight w:val="155"/>
        </w:trPr>
        <w:tc>
          <w:tcPr>
            <w:tcW w:w="4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4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(227,634)</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29,096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(20,738)</w:t>
            </w:r>
          </w:p>
        </w:tc>
        <w:tc>
          <w:tcPr>
            <w:tcW w:w="24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(219,276)</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57,544</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(161,732)</w:t>
            </w:r>
          </w:p>
        </w:tc>
        <w:tc>
          <w:tcPr>
            <w:tcW w:w="100" w:type="dxa"/>
            <w:vAlign w:val="bottom"/>
            <w:tcBorders>
              <w:bottom w:val="single" w:sz="8" w:color="CFF0FC"/>
            </w:tcBorders>
          </w:tcPr>
          <w:p>
            <w:pPr>
              <w:spacing w:after="0"/>
              <w:rPr>
                <w:sz w:val="13"/>
                <w:szCs w:val="13"/>
                <w:color w:val="auto"/>
              </w:rPr>
            </w:pPr>
          </w:p>
        </w:tc>
      </w:tr>
      <w:tr>
        <w:trPr>
          <w:trHeight w:val="15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2018</w:t>
            </w:r>
          </w:p>
        </w:tc>
        <w:tc>
          <w:tcPr>
            <w:tcW w:w="4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(310,386</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(384,072)</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(40,903)</w:t>
            </w:r>
          </w:p>
        </w:tc>
        <w:tc>
          <w:tcPr>
            <w:tcW w:w="2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(735,361</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192,962</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(542,399</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3"/>
        </w:trPr>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99"/>
              <w:spacing w:after="0"/>
              <w:rPr>
                <w:sz w:val="20"/>
                <w:szCs w:val="20"/>
                <w:color w:val="auto"/>
              </w:rPr>
            </w:pPr>
            <w:r>
              <w:rPr>
                <w:rFonts w:ascii="Arial" w:cs="Arial" w:eastAsia="Arial" w:hAnsi="Arial"/>
                <w:sz w:val="13"/>
                <w:szCs w:val="13"/>
                <w:color w:val="auto"/>
                <w:w w:val="98"/>
              </w:rPr>
              <w:t>Defined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3"/>
                <w:szCs w:val="13"/>
                <w:color w:val="auto"/>
                <w:w w:val="96"/>
              </w:rPr>
              <w:t>Total</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4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3"/>
                <w:szCs w:val="13"/>
                <w:color w:val="auto"/>
                <w:w w:val="99"/>
              </w:rPr>
              <w:t>Investment Securities</w:t>
            </w:r>
          </w:p>
        </w:tc>
        <w:tc>
          <w:tcPr>
            <w:tcW w:w="220" w:type="dxa"/>
            <w:vAlign w:val="bottom"/>
            <w:gridSpan w:val="2"/>
          </w:tcPr>
          <w:p>
            <w:pPr>
              <w:spacing w:after="0"/>
              <w:rPr>
                <w:sz w:val="13"/>
                <w:szCs w:val="13"/>
                <w:color w:val="auto"/>
              </w:rPr>
            </w:pPr>
          </w:p>
        </w:tc>
        <w:tc>
          <w:tcPr>
            <w:tcW w:w="820" w:type="dxa"/>
            <w:vAlign w:val="bottom"/>
            <w:gridSpan w:val="2"/>
          </w:tcPr>
          <w:p>
            <w:pPr>
              <w:jc w:val="center"/>
              <w:ind w:right="99"/>
              <w:spacing w:after="0"/>
              <w:rPr>
                <w:sz w:val="20"/>
                <w:szCs w:val="20"/>
                <w:color w:val="auto"/>
              </w:rPr>
            </w:pPr>
            <w:r>
              <w:rPr>
                <w:rFonts w:ascii="Arial" w:cs="Arial" w:eastAsia="Arial" w:hAnsi="Arial"/>
                <w:sz w:val="13"/>
                <w:szCs w:val="13"/>
                <w:color w:val="auto"/>
                <w:w w:val="98"/>
              </w:rPr>
              <w:t>Benefit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3"/>
                <w:szCs w:val="13"/>
                <w:color w:val="auto"/>
                <w:w w:val="98"/>
              </w:rPr>
              <w:t>Amount</w:t>
            </w:r>
          </w:p>
        </w:tc>
        <w:tc>
          <w:tcPr>
            <w:tcW w:w="3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300" w:type="dxa"/>
            <w:vAlign w:val="bottom"/>
          </w:tcPr>
          <w:p>
            <w:pPr>
              <w:spacing w:after="0"/>
              <w:rPr>
                <w:sz w:val="13"/>
                <w:szCs w:val="13"/>
                <w:color w:val="auto"/>
              </w:rPr>
            </w:pPr>
          </w:p>
        </w:tc>
        <w:tc>
          <w:tcPr>
            <w:tcW w:w="1460" w:type="dxa"/>
            <w:vAlign w:val="bottom"/>
            <w:gridSpan w:val="4"/>
          </w:tcPr>
          <w:p>
            <w:pPr>
              <w:ind w:left="420"/>
              <w:spacing w:after="0"/>
              <w:rPr>
                <w:sz w:val="20"/>
                <w:szCs w:val="20"/>
                <w:color w:val="auto"/>
              </w:rPr>
            </w:pPr>
            <w:r>
              <w:rPr>
                <w:rFonts w:ascii="Arial" w:cs="Arial" w:eastAsia="Arial" w:hAnsi="Arial"/>
                <w:sz w:val="13"/>
                <w:szCs w:val="13"/>
                <w:color w:val="auto"/>
              </w:rPr>
              <w:t>With OTTI (b)</w:t>
            </w:r>
          </w:p>
        </w:tc>
        <w:tc>
          <w:tcPr>
            <w:tcW w:w="10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3"/>
                <w:szCs w:val="13"/>
                <w:color w:val="auto"/>
              </w:rPr>
              <w:t>All Other</w:t>
            </w:r>
          </w:p>
        </w:tc>
        <w:tc>
          <w:tcPr>
            <w:tcW w:w="820" w:type="dxa"/>
            <w:vAlign w:val="bottom"/>
            <w:gridSpan w:val="2"/>
          </w:tcPr>
          <w:p>
            <w:pPr>
              <w:jc w:val="center"/>
              <w:ind w:right="99"/>
              <w:spacing w:after="0"/>
              <w:rPr>
                <w:sz w:val="20"/>
                <w:szCs w:val="20"/>
                <w:color w:val="auto"/>
              </w:rPr>
            </w:pPr>
            <w:r>
              <w:rPr>
                <w:rFonts w:ascii="Arial" w:cs="Arial" w:eastAsia="Arial" w:hAnsi="Arial"/>
                <w:sz w:val="13"/>
                <w:szCs w:val="13"/>
                <w:color w:val="auto"/>
                <w:w w:val="85"/>
              </w:rPr>
              <w:t>Plans</w:t>
            </w:r>
          </w:p>
        </w:tc>
        <w:tc>
          <w:tcPr>
            <w:tcW w:w="8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Other</w:t>
            </w:r>
          </w:p>
        </w:tc>
        <w:tc>
          <w:tcPr>
            <w:tcW w:w="60" w:type="dxa"/>
            <w:vAlign w:val="bottom"/>
          </w:tcPr>
          <w:p>
            <w:pPr>
              <w:spacing w:after="0"/>
              <w:rPr>
                <w:sz w:val="13"/>
                <w:szCs w:val="13"/>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3"/>
                <w:szCs w:val="13"/>
                <w:color w:val="auto"/>
                <w:w w:val="94"/>
              </w:rPr>
              <w:t>Before Tax</w:t>
            </w:r>
          </w:p>
        </w:tc>
        <w:tc>
          <w:tcPr>
            <w:tcW w:w="3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Tax</w:t>
            </w:r>
          </w:p>
        </w:tc>
        <w:tc>
          <w:tcPr>
            <w:tcW w:w="120" w:type="dxa"/>
            <w:vAlign w:val="bottom"/>
          </w:tcPr>
          <w:p>
            <w:pPr>
              <w:spacing w:after="0"/>
              <w:rPr>
                <w:sz w:val="13"/>
                <w:szCs w:val="13"/>
                <w:color w:val="auto"/>
              </w:rPr>
            </w:pPr>
          </w:p>
        </w:tc>
        <w:tc>
          <w:tcPr>
            <w:tcW w:w="680" w:type="dxa"/>
            <w:vAlign w:val="bottom"/>
            <w:gridSpan w:val="2"/>
          </w:tcPr>
          <w:p>
            <w:pPr>
              <w:jc w:val="right"/>
              <w:ind w:right="319"/>
              <w:spacing w:after="0"/>
              <w:rPr>
                <w:sz w:val="20"/>
                <w:szCs w:val="20"/>
                <w:color w:val="auto"/>
              </w:rPr>
            </w:pPr>
            <w:r>
              <w:rPr>
                <w:rFonts w:ascii="Arial" w:cs="Arial" w:eastAsia="Arial" w:hAnsi="Arial"/>
                <w:sz w:val="13"/>
                <w:szCs w:val="13"/>
                <w:color w:val="auto"/>
              </w:rPr>
              <w:t>Net</w:t>
            </w:r>
          </w:p>
        </w:tc>
      </w:tr>
      <w:tr>
        <w:trPr>
          <w:trHeight w:val="168"/>
        </w:trPr>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(In thousands)</w:t>
            </w: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2017</w:t>
            </w:r>
          </w:p>
        </w:tc>
        <w:tc>
          <w:tcPr>
            <w:tcW w:w="620" w:type="dxa"/>
            <w:vAlign w:val="bottom"/>
            <w:gridSpan w:val="2"/>
            <w:shd w:val="clear" w:color="auto" w:fill="CFF0FC"/>
          </w:tcPr>
          <w:p>
            <w:pPr>
              <w:ind w:left="4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46,725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(73,785)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(449,917)</w:t>
            </w: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(8,268)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(485,245)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(294,636)</w:t>
            </w: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holding gains (losses), net</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(7,365)</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53,221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(20,934)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32,287</w:t>
            </w:r>
          </w:p>
        </w:tc>
        <w:tc>
          <w:tcPr>
            <w:tcW w:w="100" w:type="dxa"/>
            <w:vAlign w:val="bottom"/>
            <w:shd w:val="clear" w:color="auto" w:fill="CFF0FC"/>
          </w:tcPr>
          <w:p>
            <w:pPr>
              <w:spacing w:after="0"/>
              <w:rPr>
                <w:sz w:val="14"/>
                <w:szCs w:val="14"/>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3,829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4"/>
                <w:szCs w:val="14"/>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losses on cash flow hedges</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(1,076)</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(1,076)</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(652)</w:t>
            </w:r>
          </w:p>
        </w:tc>
      </w:tr>
      <w:tr>
        <w:trPr>
          <w:trHeight w:val="137"/>
        </w:trPr>
        <w:tc>
          <w:tcPr>
            <w:tcW w:w="4300" w:type="dxa"/>
            <w:vAlign w:val="bottom"/>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30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(7,365)</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60,586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2,753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55,974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(21,850)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34,124</w:t>
            </w:r>
          </w:p>
        </w:tc>
        <w:tc>
          <w:tcPr>
            <w:tcW w:w="100" w:type="dxa"/>
            <w:vAlign w:val="bottom"/>
          </w:tcPr>
          <w:p>
            <w:pPr>
              <w:spacing w:after="0"/>
              <w:rPr>
                <w:sz w:val="14"/>
                <w:szCs w:val="14"/>
                <w:color w:val="auto"/>
              </w:rPr>
            </w:pPr>
          </w:p>
        </w:tc>
      </w:tr>
      <w:tr>
        <w:trPr>
          <w:trHeight w:val="143"/>
        </w:trPr>
        <w:tc>
          <w:tcPr>
            <w:tcW w:w="4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430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30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4"/>
                <w:szCs w:val="14"/>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(Gains) losses realized in net income</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(66)</w:t>
            </w: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(2,275)</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(1,380)</w:t>
            </w: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Amortization of prior service credit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(f)</w:t>
            </w:r>
          </w:p>
        </w:tc>
        <w:tc>
          <w:tcPr>
            <w:tcW w:w="680" w:type="dxa"/>
            <w:vAlign w:val="bottom"/>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(365)</w:t>
            </w: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actuarial losses</w:t>
            </w: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21,206</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(f)</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(8,345)</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12,861</w:t>
            </w:r>
          </w:p>
        </w:tc>
        <w:tc>
          <w:tcPr>
            <w:tcW w:w="100" w:type="dxa"/>
            <w:vAlign w:val="bottom"/>
            <w:shd w:val="clear" w:color="auto" w:fill="CFF0FC"/>
          </w:tcPr>
          <w:p>
            <w:pPr>
              <w:spacing w:after="0"/>
              <w:rPr>
                <w:sz w:val="14"/>
                <w:szCs w:val="14"/>
                <w:color w:val="auto"/>
              </w:rPr>
            </w:pPr>
          </w:p>
        </w:tc>
      </w:tr>
      <w:tr>
        <w:trPr>
          <w:trHeight w:val="155"/>
        </w:trPr>
        <w:tc>
          <w:tcPr>
            <w:tcW w:w="4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4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(7,415)</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63,188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20,605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w:t>
            </w:r>
          </w:p>
        </w:tc>
        <w:tc>
          <w:tcPr>
            <w:tcW w:w="24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76,747</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(30,026)</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46,721</w:t>
            </w:r>
          </w:p>
        </w:tc>
        <w:tc>
          <w:tcPr>
            <w:tcW w:w="100" w:type="dxa"/>
            <w:vAlign w:val="bottom"/>
            <w:tcBorders>
              <w:bottom w:val="single" w:sz="8" w:color="CFF0FC"/>
            </w:tcBorders>
          </w:tcPr>
          <w:p>
            <w:pPr>
              <w:spacing w:after="0"/>
              <w:rPr>
                <w:sz w:val="13"/>
                <w:szCs w:val="13"/>
                <w:color w:val="auto"/>
              </w:rPr>
            </w:pPr>
          </w:p>
        </w:tc>
      </w:tr>
      <w:tr>
        <w:trPr>
          <w:trHeight w:val="15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2017</w:t>
            </w:r>
          </w:p>
        </w:tc>
        <w:tc>
          <w:tcPr>
            <w:tcW w:w="4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39,310</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(10,597)</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(429,312</w:t>
            </w:r>
          </w:p>
        </w:tc>
        <w:tc>
          <w:tcPr>
            <w:tcW w:w="1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(7,899)</w:t>
            </w:r>
          </w:p>
        </w:tc>
        <w:tc>
          <w:tcPr>
            <w:tcW w:w="2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(408,498</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160,583</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(247,915</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right="140" w:hanging="512"/>
        <w:spacing w:after="0"/>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Beginning January 1, 2018, equity securities with readily determinable fair values are required to be measured at fair value with changes in fair value recognized in the income statement. Separate presentation of investment securities with an other-than-temporary impairment charge is no longer required.</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Other-than-temporary impairment</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20" w:hanging="512"/>
        <w:spacing w:after="0"/>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195" w:lineRule="exact"/>
        <w:rPr>
          <w:rFonts w:ascii="Arial" w:cs="Arial" w:eastAsia="Arial" w:hAnsi="Arial"/>
          <w:sz w:val="14"/>
          <w:szCs w:val="14"/>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center"/>
              <w:ind w:right="680"/>
              <w:spacing w:after="0"/>
              <w:rPr>
                <w:sz w:val="20"/>
                <w:szCs w:val="20"/>
                <w:color w:val="auto"/>
              </w:rPr>
            </w:pPr>
            <w:r>
              <w:rPr>
                <w:rFonts w:ascii="Arial" w:cs="Arial" w:eastAsia="Arial" w:hAnsi="Arial"/>
                <w:sz w:val="13"/>
                <w:szCs w:val="13"/>
                <w:color w:val="auto"/>
                <w:w w:val="93"/>
              </w:rPr>
              <w:t>Defined</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3"/>
                <w:szCs w:val="13"/>
                <w:color w:val="auto"/>
              </w:rPr>
              <w:t>Investment</w:t>
            </w:r>
          </w:p>
        </w:tc>
        <w:tc>
          <w:tcPr>
            <w:tcW w:w="1740" w:type="dxa"/>
            <w:vAlign w:val="bottom"/>
            <w:gridSpan w:val="3"/>
          </w:tcPr>
          <w:p>
            <w:pPr>
              <w:jc w:val="center"/>
              <w:ind w:right="660"/>
              <w:spacing w:after="0"/>
              <w:rPr>
                <w:sz w:val="20"/>
                <w:szCs w:val="20"/>
                <w:color w:val="auto"/>
              </w:rPr>
            </w:pPr>
            <w:r>
              <w:rPr>
                <w:rFonts w:ascii="Arial" w:cs="Arial" w:eastAsia="Arial" w:hAnsi="Arial"/>
                <w:sz w:val="13"/>
                <w:szCs w:val="13"/>
                <w:color w:val="auto"/>
                <w:w w:val="98"/>
              </w:rPr>
              <w:t>Benefit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3"/>
                <w:szCs w:val="13"/>
                <w:color w:val="auto"/>
              </w:rPr>
              <w:t>Securities</w:t>
            </w:r>
          </w:p>
        </w:tc>
        <w:tc>
          <w:tcPr>
            <w:tcW w:w="1740" w:type="dxa"/>
            <w:vAlign w:val="bottom"/>
            <w:gridSpan w:val="3"/>
          </w:tcPr>
          <w:p>
            <w:pPr>
              <w:jc w:val="center"/>
              <w:ind w:right="680"/>
              <w:spacing w:after="0"/>
              <w:rPr>
                <w:sz w:val="20"/>
                <w:szCs w:val="20"/>
                <w:color w:val="auto"/>
              </w:rPr>
            </w:pPr>
            <w:r>
              <w:rPr>
                <w:rFonts w:ascii="Arial" w:cs="Arial" w:eastAsia="Arial" w:hAnsi="Arial"/>
                <w:sz w:val="13"/>
                <w:szCs w:val="13"/>
                <w:color w:val="auto"/>
                <w:w w:val="92"/>
              </w:rPr>
              <w:t>Plans</w:t>
            </w:r>
          </w:p>
        </w:tc>
        <w:tc>
          <w:tcPr>
            <w:tcW w:w="1000" w:type="dxa"/>
            <w:vAlign w:val="bottom"/>
            <w:gridSpan w:val="2"/>
          </w:tcPr>
          <w:p>
            <w:pPr>
              <w:jc w:val="right"/>
              <w:ind w:right="60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3"/>
                <w:szCs w:val="13"/>
                <w:color w:val="auto"/>
              </w:rPr>
              <w:t>Total</w:t>
            </w:r>
          </w:p>
        </w:tc>
      </w:tr>
      <w:tr>
        <w:trPr>
          <w:trHeight w:val="168"/>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3"/>
          </w:tcPr>
          <w:p>
            <w:pPr>
              <w:ind w:left="880"/>
              <w:spacing w:after="0"/>
              <w:rPr>
                <w:sz w:val="20"/>
                <w:szCs w:val="20"/>
                <w:color w:val="auto"/>
              </w:rPr>
            </w:pPr>
            <w:r>
              <w:rPr>
                <w:rFonts w:ascii="Arial" w:cs="Arial" w:eastAsia="Arial" w:hAnsi="Arial"/>
                <w:sz w:val="13"/>
                <w:szCs w:val="13"/>
                <w:color w:val="auto"/>
              </w:rPr>
              <w:t>(In thousands)</w:t>
            </w: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11"/>
        </w:trPr>
        <w:tc>
          <w:tcPr>
            <w:tcW w:w="5000" w:type="dxa"/>
            <w:vAlign w:val="bottom"/>
          </w:tcPr>
          <w:p>
            <w:pPr>
              <w:spacing w:after="0"/>
              <w:rPr>
                <w:sz w:val="20"/>
                <w:szCs w:val="20"/>
                <w:color w:val="auto"/>
              </w:rPr>
            </w:pPr>
            <w:r>
              <w:rPr>
                <w:rFonts w:ascii="Arial" w:cs="Arial" w:eastAsia="Arial" w:hAnsi="Arial"/>
                <w:sz w:val="14"/>
                <w:szCs w:val="14"/>
                <w:color w:val="auto"/>
              </w:rPr>
              <w:t>Balance — December 31, 2017</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(44,150)</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(304,546)</w:t>
            </w:r>
          </w:p>
        </w:tc>
        <w:tc>
          <w:tcPr>
            <w:tcW w:w="3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(15,118)</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(363,814)</w:t>
            </w: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of change in accounting principle — equity securities</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(16,853)</w:t>
            </w:r>
          </w:p>
        </w:tc>
        <w:tc>
          <w:tcPr>
            <w:tcW w:w="1740" w:type="dxa"/>
            <w:vAlign w:val="bottom"/>
            <w:gridSpan w:val="3"/>
            <w:shd w:val="clear" w:color="auto" w:fill="CFF0FC"/>
          </w:tcPr>
          <w:p>
            <w:pPr>
              <w:jc w:val="right"/>
              <w:ind w:righ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(16,853)</w:t>
            </w: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(167,798)</w:t>
            </w:r>
          </w:p>
        </w:tc>
        <w:tc>
          <w:tcPr>
            <w:tcW w:w="1080" w:type="dxa"/>
            <w:vAlign w:val="bottom"/>
          </w:tcPr>
          <w:p>
            <w:pPr>
              <w:jc w:val="right"/>
              <w:spacing w:after="0"/>
              <w:rPr>
                <w:sz w:val="20"/>
                <w:szCs w:val="20"/>
                <w:color w:val="auto"/>
              </w:rPr>
            </w:pPr>
            <w:r>
              <w:rPr>
                <w:rFonts w:ascii="Arial" w:cs="Arial" w:eastAsia="Arial" w:hAnsi="Arial"/>
                <w:sz w:val="14"/>
                <w:szCs w:val="14"/>
                <w:color w:val="auto"/>
              </w:rPr>
              <w:t>21,447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(15,381)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(161,732)</w:t>
            </w:r>
          </w:p>
        </w:tc>
      </w:tr>
      <w:tr>
        <w:trPr>
          <w:trHeight w:val="155"/>
        </w:trPr>
        <w:tc>
          <w:tcPr>
            <w:tcW w:w="50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2018</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(228,801)</w:t>
            </w:r>
          </w:p>
        </w:tc>
        <w:tc>
          <w:tcPr>
            <w:tcW w:w="380" w:type="dxa"/>
            <w:vAlign w:val="bottom"/>
            <w:tcBorders>
              <w:top w:val="single" w:sz="8" w:color="CFF0FC"/>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(283,099)</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(30,499)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(542,399)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September 30, 2018.</w:t>
      </w:r>
    </w:p>
    <w:p>
      <w:pPr>
        <w:spacing w:after="0" w:line="178"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net effect of interest rate swap agreements was to decrease net interest income by $8 million and $12 million for the three-month and nine-month periods ended September 30, 2018, respectively, compared with increases of $7 million and $18 million for the three-month and nine-month periods ended September 30, 2017,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223"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ind w:left="660"/>
              <w:spacing w:after="0"/>
              <w:rPr>
                <w:sz w:val="20"/>
                <w:szCs w:val="20"/>
                <w:color w:val="auto"/>
              </w:rPr>
            </w:pPr>
            <w:r>
              <w:rPr>
                <w:rFonts w:ascii="Arial" w:cs="Arial" w:eastAsia="Arial" w:hAnsi="Arial"/>
                <w:sz w:val="14"/>
                <w:szCs w:val="14"/>
                <w:color w:val="auto"/>
                <w:w w:val="93"/>
              </w:rPr>
              <w:t>Weighted-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Notional</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Average 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Estimated Fair</w:t>
            </w:r>
          </w:p>
        </w:tc>
      </w:tr>
      <w:tr>
        <w:trPr>
          <w:trHeight w:val="236"/>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780" w:type="dxa"/>
            <w:vAlign w:val="bottom"/>
          </w:tcPr>
          <w:p>
            <w:pPr>
              <w:jc w:val="center"/>
              <w:spacing w:after="0"/>
              <w:rPr>
                <w:sz w:val="20"/>
                <w:szCs w:val="20"/>
                <w:color w:val="auto"/>
              </w:rPr>
            </w:pPr>
            <w:r>
              <w:rPr>
                <w:rFonts w:ascii="Arial" w:cs="Arial" w:eastAsia="Arial" w:hAnsi="Arial"/>
                <w:sz w:val="14"/>
                <w:szCs w:val="14"/>
                <w:color w:val="auto"/>
              </w:rPr>
              <w:t>Maturity</w:t>
            </w:r>
          </w:p>
        </w:tc>
        <w:tc>
          <w:tcPr>
            <w:tcW w:w="280" w:type="dxa"/>
            <w:vAlign w:val="bottom"/>
          </w:tcPr>
          <w:p>
            <w:pPr>
              <w:spacing w:after="0"/>
              <w:rPr>
                <w:sz w:val="20"/>
                <w:szCs w:val="20"/>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Fixed</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Variable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Value Gain (a)</w:t>
            </w:r>
          </w:p>
        </w:tc>
      </w:tr>
      <w:tr>
        <w:trPr>
          <w:trHeight w:val="155"/>
        </w:trPr>
        <w:tc>
          <w:tcPr>
            <w:tcW w:w="444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(In years)</w:t>
            </w:r>
          </w:p>
        </w:tc>
        <w:tc>
          <w:tcPr>
            <w:tcW w:w="2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Fair value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10,550,000</w:t>
            </w:r>
          </w:p>
        </w:tc>
        <w:tc>
          <w:tcPr>
            <w:tcW w:w="28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20"/>
                <w:szCs w:val="20"/>
                <w:color w:val="auto"/>
              </w:rPr>
            </w:pPr>
          </w:p>
        </w:tc>
      </w:tr>
      <w:tr>
        <w:trPr>
          <w:trHeight w:val="276"/>
        </w:trPr>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15,750,000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4"/>
                <w:szCs w:val="24"/>
                <w:color w:val="auto"/>
              </w:rPr>
            </w:pPr>
          </w:p>
        </w:tc>
      </w:tr>
      <w:tr>
        <w:trPr>
          <w:trHeight w:val="210"/>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Fair value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28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0"/>
                <w:szCs w:val="20"/>
                <w:color w:val="auto"/>
              </w:rPr>
            </w:pPr>
          </w:p>
        </w:tc>
      </w:tr>
      <w:tr>
        <w:trPr>
          <w:trHeight w:val="236"/>
        </w:trPr>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rPr>
              <w:t>9,400,000</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0</wp:posOffset>
            </wp:positionV>
            <wp:extent cx="685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17145</wp:posOffset>
            </wp:positionV>
            <wp:extent cx="685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0</wp:posOffset>
            </wp:positionV>
            <wp:extent cx="4965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657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17145</wp:posOffset>
            </wp:positionV>
            <wp:extent cx="1318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1" w:lineRule="exact"/>
        <w:rPr>
          <w:sz w:val="20"/>
          <w:szCs w:val="20"/>
          <w:color w:val="auto"/>
        </w:rPr>
      </w:pPr>
    </w:p>
    <w:p>
      <w:pPr>
        <w:ind w:left="540" w:hanging="532"/>
        <w:spacing w:after="0" w:line="265"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clearinghouse exchanges consider payments by counterparties for variation margin on derivative instruments to be settlements of those positions. The impact of such treatment at September 30, 2018 and December 31, 2017 was a reduction of the estimated fair value losses on interest rate swap agreements designated as fair value hedges of $110.3 million and $41.1 million, respectively, and on interest rate swap agreements designated as cash flow hedges of $36.1 million and $16.3 million, respectively.</w:t>
      </w: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Under the terms of these agreements, the Company receives settlement amounts at a fixed rate and pays at a variable rate.</w:t>
      </w:r>
    </w:p>
    <w:p>
      <w:pPr>
        <w:spacing w:after="0" w:line="18" w:lineRule="exact"/>
        <w:rPr>
          <w:rFonts w:ascii="Arial" w:cs="Arial" w:eastAsia="Arial" w:hAnsi="Arial"/>
          <w:sz w:val="16"/>
          <w:szCs w:val="16"/>
          <w:i w:val="1"/>
          <w:iCs w:val="1"/>
          <w:color w:val="auto"/>
        </w:rPr>
      </w:pPr>
    </w:p>
    <w:p>
      <w:pPr>
        <w:ind w:left="540" w:right="220" w:hanging="532"/>
        <w:spacing w:after="0" w:line="263"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$7.7 billion of forward-starting interest rate swap agreements that will become effective in 2019 and 2020 upon maturity of a like amount of other swap agreements.</w:t>
      </w:r>
    </w:p>
    <w:p>
      <w:pPr>
        <w:spacing w:after="0" w:line="1" w:lineRule="exact"/>
        <w:rPr>
          <w:rFonts w:ascii="Arial" w:cs="Arial" w:eastAsia="Arial" w:hAnsi="Arial"/>
          <w:sz w:val="16"/>
          <w:szCs w:val="16"/>
          <w:i w:val="1"/>
          <w:iCs w:val="1"/>
          <w:color w:val="auto"/>
        </w:rPr>
      </w:pPr>
    </w:p>
    <w:p>
      <w:pPr>
        <w:ind w:left="540" w:right="80" w:hanging="532"/>
        <w:spacing w:after="0" w:line="287"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$2.0 billion of forward-starting interest rate swap agreements that will become effective in 2019 upon maturity of a like amount of other swap agreements.</w:t>
      </w:r>
    </w:p>
    <w:p>
      <w:pPr>
        <w:spacing w:after="0" w:line="267"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89"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$40.3 billion and $29.9 billion at September 30, 2018 and December 31, 2017, respectively. The notional amounts of foreign currency and other option and futures contracts entered into for trading account purposes aggregated $869 million and $530 million at September 30, 2018 and December 31, 2017,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5" w:lineRule="exact"/>
        <w:rPr>
          <w:sz w:val="20"/>
          <w:szCs w:val="20"/>
          <w:color w:val="auto"/>
        </w:rPr>
      </w:pPr>
    </w:p>
    <w:p>
      <w:pPr>
        <w:ind w:right="20" w:firstLine="518"/>
        <w:spacing w:after="0" w:line="263"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433"/>
              <w:spacing w:after="0"/>
              <w:rPr>
                <w:sz w:val="20"/>
                <w:szCs w:val="20"/>
                <w:color w:val="auto"/>
              </w:rPr>
            </w:pPr>
            <w:r>
              <w:rPr>
                <w:rFonts w:ascii="Arial" w:cs="Arial" w:eastAsia="Arial" w:hAnsi="Arial"/>
                <w:sz w:val="14"/>
                <w:szCs w:val="14"/>
                <w:color w:val="auto"/>
              </w:rPr>
              <w:t>Asset Derivatives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right"/>
              <w:spacing w:after="0" w:line="150" w:lineRule="exact"/>
              <w:rPr>
                <w:sz w:val="20"/>
                <w:szCs w:val="20"/>
                <w:color w:val="auto"/>
              </w:rPr>
            </w:pPr>
            <w:r>
              <w:rPr>
                <w:rFonts w:ascii="Arial" w:cs="Arial" w:eastAsia="Arial" w:hAnsi="Arial"/>
                <w:sz w:val="14"/>
                <w:szCs w:val="14"/>
                <w:color w:val="auto"/>
              </w:rPr>
              <w:t>Fair Value</w:t>
            </w: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right"/>
              <w:spacing w:after="0" w:line="150" w:lineRule="exact"/>
              <w:rPr>
                <w:sz w:val="20"/>
                <w:szCs w:val="20"/>
                <w:color w:val="auto"/>
              </w:rPr>
            </w:pPr>
            <w:r>
              <w:rPr>
                <w:rFonts w:ascii="Arial" w:cs="Arial" w:eastAsia="Arial" w:hAnsi="Arial"/>
                <w:sz w:val="14"/>
                <w:szCs w:val="14"/>
                <w:color w:val="auto"/>
              </w:rPr>
              <w:t>Fair Value</w:t>
            </w: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5"/>
              </w:rPr>
              <w:t>December 31,</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w w:val="89"/>
              </w:rPr>
              <w:t>2018</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52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 for sale (a)</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299,791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310,422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138,903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91,440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310,968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139,186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jc w:val="both"/>
        <w:ind w:left="520" w:right="20" w:hanging="512"/>
        <w:spacing w:after="0" w:line="277" w:lineRule="auto"/>
        <w:tabs>
          <w:tab w:leader="none" w:pos="5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Asset derivatives are reported in trading account assets and liability derivatives are reported in other liabilities. The impact of variation margin payments at </w:t>
      </w:r>
      <w:r>
        <w:rPr>
          <w:rFonts w:ascii="Arial" w:cs="Arial" w:eastAsia="Arial" w:hAnsi="Arial"/>
          <w:sz w:val="15"/>
          <w:szCs w:val="15"/>
          <w:i w:val="1"/>
          <w:iCs w:val="1"/>
          <w:color w:val="auto"/>
        </w:rPr>
        <w:t>September 30, 2018 and December 31, 2017</w:t>
      </w:r>
      <w:r>
        <w:rPr>
          <w:rFonts w:ascii="Arial" w:cs="Arial" w:eastAsia="Arial" w:hAnsi="Arial"/>
          <w:sz w:val="17"/>
          <w:szCs w:val="17"/>
          <w:i w:val="1"/>
          <w:iCs w:val="1"/>
          <w:color w:val="auto"/>
        </w:rPr>
        <w:t xml:space="preserve"> was a reduction of the estimated fair value of interest rate contracts in the trading account in an asset position of $302.4 million and $136.2 million, respectively, and in a liability position of $2.7 million and $12.2 million, respectively.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w w:val="95"/>
              </w:rPr>
              <w:t>Amount of Gain (Loss) Recognized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3"/>
          </w:tcPr>
          <w:p>
            <w:pPr>
              <w:jc w:val="center"/>
              <w:ind w:right="24"/>
              <w:spacing w:after="0" w:line="137" w:lineRule="exact"/>
              <w:rPr>
                <w:sz w:val="20"/>
                <w:szCs w:val="20"/>
                <w:color w:val="auto"/>
              </w:rPr>
            </w:pPr>
            <w:r>
              <w:rPr>
                <w:rFonts w:ascii="Arial" w:cs="Arial" w:eastAsia="Arial" w:hAnsi="Arial"/>
                <w:sz w:val="14"/>
                <w:szCs w:val="14"/>
                <w:color w:val="auto"/>
                <w:w w:val="91"/>
              </w:rPr>
              <w:t>Three Months Ended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3"/>
          </w:tcPr>
          <w:p>
            <w:pPr>
              <w:jc w:val="center"/>
              <w:ind w:right="39"/>
              <w:spacing w:after="0" w:line="137" w:lineRule="exact"/>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24"/>
              <w:spacing w:after="0"/>
              <w:rPr>
                <w:sz w:val="20"/>
                <w:szCs w:val="20"/>
                <w:color w:val="auto"/>
              </w:rPr>
            </w:pPr>
            <w:r>
              <w:rPr>
                <w:rFonts w:ascii="Arial" w:cs="Arial" w:eastAsia="Arial" w:hAnsi="Arial"/>
                <w:sz w:val="14"/>
                <w:szCs w:val="14"/>
                <w:color w:val="auto"/>
                <w:w w:val="91"/>
              </w:rPr>
              <w:t>September 30, 2018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September 30,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w w:val="93"/>
              </w:rPr>
              <w:t>Derivative</w:t>
            </w:r>
          </w:p>
        </w:tc>
        <w:tc>
          <w:tcPr>
            <w:tcW w:w="88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w w:val="97"/>
              </w:rPr>
              <w:t>Hedged Item</w:t>
            </w:r>
          </w:p>
        </w:tc>
        <w:tc>
          <w:tcPr>
            <w:tcW w:w="3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w w:val="93"/>
              </w:rPr>
              <w:t>Derivative</w:t>
            </w:r>
          </w:p>
        </w:tc>
        <w:tc>
          <w:tcPr>
            <w:tcW w:w="9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color w:val="auto"/>
                <w:w w:val="99"/>
              </w:rPr>
              <w:t>Hedged Item</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5"/>
          </w:tcPr>
          <w:p>
            <w:pPr>
              <w:jc w:val="right"/>
              <w:ind w:right="90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(12,568)</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(13,509)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(1,348)</w:t>
            </w: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(418)</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Foreign exchange and other option and futures contracts (b)</w:t>
            </w:r>
          </w:p>
        </w:tc>
        <w:tc>
          <w:tcPr>
            <w:tcW w:w="6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40" w:type="dxa"/>
            <w:vAlign w:val="bottom"/>
          </w:tcPr>
          <w:p>
            <w:pPr>
              <w:spacing w:after="0"/>
              <w:rPr>
                <w:sz w:val="24"/>
                <w:szCs w:val="24"/>
                <w:color w:val="auto"/>
              </w:rPr>
            </w:pPr>
          </w:p>
        </w:tc>
        <w:tc>
          <w:tcPr>
            <w:tcW w:w="1500" w:type="dxa"/>
            <w:vAlign w:val="bottom"/>
            <w:gridSpan w:val="3"/>
          </w:tcPr>
          <w:p>
            <w:pPr>
              <w:jc w:val="right"/>
              <w:ind w:right="558"/>
              <w:spacing w:after="0"/>
              <w:rPr>
                <w:sz w:val="20"/>
                <w:szCs w:val="20"/>
                <w:color w:val="auto"/>
              </w:rPr>
            </w:pPr>
            <w:r>
              <w:rPr>
                <w:rFonts w:ascii="Arial" w:cs="Arial" w:eastAsia="Arial" w:hAnsi="Arial"/>
                <w:sz w:val="18"/>
                <w:szCs w:val="18"/>
                <w:color w:val="auto"/>
              </w:rPr>
              <w:t>- 28 -</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color w:val="auto"/>
                <w:w w:val="95"/>
              </w:rPr>
              <w:t>Amount of Gain (Loss) Recognized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4"/>
          </w:tcPr>
          <w:p>
            <w:pPr>
              <w:ind w:left="340"/>
              <w:spacing w:after="0" w:line="137" w:lineRule="exact"/>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3"/>
          </w:tcPr>
          <w:p>
            <w:pPr>
              <w:ind w:left="360"/>
              <w:spacing w:after="0" w:line="137" w:lineRule="exact"/>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Arial" w:cs="Arial" w:eastAsia="Arial" w:hAnsi="Arial"/>
                <w:sz w:val="14"/>
                <w:szCs w:val="14"/>
                <w:color w:val="auto"/>
              </w:rPr>
              <w:t>September 30,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ind w:left="360"/>
              <w:spacing w:after="0"/>
              <w:rPr>
                <w:sz w:val="20"/>
                <w:szCs w:val="20"/>
                <w:color w:val="auto"/>
              </w:rPr>
            </w:pPr>
            <w:r>
              <w:rPr>
                <w:rFonts w:ascii="Arial" w:cs="Arial" w:eastAsia="Arial" w:hAnsi="Arial"/>
                <w:sz w:val="14"/>
                <w:szCs w:val="14"/>
                <w:color w:val="auto"/>
              </w:rPr>
              <w:t>September 30, 2017</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Derivative</w:t>
            </w:r>
          </w:p>
        </w:tc>
        <w:tc>
          <w:tcPr>
            <w:tcW w:w="88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w w:val="97"/>
              </w:rPr>
              <w:t>Hedged Item</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Derivative</w:t>
            </w:r>
          </w:p>
        </w:tc>
        <w:tc>
          <w:tcPr>
            <w:tcW w:w="9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color w:val="auto"/>
                <w:w w:val="99"/>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6"/>
          </w:tcPr>
          <w:p>
            <w:pPr>
              <w:jc w:val="right"/>
              <w:ind w:right="90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(68,315)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68,861</w:t>
            </w:r>
          </w:p>
        </w:tc>
        <w:tc>
          <w:tcPr>
            <w:tcW w:w="3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(23,423)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(5,639)</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5,778</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hanging="478"/>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1, 2018, reported as an adjustment to interest expense. Prior to 2018, reported as other revenues from operations.</w:t>
      </w:r>
    </w:p>
    <w:p>
      <w:pPr>
        <w:spacing w:after="0" w:line="23" w:lineRule="exact"/>
        <w:rPr>
          <w:rFonts w:ascii="Arial" w:cs="Arial" w:eastAsia="Arial" w:hAnsi="Arial"/>
          <w:sz w:val="18"/>
          <w:szCs w:val="18"/>
          <w:i w:val="1"/>
          <w:iCs w:val="1"/>
          <w:color w:val="auto"/>
        </w:rPr>
      </w:pPr>
    </w:p>
    <w:p>
      <w:pPr>
        <w:ind w:left="540" w:hanging="478"/>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4"/>
          </w:tcPr>
          <w:p>
            <w:pPr>
              <w:jc w:val="center"/>
              <w:ind w:right="140"/>
              <w:spacing w:after="0"/>
              <w:rPr>
                <w:sz w:val="20"/>
                <w:szCs w:val="20"/>
                <w:color w:val="auto"/>
              </w:rPr>
            </w:pPr>
            <w:r>
              <w:rPr>
                <w:rFonts w:ascii="Arial" w:cs="Arial" w:eastAsia="Arial" w:hAnsi="Arial"/>
                <w:sz w:val="14"/>
                <w:szCs w:val="14"/>
                <w:color w:val="auto"/>
                <w:w w:val="95"/>
              </w:rPr>
              <w:t>Cumulative Amount of Fair Value</w:t>
            </w:r>
          </w:p>
        </w:tc>
      </w:tr>
      <w:tr>
        <w:trPr>
          <w:trHeight w:val="148"/>
        </w:trPr>
        <w:tc>
          <w:tcPr>
            <w:tcW w:w="4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4"/>
              </w:rPr>
              <w:t>Hedging Adjustment Increasing</w:t>
            </w:r>
          </w:p>
        </w:tc>
      </w:tr>
      <w:tr>
        <w:trPr>
          <w:trHeight w:val="148"/>
        </w:trPr>
        <w:tc>
          <w:tcPr>
            <w:tcW w:w="4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4"/>
              </w:rPr>
              <w:t>(Decreasing) the Carrying Amount of</w:t>
            </w:r>
          </w:p>
        </w:tc>
      </w:tr>
      <w:tr>
        <w:trPr>
          <w:trHeight w:val="167"/>
        </w:trPr>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8"/>
              </w:rPr>
              <w:t>Carrying Amount of the Hedged Item</w:t>
            </w:r>
          </w:p>
        </w:tc>
        <w:tc>
          <w:tcPr>
            <w:tcW w:w="420" w:type="dxa"/>
            <w:vAlign w:val="bottom"/>
          </w:tcPr>
          <w:p>
            <w:pPr>
              <w:spacing w:after="0"/>
              <w:rPr>
                <w:sz w:val="14"/>
                <w:szCs w:val="14"/>
                <w:color w:val="auto"/>
              </w:rPr>
            </w:pPr>
          </w:p>
        </w:tc>
        <w:tc>
          <w:tcPr>
            <w:tcW w:w="168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color w:val="auto"/>
                <w:w w:val="92"/>
              </w:rPr>
              <w:t>the Hedged Item</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1"/>
        </w:trPr>
        <w:tc>
          <w:tcPr>
            <w:tcW w:w="4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September 30,</w:t>
            </w:r>
          </w:p>
        </w:tc>
        <w:tc>
          <w:tcPr>
            <w:tcW w:w="1140" w:type="dxa"/>
            <w:vAlign w:val="bottom"/>
          </w:tcPr>
          <w:p>
            <w:pPr>
              <w:ind w:left="260"/>
              <w:spacing w:after="0"/>
              <w:rPr>
                <w:sz w:val="20"/>
                <w:szCs w:val="20"/>
                <w:color w:val="auto"/>
              </w:rPr>
            </w:pPr>
            <w:r>
              <w:rPr>
                <w:rFonts w:ascii="Arial" w:cs="Arial" w:eastAsia="Arial" w:hAnsi="Arial"/>
                <w:sz w:val="14"/>
                <w:szCs w:val="14"/>
                <w:color w:val="auto"/>
                <w:w w:val="97"/>
              </w:rPr>
              <w:t>December 31,</w:t>
            </w:r>
          </w:p>
        </w:tc>
        <w:tc>
          <w:tcPr>
            <w:tcW w:w="420" w:type="dxa"/>
            <w:vAlign w:val="bottom"/>
          </w:tcPr>
          <w:p>
            <w:pPr>
              <w:spacing w:after="0"/>
              <w:rPr>
                <w:sz w:val="20"/>
                <w:szCs w:val="20"/>
                <w:color w:val="auto"/>
              </w:rPr>
            </w:pPr>
          </w:p>
        </w:tc>
        <w:tc>
          <w:tcPr>
            <w:tcW w:w="1220" w:type="dxa"/>
            <w:vAlign w:val="bottom"/>
          </w:tcPr>
          <w:p>
            <w:pPr>
              <w:jc w:val="center"/>
              <w:ind w:right="188"/>
              <w:spacing w:after="0"/>
              <w:rPr>
                <w:sz w:val="20"/>
                <w:szCs w:val="20"/>
                <w:color w:val="auto"/>
              </w:rPr>
            </w:pPr>
            <w:r>
              <w:rPr>
                <w:rFonts w:ascii="Arial" w:cs="Arial" w:eastAsia="Arial" w:hAnsi="Arial"/>
                <w:sz w:val="14"/>
                <w:szCs w:val="14"/>
                <w:color w:val="auto"/>
                <w:w w:val="91"/>
              </w:rPr>
              <w:t>September 30,</w:t>
            </w:r>
          </w:p>
        </w:tc>
        <w:tc>
          <w:tcPr>
            <w:tcW w:w="1240" w:type="dxa"/>
            <w:vAlign w:val="bottom"/>
            <w:gridSpan w:val="3"/>
          </w:tcPr>
          <w:p>
            <w:pPr>
              <w:jc w:val="center"/>
              <w:spacing w:after="0"/>
              <w:rPr>
                <w:sz w:val="20"/>
                <w:szCs w:val="20"/>
                <w:color w:val="auto"/>
              </w:rPr>
            </w:pPr>
            <w:r>
              <w:rPr>
                <w:rFonts w:ascii="Arial" w:cs="Arial" w:eastAsia="Arial" w:hAnsi="Arial"/>
                <w:sz w:val="14"/>
                <w:szCs w:val="14"/>
                <w:color w:val="auto"/>
                <w:w w:val="90"/>
              </w:rPr>
              <w:t>December 31,</w:t>
            </w:r>
          </w:p>
        </w:tc>
      </w:tr>
      <w:tr>
        <w:trPr>
          <w:trHeight w:val="182"/>
        </w:trPr>
        <w:tc>
          <w:tcPr>
            <w:tcW w:w="4880" w:type="dxa"/>
            <w:vAlign w:val="bottom"/>
          </w:tcPr>
          <w:p>
            <w:pPr>
              <w:spacing w:after="0"/>
              <w:rPr>
                <w:sz w:val="15"/>
                <w:szCs w:val="15"/>
                <w:color w:val="auto"/>
              </w:rPr>
            </w:pPr>
          </w:p>
        </w:tc>
        <w:tc>
          <w:tcPr>
            <w:tcW w:w="2520" w:type="dxa"/>
            <w:vAlign w:val="bottom"/>
            <w:gridSpan w:val="2"/>
          </w:tcPr>
          <w:p>
            <w:pPr>
              <w:jc w:val="right"/>
              <w:ind w:right="488"/>
              <w:spacing w:after="0"/>
              <w:rPr>
                <w:sz w:val="20"/>
                <w:szCs w:val="20"/>
                <w:color w:val="auto"/>
              </w:rPr>
            </w:pPr>
            <w:r>
              <w:rPr>
                <w:rFonts w:ascii="Arial" w:cs="Arial" w:eastAsia="Arial" w:hAnsi="Arial"/>
                <w:sz w:val="14"/>
                <w:szCs w:val="14"/>
                <w:color w:val="auto"/>
              </w:rPr>
              <w:t>2018</w:t>
            </w:r>
          </w:p>
        </w:tc>
        <w:tc>
          <w:tcPr>
            <w:tcW w:w="1140" w:type="dxa"/>
            <w:vAlign w:val="bottom"/>
          </w:tcPr>
          <w:p>
            <w:pPr>
              <w:jc w:val="right"/>
              <w:ind w:right="244"/>
              <w:spacing w:after="0"/>
              <w:rPr>
                <w:sz w:val="20"/>
                <w:szCs w:val="20"/>
                <w:color w:val="auto"/>
              </w:rPr>
            </w:pPr>
            <w:r>
              <w:rPr>
                <w:rFonts w:ascii="Arial" w:cs="Arial" w:eastAsia="Arial" w:hAnsi="Arial"/>
                <w:sz w:val="14"/>
                <w:szCs w:val="14"/>
                <w:color w:val="auto"/>
              </w:rPr>
              <w:t>2017</w:t>
            </w:r>
          </w:p>
        </w:tc>
        <w:tc>
          <w:tcPr>
            <w:tcW w:w="1640" w:type="dxa"/>
            <w:vAlign w:val="bottom"/>
            <w:gridSpan w:val="2"/>
          </w:tcPr>
          <w:p>
            <w:pPr>
              <w:jc w:val="right"/>
              <w:ind w:right="528"/>
              <w:spacing w:after="0"/>
              <w:rPr>
                <w:sz w:val="20"/>
                <w:szCs w:val="20"/>
                <w:color w:val="auto"/>
              </w:rPr>
            </w:pPr>
            <w:r>
              <w:rPr>
                <w:rFonts w:ascii="Arial" w:cs="Arial" w:eastAsia="Arial" w:hAnsi="Arial"/>
                <w:sz w:val="14"/>
                <w:szCs w:val="14"/>
                <w:color w:val="auto"/>
              </w:rPr>
              <w:t>2018</w:t>
            </w:r>
          </w:p>
        </w:tc>
        <w:tc>
          <w:tcPr>
            <w:tcW w:w="460" w:type="dxa"/>
            <w:vAlign w:val="bottom"/>
          </w:tcPr>
          <w:p>
            <w:pPr>
              <w:spacing w:after="0"/>
              <w:rPr>
                <w:sz w:val="15"/>
                <w:szCs w:val="15"/>
                <w:color w:val="auto"/>
              </w:rPr>
            </w:pPr>
          </w:p>
        </w:tc>
        <w:tc>
          <w:tcPr>
            <w:tcW w:w="680" w:type="dxa"/>
            <w:vAlign w:val="bottom"/>
          </w:tcPr>
          <w:p>
            <w:pPr>
              <w:jc w:val="right"/>
              <w:ind w:right="259"/>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5"/>
                <w:szCs w:val="15"/>
                <w:color w:val="auto"/>
              </w:rPr>
            </w:pPr>
          </w:p>
        </w:tc>
      </w:tr>
      <w:tr>
        <w:trPr>
          <w:trHeight w:val="66"/>
        </w:trPr>
        <w:tc>
          <w:tcPr>
            <w:tcW w:w="4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36"/>
        </w:trPr>
        <w:tc>
          <w:tcPr>
            <w:tcW w:w="4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80" w:type="dxa"/>
            <w:vAlign w:val="bottom"/>
            <w:gridSpan w:val="3"/>
          </w:tcPr>
          <w:p>
            <w:pPr>
              <w:jc w:val="right"/>
              <w:ind w:right="928"/>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 of</w:t>
            </w:r>
          </w:p>
        </w:tc>
        <w:tc>
          <w:tcPr>
            <w:tcW w:w="1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the Hedged Items in Fair Value Hedges</w:t>
            </w:r>
          </w:p>
        </w:tc>
        <w:tc>
          <w:tcPr>
            <w:tcW w:w="1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5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  5,085,610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$ 4,504,029</w:t>
            </w:r>
          </w:p>
        </w:tc>
        <w:tc>
          <w:tcPr>
            <w:tcW w:w="16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   (108,994)</w:t>
            </w:r>
          </w:p>
        </w:tc>
        <w:tc>
          <w:tcPr>
            <w:tcW w:w="46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(40,133)</w:t>
            </w:r>
          </w:p>
        </w:tc>
      </w:tr>
    </w:tbl>
    <w:p>
      <w:pPr>
        <w:spacing w:after="0" w:line="337"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amount of gain (loss) resulting from hedge ineffectiveness recognized in the consolidated statement of income associated with derivatives designated as cash flow hedges was not material during the three months and nine months ended September 30, 2018 and 2017.</w:t>
      </w:r>
    </w:p>
    <w:p>
      <w:pPr>
        <w:spacing w:after="0" w:line="76"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$18 million and $16 million at September 30, 2018 and December 31, 2017, respectively. Changes in unrealized gains and losses are included in mortgage banking revenues and, in general, are realized in subsequent periods as the related loans are sold and commitments satisfied.</w:t>
      </w:r>
    </w:p>
    <w:p>
      <w:pPr>
        <w:spacing w:after="0" w:line="153"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22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The aggregate fair value of derivative financial instruments in a liability position and the net liability positions with counterparties, which are subject to enforceable master netting arrangements, was $3 million and $13 million at September 30, 2018 and December 31, 2017, respectively. The Company was required to post collateral relating to those positions of $3 million and $12 million at September 30, 2018 and December 31, 2017,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2018 was not significant. If the credit risk-related contingent features had been triggered on September 30, 2018, the Company would not have been required to post any additional collateral to counterparties.</w:t>
      </w:r>
    </w:p>
    <w:p>
      <w:pPr>
        <w:spacing w:after="0" w:line="181"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The aggregate fair value of derivative financial instruments in an asset position and the net asset positions with counterparties, which are subject to enforceable master netting arrangements, was $49 million and $13 million at September 30, 2018 and December 31, 2017, respectively. Counterparties posted collateral relating to those positions of $46 million and $12 million at September 30, 2018 and December 31, 2017, respectively. Trading account interest rate swap agreements entered into with customers are subject to the Company’s credit risk standards and often contain collateral provisions.</w:t>
      </w:r>
    </w:p>
    <w:p>
      <w:pPr>
        <w:spacing w:after="0" w:line="17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$48 million and $52 million at September 30, 2018 and December 31, 2017, respectively. The fair value asset and liability amounts of derivative contracts at September 30, 2018 have been reduced by variation margin payments treated as settlements of $302 million and $149 million, respectively. Variation margin on derivative contracts not treated as settlements continues to represent collateral posted or received by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securitization activity has consisted of securitizing loans originated for sale into government issued or guaranteed mortgage-backed securities. The amounts of those securitizations during the nine-month periods ended September 30, 2018 and 2017 are presented in the Company’s consolidated statement of cash flows. The Company has not recognized any losses as a result of having securitized assets.</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September 30, 2018 and December 31, 2017,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178"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Company has invested as a limited partner in various partnerships that collectively had total assets of approximately $1.0 billion at each of September 30, 2018 and December 31, 2017.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 continued</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that result from the Company’s investments in such partnerships are generally subject to recapture should a partnership fail to comply with the respective government regulations. The Company’s maximum exposure to loss of its investments in such partnerships was $457 million, including $215 million of unfunded commitments, at September 30, 2018 and $420 million, including $201 million of unfunded commitments, at December 31, 2017. Contingent commitments to provide additional capital contributions to these partnerships were not material at September 30, 2018.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$13 million and $39 million of its investments in qualified affordable housing projects to income tax expense during the three-month and nine-month periods ended September 30, 2018, respectively, and recognized $15 million and $47 million of tax credits and other tax benefits during each of those respective periods. Similarly, for the three-month and nine-month periods ended September 30, 2017, the Company amortized $11 million and $35 million, respectively, of its investments in qualified affordable housing projects to income tax expense and recognized $16 million and $47 million of tax credits and other tax benefits during those respective periods.</w:t>
      </w:r>
    </w:p>
    <w:p>
      <w:pPr>
        <w:spacing w:after="0" w:line="168" w:lineRule="exact"/>
        <w:rPr>
          <w:sz w:val="20"/>
          <w:szCs w:val="20"/>
          <w:color w:val="auto"/>
        </w:rPr>
      </w:pPr>
    </w:p>
    <w:p>
      <w:pPr>
        <w:jc w:val="both"/>
        <w:ind w:right="20" w:firstLine="518"/>
        <w:spacing w:after="0" w:line="347"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5"/>
          <w:szCs w:val="15"/>
          <w:color w:val="auto"/>
        </w:rPr>
        <w:t>.</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September 30, 2018.</w:t>
      </w:r>
    </w:p>
    <w:p>
      <w:pPr>
        <w:spacing w:after="0" w:line="172"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40" w:hanging="519"/>
        <w:spacing w:after="0" w:line="252" w:lineRule="auto"/>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21"/>
          <w:szCs w:val="21"/>
          <w:color w:val="auto"/>
        </w:rPr>
      </w:pPr>
    </w:p>
    <w:p>
      <w:pPr>
        <w:jc w:val="both"/>
        <w:ind w:left="1040" w:hanging="519"/>
        <w:spacing w:after="0" w:line="252" w:lineRule="auto"/>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The following tables present assets and liabilities at September 30, 2018 and December 31, 2017 measured at estimated fair value on a recurring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w w:val="97"/>
              </w:rPr>
              <w:t>Fair Value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0"/>
              </w:rPr>
              <w:t>Measurements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w w:val="96"/>
              </w:rPr>
              <w:t>Level 1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Level 2 (a)</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Level 3</w:t>
            </w:r>
          </w:p>
        </w:tc>
      </w:tr>
      <w:tr>
        <w:trPr>
          <w:trHeight w:val="155"/>
        </w:trPr>
        <w:tc>
          <w:tcPr>
            <w:tcW w:w="5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ind w:left="540"/>
              <w:spacing w:after="0" w:line="155"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77,385</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1,608,672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1,608,672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7,412,696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7,412,696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9,154,515</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9,154,492</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90,129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638,579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638,579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19,698</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FF0FC"/>
          </w:tcPr>
          <w:p>
            <w:pPr>
              <w:spacing w:after="0"/>
              <w:rPr>
                <w:sz w:val="19"/>
                <w:szCs w:val="19"/>
                <w:color w:val="auto"/>
              </w:rPr>
            </w:pPr>
          </w:p>
        </w:tc>
      </w:tr>
      <w:tr>
        <w:trPr>
          <w:trHeight w:val="263"/>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10,027,959</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120,304</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9,902,007</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FF0FC"/>
            </w:tcBorders>
          </w:tcPr>
          <w:p>
            <w:pPr>
              <w:spacing w:after="0"/>
              <w:rPr>
                <w:sz w:val="22"/>
                <w:szCs w:val="22"/>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308,733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308,733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310,968</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309,529</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132,909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47,873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85,036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1,947,487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1,947,487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8,716,392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8,716,392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100,956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10,896,284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10,823,024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378,047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FF0FC"/>
          </w:tcPr>
          <w:p>
            <w:pPr>
              <w:spacing w:after="0"/>
              <w:rPr>
                <w:sz w:val="19"/>
                <w:szCs w:val="19"/>
                <w:color w:val="auto"/>
              </w:rPr>
            </w:pPr>
          </w:p>
        </w:tc>
      </w:tr>
      <w:tr>
        <w:trPr>
          <w:trHeight w:val="263"/>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11,419,936</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121,105</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11,290,006</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FF0FC"/>
            </w:tcBorders>
          </w:tcPr>
          <w:p>
            <w:pPr>
              <w:spacing w:after="0"/>
              <w:rPr>
                <w:sz w:val="22"/>
                <w:szCs w:val="22"/>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137,390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137,390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139,186</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138,692</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right="140" w:hanging="512"/>
        <w:spacing w:after="0" w:line="258"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nine months ended September 30, 2017 and the year ended December 31, 2017.</w:t>
      </w:r>
    </w:p>
    <w:p>
      <w:pPr>
        <w:spacing w:after="0" w:line="1" w:lineRule="exact"/>
        <w:rPr>
          <w:rFonts w:ascii="Arial" w:cs="Arial" w:eastAsia="Arial" w:hAnsi="Arial"/>
          <w:sz w:val="18"/>
          <w:szCs w:val="18"/>
          <w:i w:val="1"/>
          <w:iCs w:val="1"/>
          <w:color w:val="auto"/>
        </w:rPr>
      </w:pPr>
    </w:p>
    <w:p>
      <w:pPr>
        <w:ind w:left="520" w:hanging="512"/>
        <w:spacing w:after="0" w:line="260"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Investment Securities</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Available for Sale</w:t>
            </w:r>
          </w:p>
        </w:tc>
        <w:tc>
          <w:tcPr>
            <w:tcW w:w="1280" w:type="dxa"/>
            <w:vAlign w:val="bottom"/>
            <w:vMerge w:val="restart"/>
          </w:tcPr>
          <w:p>
            <w:pPr>
              <w:jc w:val="right"/>
              <w:ind w:right="196"/>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38"/>
              <w:spacing w:after="0" w:line="137" w:lineRule="exact"/>
              <w:rPr>
                <w:sz w:val="20"/>
                <w:szCs w:val="20"/>
                <w:color w:val="auto"/>
              </w:rPr>
            </w:pPr>
            <w:r>
              <w:rPr>
                <w:rFonts w:ascii="Arial" w:cs="Arial" w:eastAsia="Arial" w:hAnsi="Arial"/>
                <w:sz w:val="14"/>
                <w:szCs w:val="14"/>
                <w:color w:val="auto"/>
                <w:w w:val="93"/>
              </w:rPr>
              <w:t>Privately Issued</w:t>
            </w:r>
          </w:p>
        </w:tc>
        <w:tc>
          <w:tcPr>
            <w:tcW w:w="2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Mortgage-Backed</w:t>
            </w:r>
          </w:p>
        </w:tc>
        <w:tc>
          <w:tcPr>
            <w:tcW w:w="128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1"/>
              </w:rPr>
              <w:t>Securities</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3"/>
          </w:tcPr>
          <w:p>
            <w:pPr>
              <w:jc w:val="right"/>
              <w:ind w:right="916"/>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0" w:type="dxa"/>
            <w:vAlign w:val="bottom"/>
          </w:tcPr>
          <w:p>
            <w:pPr>
              <w:spacing w:after="0"/>
              <w:rPr>
                <w:sz w:val="20"/>
                <w:szCs w:val="20"/>
                <w:color w:val="auto"/>
              </w:rPr>
            </w:pPr>
            <w:r>
              <w:rPr>
                <w:rFonts w:ascii="Arial" w:cs="Arial" w:eastAsia="Arial" w:hAnsi="Arial"/>
                <w:sz w:val="18"/>
                <w:szCs w:val="18"/>
                <w:color w:val="auto"/>
              </w:rPr>
              <w:t>Balance — June 30, 2018</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10,751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10,284</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w w:val="92"/>
              </w:rPr>
              <w:t>(16,849) (c)</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2018</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2018</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4,508</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2017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gridSpan w:val="4"/>
          </w:tcPr>
          <w:p>
            <w:pPr>
              <w:jc w:val="center"/>
              <w:ind w:right="520"/>
              <w:spacing w:after="0"/>
              <w:rPr>
                <w:sz w:val="20"/>
                <w:szCs w:val="20"/>
                <w:color w:val="auto"/>
              </w:rPr>
            </w:pPr>
            <w:r>
              <w:rPr>
                <w:rFonts w:ascii="Arial" w:cs="Arial" w:eastAsia="Arial" w:hAnsi="Arial"/>
                <w:sz w:val="14"/>
                <w:szCs w:val="14"/>
                <w:color w:val="auto"/>
                <w:w w:val="92"/>
              </w:rPr>
              <w:t>Investment Securities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center"/>
              <w:ind w:right="640"/>
              <w:spacing w:after="0"/>
              <w:rPr>
                <w:sz w:val="20"/>
                <w:szCs w:val="20"/>
                <w:color w:val="auto"/>
              </w:rPr>
            </w:pPr>
            <w:r>
              <w:rPr>
                <w:rFonts w:ascii="Arial" w:cs="Arial" w:eastAsia="Arial" w:hAnsi="Arial"/>
                <w:sz w:val="14"/>
                <w:szCs w:val="14"/>
                <w:color w:val="auto"/>
                <w:w w:val="95"/>
              </w:rPr>
              <w:t>Available for Sale</w:t>
            </w:r>
          </w:p>
        </w:tc>
        <w:tc>
          <w:tcPr>
            <w:tcW w:w="1060" w:type="dxa"/>
            <w:vAlign w:val="bottom"/>
            <w:vMerge w:val="restart"/>
          </w:tcPr>
          <w:p>
            <w:pPr>
              <w:jc w:val="right"/>
              <w:ind w:right="216"/>
              <w:spacing w:after="0"/>
              <w:rPr>
                <w:sz w:val="20"/>
                <w:szCs w:val="20"/>
                <w:color w:val="auto"/>
              </w:rPr>
            </w:pPr>
            <w:r>
              <w:rPr>
                <w:rFonts w:ascii="Arial" w:cs="Arial" w:eastAsia="Arial" w:hAnsi="Arial"/>
                <w:sz w:val="14"/>
                <w:szCs w:val="14"/>
                <w:color w:val="auto"/>
                <w:w w:val="91"/>
              </w:rPr>
              <w:t>Other Assets</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38"/>
              <w:spacing w:after="0" w:line="137" w:lineRule="exact"/>
              <w:rPr>
                <w:sz w:val="20"/>
                <w:szCs w:val="20"/>
                <w:color w:val="auto"/>
              </w:rPr>
            </w:pPr>
            <w:r>
              <w:rPr>
                <w:rFonts w:ascii="Arial" w:cs="Arial" w:eastAsia="Arial" w:hAnsi="Arial"/>
                <w:sz w:val="14"/>
                <w:szCs w:val="14"/>
                <w:color w:val="auto"/>
                <w:w w:val="93"/>
              </w:rPr>
              <w:t>Privately Issued</w:t>
            </w:r>
          </w:p>
        </w:tc>
        <w:tc>
          <w:tcPr>
            <w:tcW w:w="520" w:type="dxa"/>
            <w:vAlign w:val="bottom"/>
            <w:gridSpan w:val="2"/>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4"/>
              </w:rPr>
              <w:t>Mortgage-Backed</w:t>
            </w:r>
          </w:p>
        </w:tc>
        <w:tc>
          <w:tcPr>
            <w:tcW w:w="106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color w:val="auto"/>
                <w:w w:val="91"/>
              </w:rPr>
              <w:t>Securities</w:t>
            </w: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ind w:left="940"/>
              <w:spacing w:after="0"/>
              <w:rPr>
                <w:sz w:val="20"/>
                <w:szCs w:val="20"/>
                <w:color w:val="auto"/>
              </w:rPr>
            </w:pPr>
            <w:r>
              <w:rPr>
                <w:rFonts w:ascii="Arial" w:cs="Arial" w:eastAsia="Arial" w:hAnsi="Arial"/>
                <w:sz w:val="14"/>
                <w:szCs w:val="14"/>
                <w:color w:val="auto"/>
                <w:w w:val="89"/>
              </w:rPr>
              <w:t>(In thousands)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560" w:type="dxa"/>
            <w:vAlign w:val="bottom"/>
          </w:tcPr>
          <w:p>
            <w:pPr>
              <w:spacing w:after="0"/>
              <w:rPr>
                <w:sz w:val="20"/>
                <w:szCs w:val="20"/>
                <w:color w:val="auto"/>
              </w:rPr>
            </w:pPr>
            <w:r>
              <w:rPr>
                <w:rFonts w:ascii="Arial" w:cs="Arial" w:eastAsia="Arial" w:hAnsi="Arial"/>
                <w:sz w:val="18"/>
                <w:szCs w:val="18"/>
                <w:color w:val="auto"/>
              </w:rPr>
              <w:t>Balance — June 30,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12,425</w:t>
            </w: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22,313</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w w:val="92"/>
              </w:rPr>
              <w:t>(21,016) (c)</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12,659</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- 34 -</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700"/>
              <w:spacing w:after="0"/>
              <w:rPr>
                <w:sz w:val="20"/>
                <w:szCs w:val="20"/>
                <w:color w:val="auto"/>
              </w:rPr>
            </w:pPr>
            <w:r>
              <w:rPr>
                <w:rFonts w:ascii="Arial" w:cs="Arial" w:eastAsia="Arial" w:hAnsi="Arial"/>
                <w:sz w:val="14"/>
                <w:szCs w:val="14"/>
                <w:color w:val="auto"/>
                <w:w w:val="92"/>
              </w:rPr>
              <w:t>Investment securities</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700"/>
              <w:spacing w:after="0"/>
              <w:rPr>
                <w:sz w:val="20"/>
                <w:szCs w:val="20"/>
                <w:color w:val="auto"/>
              </w:rPr>
            </w:pPr>
            <w:r>
              <w:rPr>
                <w:rFonts w:ascii="Arial" w:cs="Arial" w:eastAsia="Arial" w:hAnsi="Arial"/>
                <w:sz w:val="14"/>
                <w:szCs w:val="14"/>
                <w:color w:val="auto"/>
                <w:w w:val="93"/>
              </w:rPr>
              <w:t>available for sale</w:t>
            </w:r>
          </w:p>
        </w:tc>
        <w:tc>
          <w:tcPr>
            <w:tcW w:w="1120" w:type="dxa"/>
            <w:vAlign w:val="bottom"/>
            <w:vMerge w:val="restart"/>
          </w:tcPr>
          <w:p>
            <w:pPr>
              <w:jc w:val="right"/>
              <w:ind w:right="216"/>
              <w:spacing w:after="0"/>
              <w:rPr>
                <w:sz w:val="20"/>
                <w:szCs w:val="20"/>
                <w:color w:val="auto"/>
              </w:rPr>
            </w:pPr>
            <w:r>
              <w:rPr>
                <w:rFonts w:ascii="Arial" w:cs="Arial" w:eastAsia="Arial" w:hAnsi="Arial"/>
                <w:sz w:val="14"/>
                <w:szCs w:val="14"/>
                <w:color w:val="auto"/>
                <w:w w:val="98"/>
              </w:rPr>
              <w:t>Other Assets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59"/>
              <w:spacing w:after="0" w:line="137" w:lineRule="exact"/>
              <w:rPr>
                <w:sz w:val="20"/>
                <w:szCs w:val="20"/>
                <w:color w:val="auto"/>
              </w:rPr>
            </w:pPr>
            <w:r>
              <w:rPr>
                <w:rFonts w:ascii="Arial" w:cs="Arial" w:eastAsia="Arial" w:hAnsi="Arial"/>
                <w:sz w:val="14"/>
                <w:szCs w:val="14"/>
                <w:color w:val="auto"/>
                <w:w w:val="93"/>
              </w:rPr>
              <w:t>Privately Issued</w:t>
            </w:r>
          </w:p>
        </w:tc>
        <w:tc>
          <w:tcPr>
            <w:tcW w:w="540" w:type="dxa"/>
            <w:vAlign w:val="bottom"/>
            <w:gridSpan w:val="2"/>
          </w:tcPr>
          <w:p>
            <w:pPr>
              <w:spacing w:after="0"/>
              <w:rPr>
                <w:sz w:val="11"/>
                <w:szCs w:val="11"/>
                <w:color w:val="auto"/>
              </w:rPr>
            </w:pPr>
          </w:p>
        </w:tc>
        <w:tc>
          <w:tcPr>
            <w:tcW w:w="1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4"/>
              </w:rPr>
              <w:t>Mortgage-Backed</w:t>
            </w: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color w:val="auto"/>
                <w:w w:val="91"/>
              </w:rPr>
              <w:t>Securities</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color w:val="auto"/>
                <w:w w:val="98"/>
              </w:rPr>
              <w:t>(In thousands)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580" w:type="dxa"/>
            <w:vAlign w:val="bottom"/>
          </w:tcPr>
          <w:p>
            <w:pPr>
              <w:spacing w:after="0"/>
              <w:rPr>
                <w:sz w:val="20"/>
                <w:szCs w:val="20"/>
                <w:color w:val="auto"/>
              </w:rPr>
            </w:pPr>
            <w:r>
              <w:rPr>
                <w:rFonts w:ascii="Arial" w:cs="Arial" w:eastAsia="Arial" w:hAnsi="Arial"/>
                <w:sz w:val="18"/>
                <w:szCs w:val="18"/>
                <w:color w:val="auto"/>
              </w:rPr>
              <w:t>Balance — January 1, 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38,691</w:t>
            </w: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w w:val="96"/>
              </w:rPr>
              <w:t>(42,808) (c)</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2018</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3,663</w:t>
            </w: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color w:val="auto"/>
                <w:w w:val="92"/>
              </w:rPr>
              <w:t>Investment securities</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available for sale</w:t>
            </w:r>
          </w:p>
        </w:tc>
        <w:tc>
          <w:tcPr>
            <w:tcW w:w="1000" w:type="dxa"/>
            <w:vAlign w:val="bottom"/>
            <w:vMerge w:val="restart"/>
          </w:tcPr>
          <w:p>
            <w:pPr>
              <w:jc w:val="right"/>
              <w:ind w:right="136"/>
              <w:spacing w:after="0"/>
              <w:rPr>
                <w:sz w:val="20"/>
                <w:szCs w:val="20"/>
                <w:color w:val="auto"/>
              </w:rPr>
            </w:pPr>
            <w:r>
              <w:rPr>
                <w:rFonts w:ascii="Arial" w:cs="Arial" w:eastAsia="Arial" w:hAnsi="Arial"/>
                <w:sz w:val="14"/>
                <w:szCs w:val="14"/>
                <w:color w:val="auto"/>
                <w:w w:val="93"/>
              </w:rPr>
              <w:t>Other Assets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78"/>
              <w:spacing w:after="0" w:line="137" w:lineRule="exact"/>
              <w:rPr>
                <w:sz w:val="20"/>
                <w:szCs w:val="20"/>
                <w:color w:val="auto"/>
              </w:rPr>
            </w:pPr>
            <w:r>
              <w:rPr>
                <w:rFonts w:ascii="Arial" w:cs="Arial" w:eastAsia="Arial" w:hAnsi="Arial"/>
                <w:sz w:val="14"/>
                <w:szCs w:val="14"/>
                <w:color w:val="auto"/>
                <w:w w:val="95"/>
              </w:rPr>
              <w:t>Privately Issued</w:t>
            </w:r>
          </w:p>
        </w:tc>
        <w:tc>
          <w:tcPr>
            <w:tcW w:w="480" w:type="dxa"/>
            <w:vAlign w:val="bottom"/>
            <w:gridSpan w:val="2"/>
          </w:tcPr>
          <w:p>
            <w:pPr>
              <w:spacing w:after="0"/>
              <w:rPr>
                <w:sz w:val="11"/>
                <w:szCs w:val="11"/>
                <w:color w:val="auto"/>
              </w:rPr>
            </w:pPr>
          </w:p>
        </w:tc>
        <w:tc>
          <w:tcPr>
            <w:tcW w:w="1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2"/>
              </w:rPr>
              <w:t>Mortgage-Backed</w:t>
            </w:r>
          </w:p>
        </w:tc>
        <w:tc>
          <w:tcPr>
            <w:tcW w:w="100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color w:val="auto"/>
                <w:w w:val="94"/>
              </w:rPr>
              <w:t>Securities</w:t>
            </w: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3"/>
          </w:tcPr>
          <w:p>
            <w:pPr>
              <w:ind w:left="880"/>
              <w:spacing w:after="0"/>
              <w:rPr>
                <w:sz w:val="20"/>
                <w:szCs w:val="20"/>
                <w:color w:val="auto"/>
              </w:rPr>
            </w:pPr>
            <w:r>
              <w:rPr>
                <w:rFonts w:ascii="Arial" w:cs="Arial" w:eastAsia="Arial" w:hAnsi="Arial"/>
                <w:sz w:val="14"/>
                <w:szCs w:val="14"/>
                <w:color w:val="auto"/>
                <w:w w:val="93"/>
              </w:rPr>
              <w:t>(In thousands)</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76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65,824</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w w:val="94"/>
              </w:rPr>
              <w:t>(59,427) (c)</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13,684</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hanging="512"/>
        <w:spacing w:after="0" w:line="258" w:lineRule="auto"/>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1" w:lineRule="exact"/>
        <w:rPr>
          <w:rFonts w:ascii="Arial" w:cs="Arial" w:eastAsia="Arial" w:hAnsi="Arial"/>
          <w:sz w:val="16"/>
          <w:szCs w:val="16"/>
          <w:i w:val="1"/>
          <w:iCs w:val="1"/>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0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September 30, 2018.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$292 million at September 30, 2018 ($128 million and $164 million of which were classified as Level 2 and Level 3, respectively), $210 million at December 31, 2017 ($145 million and $65 million of which were classified as Level 2 and Level 3, respectively) and $184 million at September 30, 2017 ($105 million and $79 million of which were classified as Level 2 and Level 3, respectively). Changes in fair value recognized for partial charge-offs of loans and loan impairment reserves on loans held by the Company on September 30, 2018 were decreases of $35 million and $69 million for the three-month and nine-month periods ended September 30, 2018, respectively. Changes in fair value recognized for partial charge-offs of loans and loan impairment reserves on loans held by the Company on September 30, 2017 were decreases of $16 million and $55 million for the three-month and nine-month periods ended September 30, 2017,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$32 million and $36 million at September 30, 2018 and 2017, respectively. Changes in fair value recognized for those foreclosed assets held by the Company were not material during the three-month and nine-month periods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September 30, 2018 and December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Range</w:t>
            </w:r>
          </w:p>
        </w:tc>
      </w:tr>
      <w:tr>
        <w:trPr>
          <w:trHeight w:val="148"/>
        </w:trPr>
        <w:tc>
          <w:tcPr>
            <w:tcW w:w="2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Valuation</w:t>
            </w:r>
          </w:p>
        </w:tc>
        <w:tc>
          <w:tcPr>
            <w:tcW w:w="240" w:type="dxa"/>
            <w:vAlign w:val="bottom"/>
          </w:tcPr>
          <w:p>
            <w:pPr>
              <w:spacing w:after="0"/>
              <w:rPr>
                <w:sz w:val="12"/>
                <w:szCs w:val="12"/>
                <w:color w:val="auto"/>
              </w:rPr>
            </w:pPr>
          </w:p>
        </w:tc>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Unobservable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(Weighted-</w:t>
            </w:r>
          </w:p>
        </w:tc>
      </w:tr>
      <w:tr>
        <w:trPr>
          <w:trHeight w:val="167"/>
        </w:trPr>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color w:val="auto"/>
              </w:rPr>
              <w:t>Fair Value</w:t>
            </w:r>
          </w:p>
        </w:tc>
        <w:tc>
          <w:tcPr>
            <w:tcW w:w="3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Technique</w:t>
            </w:r>
          </w:p>
        </w:tc>
        <w:tc>
          <w:tcPr>
            <w:tcW w:w="24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Inputs/Assumptions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Average)</w:t>
            </w:r>
          </w:p>
        </w:tc>
      </w:tr>
      <w:tr>
        <w:trPr>
          <w:trHeight w:val="223"/>
        </w:trPr>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w w:val="91"/>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89"/>
        </w:trPr>
        <w:tc>
          <w:tcPr>
            <w:tcW w:w="326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Two independent</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pricing quotes</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15"/>
        </w:trPr>
        <w:tc>
          <w:tcPr>
            <w:tcW w:w="2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Discounted cash</w:t>
            </w:r>
          </w:p>
        </w:tc>
        <w:tc>
          <w:tcPr>
            <w:tcW w:w="1760" w:type="dxa"/>
            <w:vAlign w:val="bottom"/>
            <w:gridSpan w:val="3"/>
          </w:tcPr>
          <w:p>
            <w:pPr>
              <w:ind w:left="240"/>
              <w:spacing w:after="0"/>
              <w:rPr>
                <w:sz w:val="20"/>
                <w:szCs w:val="20"/>
                <w:color w:val="auto"/>
              </w:rPr>
            </w:pPr>
            <w:r>
              <w:rPr>
                <w:rFonts w:ascii="Arial" w:cs="Arial" w:eastAsia="Arial" w:hAnsi="Arial"/>
                <w:sz w:val="18"/>
                <w:szCs w:val="18"/>
                <w:color w:val="auto"/>
              </w:rPr>
              <w:t>Commitment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4,186</w:t>
            </w: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flow</w:t>
            </w:r>
          </w:p>
        </w:tc>
        <w:tc>
          <w:tcPr>
            <w:tcW w:w="1760" w:type="dxa"/>
            <w:vAlign w:val="bottom"/>
            <w:gridSpan w:val="3"/>
          </w:tcPr>
          <w:p>
            <w:pPr>
              <w:ind w:left="240"/>
              <w:spacing w:after="0"/>
              <w:rPr>
                <w:sz w:val="20"/>
                <w:szCs w:val="20"/>
                <w:color w:val="auto"/>
              </w:rPr>
            </w:pPr>
            <w:r>
              <w:rPr>
                <w:rFonts w:ascii="Arial" w:cs="Arial" w:eastAsia="Arial" w:hAnsi="Arial"/>
                <w:sz w:val="18"/>
                <w:szCs w:val="18"/>
                <w:color w:val="auto"/>
              </w:rPr>
              <w:t>expirations</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0%-90% (16%)</w:t>
            </w:r>
          </w:p>
        </w:tc>
        <w:tc>
          <w:tcPr>
            <w:tcW w:w="100" w:type="dxa"/>
            <w:vAlign w:val="bottom"/>
          </w:tcPr>
          <w:p>
            <w:pPr>
              <w:spacing w:after="0"/>
              <w:rPr>
                <w:sz w:val="20"/>
                <w:szCs w:val="20"/>
                <w:color w:val="auto"/>
              </w:rPr>
            </w:pPr>
          </w:p>
        </w:tc>
      </w:tr>
      <w:tr>
        <w:trPr>
          <w:trHeight w:val="229"/>
        </w:trPr>
        <w:tc>
          <w:tcPr>
            <w:tcW w:w="2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26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Privately issued mortgage-backed</w:t>
            </w:r>
          </w:p>
        </w:tc>
        <w:tc>
          <w:tcPr>
            <w:tcW w:w="74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1800" w:type="dxa"/>
            <w:vAlign w:val="bottom"/>
            <w:tcBorders>
              <w:top w:val="single" w:sz="8" w:color="CFF0FC"/>
            </w:tcBorders>
            <w:gridSpan w:val="2"/>
          </w:tcPr>
          <w:p>
            <w:pPr>
              <w:ind w:left="340"/>
              <w:spacing w:after="0"/>
              <w:rPr>
                <w:sz w:val="20"/>
                <w:szCs w:val="20"/>
                <w:color w:val="auto"/>
              </w:rPr>
            </w:pPr>
            <w:r>
              <w:rPr>
                <w:rFonts w:ascii="Arial" w:cs="Arial" w:eastAsia="Arial" w:hAnsi="Arial"/>
                <w:sz w:val="18"/>
                <w:szCs w:val="18"/>
                <w:color w:val="auto"/>
              </w:rPr>
              <w:t>Two independent</w:t>
            </w:r>
          </w:p>
        </w:tc>
        <w:tc>
          <w:tcPr>
            <w:tcW w:w="24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pricing quotes</w:t>
            </w:r>
          </w:p>
        </w:tc>
        <w:tc>
          <w:tcPr>
            <w:tcW w:w="240" w:type="dxa"/>
            <w:vAlign w:val="bottom"/>
          </w:tcPr>
          <w:p>
            <w:pPr>
              <w:spacing w:after="0"/>
              <w:rPr>
                <w:sz w:val="20"/>
                <w:szCs w:val="20"/>
                <w:color w:val="auto"/>
              </w:rPr>
            </w:pP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5"/>
        </w:trPr>
        <w:tc>
          <w:tcPr>
            <w:tcW w:w="2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Discounted cash</w:t>
            </w:r>
          </w:p>
        </w:tc>
        <w:tc>
          <w:tcPr>
            <w:tcW w:w="17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Commitment</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flow</w:t>
            </w:r>
          </w:p>
        </w:tc>
        <w:tc>
          <w:tcPr>
            <w:tcW w:w="17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expirations</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0%-78% (22%)</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240" w:firstLine="8"/>
        <w:spacing w:after="0" w:line="410" w:lineRule="auto"/>
        <w:tabs>
          <w:tab w:leader="none" w:pos="29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91"/>
              </w:rPr>
              <w:t>September 30, 2018</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Carrying</w:t>
            </w:r>
          </w:p>
        </w:tc>
        <w:tc>
          <w:tcPr>
            <w:tcW w:w="1100" w:type="dxa"/>
            <w:vAlign w:val="bottom"/>
            <w:gridSpan w:val="2"/>
          </w:tcPr>
          <w:p>
            <w:pPr>
              <w:jc w:val="right"/>
              <w:ind w:right="320"/>
              <w:spacing w:after="0" w:line="137"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55"/>
        </w:trPr>
        <w:tc>
          <w:tcPr>
            <w:tcW w:w="4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color w:val="auto"/>
                <w:w w:val="93"/>
              </w:rPr>
              <w:t>(In thousands)</w:t>
            </w:r>
          </w:p>
        </w:tc>
        <w:tc>
          <w:tcPr>
            <w:tcW w:w="10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1,311,611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1,311,611</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1,232,393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79,218</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6,523,746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6,523,746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6,523,746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125,038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125,038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47,653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77,385</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13,073,881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12,968,432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72,651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12,790,484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21,635,394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21,215,945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21,215,945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33,518,375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32,971,832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381,007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32,590,825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17,721,399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17,429,777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3,984,387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13,445,390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13,805,317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13,676,356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13,676,356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(1,019,488)</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60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85,660,997</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85,293,910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4,365,394</w:t>
            </w:r>
          </w:p>
        </w:tc>
        <w:tc>
          <w:tcPr>
            <w:tcW w:w="3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80,928,516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Financial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2"/>
              </w:rPr>
              <w:t>(31,773,560)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(31,773,560)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(31,773,560)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(51,108,962)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(51,108,962)</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(51,108,962)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(5,810,587)</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(5,872,516)</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(5,872,516)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(447,287)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(447,287)</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(447,287)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(1,310,110)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(1,310,110)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(1,310,110)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(9,140,268)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(9,160,009)</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(9,160,009)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(68,196)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(68,196)</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(68,196)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(308,733)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(308,733)</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(308,733)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(129,102)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(129,102)</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(129,102)</w:t>
            </w:r>
          </w:p>
        </w:tc>
        <w:tc>
          <w:tcPr>
            <w:tcW w:w="20" w:type="dxa"/>
            <w:vAlign w:val="bottom"/>
          </w:tcPr>
          <w:p>
            <w:pPr>
              <w:spacing w:after="0"/>
              <w:rPr>
                <w:sz w:val="19"/>
                <w:szCs w:val="19"/>
                <w:color w:val="auto"/>
              </w:rPr>
            </w:pPr>
          </w:p>
        </w:tc>
      </w:tr>
      <w:tr>
        <w:trPr>
          <w:trHeight w:val="215"/>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32"/>
        </w:trPr>
        <w:tc>
          <w:tcPr>
            <w:tcW w:w="4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- 38 -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December 31, 2017</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560"/>
              <w:spacing w:after="0" w:line="137" w:lineRule="exact"/>
              <w:rPr>
                <w:sz w:val="20"/>
                <w:szCs w:val="20"/>
                <w:color w:val="auto"/>
              </w:rPr>
            </w:pPr>
            <w:r>
              <w:rPr>
                <w:rFonts w:ascii="Arial" w:cs="Arial" w:eastAsia="Arial" w:hAnsi="Arial"/>
                <w:sz w:val="14"/>
                <w:szCs w:val="14"/>
                <w:color w:val="auto"/>
              </w:rPr>
              <w:t>Carrying</w:t>
            </w:r>
          </w:p>
        </w:tc>
        <w:tc>
          <w:tcPr>
            <w:tcW w:w="1100" w:type="dxa"/>
            <w:vAlign w:val="bottom"/>
            <w:gridSpan w:val="2"/>
          </w:tcPr>
          <w:p>
            <w:pPr>
              <w:jc w:val="right"/>
              <w:ind w:right="320"/>
              <w:spacing w:after="0" w:line="137"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r>
      <w:tr>
        <w:trPr>
          <w:trHeight w:val="155"/>
        </w:trPr>
        <w:tc>
          <w:tcPr>
            <w:tcW w:w="4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1,420,888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1,420,888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1,352,035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68,853</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132,909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132,909</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47,873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85,036</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14,664,525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14,469,127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110,715</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21,742,651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21,321,282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21,321,282</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33,366,373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32,950,724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22,130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32,928,594</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19,613,344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19,596,826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4,440,645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15,156,181</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13,266,615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13,161,517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13,161,517</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(1,017,198)</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86,971,785</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87,030,349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4,462,775</w:t>
            </w:r>
          </w:p>
        </w:tc>
        <w:tc>
          <w:tcPr>
            <w:tcW w:w="3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82,567,574</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Financial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2"/>
              </w:rPr>
              <w:t>(33,975,180)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(33,975,180)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(33,975,180)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(51,698,008)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(51,698,008)</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(51,698,008)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(6,580,962)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(6,635,048)</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(6,635,048)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(177,996)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(177,996)</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(177,996)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(175,099)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(175,099)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(175,099)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(8,141,430)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(8,193,783)</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(8,193,783)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(75,641)</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(75,641)</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(75,641)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(137,390)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(137,390)</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(137,390)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8,303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(125,281)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r>
      <w:tr>
        <w:trPr>
          <w:trHeight w:val="215"/>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Commitments and contingencies</w:t>
      </w:r>
    </w:p>
    <w:p>
      <w:pPr>
        <w:spacing w:after="0" w:line="115"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color w:val="auto"/>
                <w:w w:val="91"/>
              </w:rPr>
              <w:t>September 30,</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2018</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155"/>
        </w:trPr>
        <w:tc>
          <w:tcPr>
            <w:tcW w:w="5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2"/>
          </w:tcPr>
          <w:p>
            <w:pPr>
              <w:jc w:val="right"/>
              <w:ind w:right="77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5,465,893</w:t>
            </w:r>
          </w:p>
        </w:tc>
        <w:tc>
          <w:tcPr>
            <w:tcW w:w="1200" w:type="dxa"/>
            <w:vAlign w:val="bottom"/>
          </w:tcPr>
          <w:p>
            <w:pPr>
              <w:jc w:val="right"/>
              <w:spacing w:after="0"/>
              <w:rPr>
                <w:sz w:val="20"/>
                <w:szCs w:val="20"/>
                <w:color w:val="auto"/>
              </w:rPr>
            </w:pPr>
            <w:r>
              <w:rPr>
                <w:rFonts w:ascii="Arial" w:cs="Arial" w:eastAsia="Arial" w:hAnsi="Arial"/>
                <w:sz w:val="18"/>
                <w:szCs w:val="18"/>
                <w:color w:val="auto"/>
              </w:rPr>
              <w:t>5,482,622</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153,900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194,763</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6,549,168</w:t>
            </w:r>
          </w:p>
        </w:tc>
        <w:tc>
          <w:tcPr>
            <w:tcW w:w="1200" w:type="dxa"/>
            <w:vAlign w:val="bottom"/>
          </w:tcPr>
          <w:p>
            <w:pPr>
              <w:jc w:val="right"/>
              <w:spacing w:after="0"/>
              <w:rPr>
                <w:sz w:val="20"/>
                <w:szCs w:val="20"/>
                <w:color w:val="auto"/>
              </w:rPr>
            </w:pPr>
            <w:r>
              <w:rPr>
                <w:rFonts w:ascii="Arial" w:cs="Arial" w:eastAsia="Arial" w:hAnsi="Arial"/>
                <w:sz w:val="18"/>
                <w:szCs w:val="18"/>
                <w:color w:val="auto"/>
              </w:rPr>
              <w:t>6,050,569</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307,955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347,113</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267,948</w:t>
            </w:r>
          </w:p>
        </w:tc>
        <w:tc>
          <w:tcPr>
            <w:tcW w:w="1200" w:type="dxa"/>
            <w:vAlign w:val="bottom"/>
          </w:tcPr>
          <w:p>
            <w:pPr>
              <w:jc w:val="right"/>
              <w:spacing w:after="0"/>
              <w:rPr>
                <w:sz w:val="20"/>
                <w:szCs w:val="20"/>
                <w:color w:val="auto"/>
              </w:rPr>
            </w:pPr>
            <w:r>
              <w:rPr>
                <w:rFonts w:ascii="Arial" w:cs="Arial" w:eastAsia="Arial" w:hAnsi="Arial"/>
                <w:sz w:val="18"/>
                <w:szCs w:val="18"/>
                <w:color w:val="auto"/>
              </w:rPr>
              <w:t>201,426</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14,608,286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12,733,815</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2,385,904</w:t>
            </w:r>
          </w:p>
        </w:tc>
        <w:tc>
          <w:tcPr>
            <w:tcW w:w="1200" w:type="dxa"/>
            <w:vAlign w:val="bottom"/>
          </w:tcPr>
          <w:p>
            <w:pPr>
              <w:jc w:val="right"/>
              <w:spacing w:after="0"/>
              <w:rPr>
                <w:sz w:val="20"/>
                <w:szCs w:val="20"/>
                <w:color w:val="auto"/>
              </w:rPr>
            </w:pPr>
            <w:r>
              <w:rPr>
                <w:rFonts w:ascii="Arial" w:cs="Arial" w:eastAsia="Arial" w:hAnsi="Arial"/>
                <w:sz w:val="18"/>
                <w:szCs w:val="18"/>
                <w:color w:val="auto"/>
              </w:rPr>
              <w:t>2,497,844</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42,030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46,739</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3,416,625</w:t>
            </w:r>
          </w:p>
        </w:tc>
        <w:tc>
          <w:tcPr>
            <w:tcW w:w="1200" w:type="dxa"/>
            <w:vAlign w:val="bottom"/>
          </w:tcPr>
          <w:p>
            <w:pPr>
              <w:jc w:val="right"/>
              <w:spacing w:after="0"/>
              <w:rPr>
                <w:sz w:val="20"/>
                <w:szCs w:val="20"/>
                <w:color w:val="auto"/>
              </w:rPr>
            </w:pPr>
            <w:r>
              <w:rPr>
                <w:rFonts w:ascii="Arial" w:cs="Arial" w:eastAsia="Arial" w:hAnsi="Arial"/>
                <w:sz w:val="18"/>
                <w:szCs w:val="18"/>
                <w:color w:val="auto"/>
              </w:rPr>
              <w:t>3,434,381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994,879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812,217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$3.3 billion at each of September 30, 2018 and December 31, 2017.</w:t>
      </w:r>
    </w:p>
    <w:p>
      <w:pPr>
        <w:spacing w:after="0" w:line="165"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2"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Company also has commitments under long-term operating leases.</w:t>
      </w:r>
    </w:p>
    <w:p>
      <w:pPr>
        <w:spacing w:after="0" w:line="217"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Commitments and contingencies, continued</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amount of those charges is based on the volume of loans sold, the level of reimbursement requests received from loan purchasers and estimates of losses that may be associated with previously sold loans. At September 30, 2018 the Company believes that its obligation to loan purchasers was not material to the Company’s consolidated financial position.</w:t>
      </w:r>
    </w:p>
    <w:p>
      <w:pPr>
        <w:spacing w:after="0" w:line="18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As previously disclosed, Wilmington Trust Corporation (“WTC”), a wholly-owned subsidiary of M&amp;T, is the subject of a class action lawsuit alleging that WTC’s financial reporting and securities filings prior to its acquisition by M&amp;T in 2011 were in violation of securities laws. In April 2018, the parties reached an agreement in principle and a formal settlement agreement was executed and filed with the court later in the second quarter of 2018. The proposed settlement was preliminarily approved by the court in July 2018. In the first quarter of 2018, the Company increased its reserve for litigation matters by $135 million in anticipation of the settlement. The settlement amount of $200 million was paid, pursuant to the settlement agreement, during the third quarter of 2018. The settlement agreement is subject to the final approval of the court which is expected to occur in the fourth quarter of 2018.</w:t>
      </w:r>
    </w:p>
    <w:p>
      <w:pPr>
        <w:spacing w:after="0" w:line="16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92"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financial information of the Company's segments was compiled utilizing the accounting policies described in note 22 of Notes to Financial Statements in the 2017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Segment information,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color w:val="auto"/>
                <w:w w:val="91"/>
              </w:rPr>
              <w:t>Three Months Ended September 30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82"/>
              <w:spacing w:after="0" w:line="155"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3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4"/>
          </w:tcPr>
          <w:p>
            <w:pPr>
              <w:jc w:val="center"/>
              <w:spacing w:after="0" w:line="137" w:lineRule="exact"/>
              <w:rPr>
                <w:sz w:val="20"/>
                <w:szCs w:val="20"/>
                <w:color w:val="auto"/>
              </w:rPr>
            </w:pPr>
            <w:r>
              <w:rPr>
                <w:rFonts w:ascii="Arial" w:cs="Arial" w:eastAsia="Arial" w:hAnsi="Arial"/>
                <w:sz w:val="14"/>
                <w:szCs w:val="14"/>
                <w:color w:val="auto"/>
                <w:w w:val="97"/>
              </w:rPr>
              <w:t>Inter-</w:t>
            </w:r>
          </w:p>
        </w:tc>
        <w:tc>
          <w:tcPr>
            <w:tcW w:w="160" w:type="dxa"/>
            <w:vAlign w:val="bottom"/>
          </w:tcPr>
          <w:p>
            <w:pPr>
              <w:spacing w:after="0"/>
              <w:rPr>
                <w:sz w:val="11"/>
                <w:szCs w:val="11"/>
                <w:color w:val="auto"/>
              </w:rPr>
            </w:pPr>
          </w:p>
        </w:tc>
        <w:tc>
          <w:tcPr>
            <w:tcW w:w="7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120"/>
              <w:spacing w:after="0" w:line="137" w:lineRule="exact"/>
              <w:rPr>
                <w:sz w:val="20"/>
                <w:szCs w:val="20"/>
                <w:color w:val="auto"/>
              </w:rPr>
            </w:pPr>
            <w:r>
              <w:rPr>
                <w:rFonts w:ascii="Arial" w:cs="Arial" w:eastAsia="Arial" w:hAnsi="Arial"/>
                <w:sz w:val="14"/>
                <w:szCs w:val="14"/>
                <w:color w:val="auto"/>
                <w:w w:val="97"/>
              </w:rPr>
              <w:t>Inter-</w:t>
            </w:r>
          </w:p>
        </w:tc>
        <w:tc>
          <w:tcPr>
            <w:tcW w:w="14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3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9"/>
              </w:rPr>
              <w:t>segment</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segment</w:t>
            </w: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w w:val="94"/>
              </w:rPr>
              <w:t>Revenues(a)</w:t>
            </w: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color w:val="auto"/>
                <w:w w:val="88"/>
              </w:rPr>
              <w:t>Revenues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2"/>
              </w:rPr>
              <w:t>(Loss)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color w:val="auto"/>
                <w:w w:val="89"/>
              </w:rPr>
              <w:t>Revenues(a)</w:t>
            </w:r>
          </w:p>
        </w:tc>
        <w:tc>
          <w:tcPr>
            <w:tcW w:w="14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c>
          <w:tcPr>
            <w:tcW w:w="20" w:type="dxa"/>
            <w:vAlign w:val="bottom"/>
          </w:tcPr>
          <w:p>
            <w:pPr>
              <w:spacing w:after="0"/>
              <w:rPr>
                <w:sz w:val="14"/>
                <w:szCs w:val="14"/>
                <w:color w:val="auto"/>
              </w:rPr>
            </w:pPr>
          </w:p>
        </w:tc>
      </w:tr>
      <w:tr>
        <w:trPr>
          <w:trHeight w:val="176"/>
        </w:trPr>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8"/>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8"/>
        </w:trPr>
        <w:tc>
          <w:tcPr>
            <w:tcW w:w="3780" w:type="dxa"/>
            <w:vAlign w:val="bottom"/>
          </w:tcPr>
          <w:p>
            <w:pPr>
              <w:spacing w:after="0"/>
              <w:rPr>
                <w:sz w:val="20"/>
                <w:szCs w:val="20"/>
                <w:color w:val="auto"/>
              </w:rPr>
            </w:pPr>
            <w:r>
              <w:rPr>
                <w:rFonts w:ascii="Arial" w:cs="Arial" w:eastAsia="Arial" w:hAnsi="Arial"/>
                <w:sz w:val="18"/>
                <w:szCs w:val="18"/>
                <w:color w:val="auto"/>
              </w:rPr>
              <w:t>Business Banking</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  138,898</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43,730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130,501</w:t>
            </w:r>
          </w:p>
        </w:tc>
        <w:tc>
          <w:tcPr>
            <w:tcW w:w="1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31,408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26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280,671</w:t>
            </w: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147,910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267,822</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214,266</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116,386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212,014</w:t>
            </w: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97,295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26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53,061</w:t>
            </w:r>
          </w:p>
        </w:tc>
        <w:tc>
          <w:tcPr>
            <w:tcW w:w="10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(10,270)</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39,723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65,808</w:t>
            </w:r>
          </w:p>
        </w:tc>
        <w:tc>
          <w:tcPr>
            <w:tcW w:w="1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(12,346)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79,603</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15,402</w:t>
            </w:r>
          </w:p>
        </w:tc>
        <w:tc>
          <w:tcPr>
            <w:tcW w:w="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90,018</w:t>
            </w: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26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427,452</w:t>
            </w: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2,862</w:t>
            </w:r>
          </w:p>
        </w:tc>
        <w:tc>
          <w:tcPr>
            <w:tcW w:w="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141,612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392,542</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All Other</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294,381</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(10,160)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257,858</w:t>
            </w:r>
          </w:p>
        </w:tc>
        <w:tc>
          <w:tcPr>
            <w:tcW w:w="10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(11,348)</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(23,967)</w:t>
            </w:r>
          </w:p>
        </w:tc>
        <w:tc>
          <w:tcPr>
            <w:tcW w:w="20" w:type="dxa"/>
            <w:vAlign w:val="bottom"/>
          </w:tcPr>
          <w:p>
            <w:pPr>
              <w:spacing w:after="0"/>
              <w:rPr>
                <w:sz w:val="19"/>
                <w:szCs w:val="19"/>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$ 1,488,332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526,091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$ 1,416,563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1"/>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14"/>
                <w:szCs w:val="14"/>
                <w:color w:val="auto"/>
                <w:w w:val="93"/>
              </w:rPr>
              <w:t>Nine Months Ended September 30</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6"/>
              </w:rPr>
              <w:t>2018</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6"/>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3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5"/>
          </w:tcPr>
          <w:p>
            <w:pPr>
              <w:jc w:val="center"/>
              <w:ind w:right="328"/>
              <w:spacing w:after="0" w:line="137" w:lineRule="exact"/>
              <w:rPr>
                <w:sz w:val="20"/>
                <w:szCs w:val="20"/>
                <w:color w:val="auto"/>
              </w:rPr>
            </w:pPr>
            <w:r>
              <w:rPr>
                <w:rFonts w:ascii="Arial" w:cs="Arial" w:eastAsia="Arial" w:hAnsi="Arial"/>
                <w:sz w:val="14"/>
                <w:szCs w:val="14"/>
                <w:color w:val="auto"/>
                <w:w w:val="97"/>
              </w:rPr>
              <w:t>Inter-</w:t>
            </w:r>
          </w:p>
        </w:tc>
        <w:tc>
          <w:tcPr>
            <w:tcW w:w="160" w:type="dxa"/>
            <w:vAlign w:val="bottom"/>
          </w:tcPr>
          <w:p>
            <w:pPr>
              <w:spacing w:after="0"/>
              <w:rPr>
                <w:sz w:val="11"/>
                <w:szCs w:val="11"/>
                <w:color w:val="auto"/>
              </w:rPr>
            </w:pPr>
          </w:p>
        </w:tc>
        <w:tc>
          <w:tcPr>
            <w:tcW w:w="580" w:type="dxa"/>
            <w:vAlign w:val="bottom"/>
          </w:tcPr>
          <w:p>
            <w:pPr>
              <w:jc w:val="center"/>
              <w:ind w:right="186"/>
              <w:spacing w:after="0" w:line="137" w:lineRule="exact"/>
              <w:rPr>
                <w:sz w:val="20"/>
                <w:szCs w:val="20"/>
                <w:color w:val="auto"/>
              </w:rPr>
            </w:pPr>
            <w:r>
              <w:rPr>
                <w:rFonts w:ascii="Arial" w:cs="Arial" w:eastAsia="Arial" w:hAnsi="Arial"/>
                <w:sz w:val="14"/>
                <w:szCs w:val="14"/>
                <w:color w:val="auto"/>
                <w:w w:val="91"/>
              </w:rPr>
              <w:t>Net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380"/>
              <w:spacing w:after="0" w:line="137" w:lineRule="exact"/>
              <w:rPr>
                <w:sz w:val="20"/>
                <w:szCs w:val="20"/>
                <w:color w:val="auto"/>
              </w:rPr>
            </w:pPr>
            <w:r>
              <w:rPr>
                <w:rFonts w:ascii="Arial" w:cs="Arial" w:eastAsia="Arial" w:hAnsi="Arial"/>
                <w:sz w:val="14"/>
                <w:szCs w:val="14"/>
                <w:color w:val="auto"/>
                <w:w w:val="91"/>
              </w:rPr>
              <w:t>Inter-</w:t>
            </w:r>
          </w:p>
        </w:tc>
        <w:tc>
          <w:tcPr>
            <w:tcW w:w="140" w:type="dxa"/>
            <w:vAlign w:val="bottom"/>
          </w:tcPr>
          <w:p>
            <w:pPr>
              <w:spacing w:after="0"/>
              <w:rPr>
                <w:sz w:val="11"/>
                <w:szCs w:val="11"/>
                <w:color w:val="auto"/>
              </w:rPr>
            </w:pPr>
          </w:p>
        </w:tc>
        <w:tc>
          <w:tcPr>
            <w:tcW w:w="720" w:type="dxa"/>
            <w:vAlign w:val="bottom"/>
          </w:tcPr>
          <w:p>
            <w:pPr>
              <w:jc w:val="center"/>
              <w:ind w:right="86"/>
              <w:spacing w:after="0" w:line="137"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3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w w:val="89"/>
              </w:rPr>
              <w:t>Total</w:t>
            </w:r>
          </w:p>
        </w:tc>
        <w:tc>
          <w:tcPr>
            <w:tcW w:w="1000" w:type="dxa"/>
            <w:vAlign w:val="bottom"/>
            <w:gridSpan w:val="5"/>
          </w:tcPr>
          <w:p>
            <w:pPr>
              <w:jc w:val="center"/>
              <w:ind w:right="328"/>
              <w:spacing w:after="0" w:line="149" w:lineRule="exact"/>
              <w:rPr>
                <w:sz w:val="20"/>
                <w:szCs w:val="20"/>
                <w:color w:val="auto"/>
              </w:rPr>
            </w:pPr>
            <w:r>
              <w:rPr>
                <w:rFonts w:ascii="Arial" w:cs="Arial" w:eastAsia="Arial" w:hAnsi="Arial"/>
                <w:sz w:val="14"/>
                <w:szCs w:val="14"/>
                <w:color w:val="auto"/>
                <w:w w:val="89"/>
              </w:rPr>
              <w:t>segment</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89"/>
              </w:rPr>
              <w:t>Total</w:t>
            </w:r>
          </w:p>
        </w:tc>
        <w:tc>
          <w:tcPr>
            <w:tcW w:w="94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Income</w:t>
            </w:r>
          </w:p>
        </w:tc>
        <w:tc>
          <w:tcPr>
            <w:tcW w:w="2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gridSpan w:val="4"/>
          </w:tcPr>
          <w:p>
            <w:pPr>
              <w:jc w:val="right"/>
              <w:ind w:right="340"/>
              <w:spacing w:after="0"/>
              <w:rPr>
                <w:sz w:val="20"/>
                <w:szCs w:val="20"/>
                <w:color w:val="auto"/>
              </w:rPr>
            </w:pPr>
            <w:r>
              <w:rPr>
                <w:rFonts w:ascii="Arial" w:cs="Arial" w:eastAsia="Arial" w:hAnsi="Arial"/>
                <w:sz w:val="14"/>
                <w:szCs w:val="14"/>
                <w:color w:val="auto"/>
                <w:w w:val="94"/>
              </w:rPr>
              <w:t>Revenues(a)</w:t>
            </w:r>
          </w:p>
        </w:tc>
        <w:tc>
          <w:tcPr>
            <w:tcW w:w="1000" w:type="dxa"/>
            <w:vAlign w:val="bottom"/>
            <w:gridSpan w:val="5"/>
          </w:tcPr>
          <w:p>
            <w:pPr>
              <w:jc w:val="center"/>
              <w:ind w:right="328"/>
              <w:spacing w:after="0"/>
              <w:rPr>
                <w:sz w:val="20"/>
                <w:szCs w:val="20"/>
                <w:color w:val="auto"/>
              </w:rPr>
            </w:pPr>
            <w:r>
              <w:rPr>
                <w:rFonts w:ascii="Arial" w:cs="Arial" w:eastAsia="Arial" w:hAnsi="Arial"/>
                <w:sz w:val="14"/>
                <w:szCs w:val="14"/>
                <w:color w:val="auto"/>
                <w:w w:val="88"/>
              </w:rPr>
              <w:t>Revenues</w:t>
            </w:r>
          </w:p>
        </w:tc>
        <w:tc>
          <w:tcPr>
            <w:tcW w:w="88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(Loss)</w:t>
            </w:r>
          </w:p>
        </w:tc>
        <w:tc>
          <w:tcPr>
            <w:tcW w:w="10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color w:val="auto"/>
                <w:w w:val="89"/>
              </w:rPr>
              <w:t>Revenues(a)</w:t>
            </w:r>
          </w:p>
        </w:tc>
        <w:tc>
          <w:tcPr>
            <w:tcW w:w="940" w:type="dxa"/>
            <w:vAlign w:val="bottom"/>
            <w:gridSpan w:val="4"/>
          </w:tcPr>
          <w:p>
            <w:pPr>
              <w:jc w:val="center"/>
              <w:ind w:right="260"/>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(Loss)</w:t>
            </w:r>
          </w:p>
        </w:tc>
        <w:tc>
          <w:tcPr>
            <w:tcW w:w="20" w:type="dxa"/>
            <w:vAlign w:val="bottom"/>
          </w:tcPr>
          <w:p>
            <w:pPr>
              <w:spacing w:after="0"/>
              <w:rPr>
                <w:sz w:val="14"/>
                <w:szCs w:val="14"/>
                <w:color w:val="auto"/>
              </w:rPr>
            </w:pPr>
          </w:p>
        </w:tc>
      </w:tr>
      <w:tr>
        <w:trPr>
          <w:trHeight w:val="176"/>
        </w:trPr>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8"/>
          </w:tcPr>
          <w:p>
            <w:pPr>
              <w:jc w:val="center"/>
              <w:ind w:right="500"/>
              <w:spacing w:after="0"/>
              <w:rPr>
                <w:sz w:val="20"/>
                <w:szCs w:val="20"/>
                <w:color w:val="auto"/>
              </w:rPr>
            </w:pPr>
            <w:r>
              <w:rPr>
                <w:rFonts w:ascii="Arial" w:cs="Arial" w:eastAsia="Arial" w:hAnsi="Arial"/>
                <w:sz w:val="14"/>
                <w:szCs w:val="14"/>
                <w:color w:val="auto"/>
                <w:w w:val="93"/>
              </w:rPr>
              <w:t>(In thousands)</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2"/>
        </w:trPr>
        <w:tc>
          <w:tcPr>
            <w:tcW w:w="3780" w:type="dxa"/>
            <w:vAlign w:val="bottom"/>
          </w:tcPr>
          <w:p>
            <w:pPr>
              <w:spacing w:after="0"/>
              <w:rPr>
                <w:sz w:val="20"/>
                <w:szCs w:val="20"/>
                <w:color w:val="auto"/>
              </w:rPr>
            </w:pPr>
            <w:r>
              <w:rPr>
                <w:rFonts w:ascii="Arial" w:cs="Arial" w:eastAsia="Arial" w:hAnsi="Arial"/>
                <w:sz w:val="18"/>
                <w:szCs w:val="18"/>
                <w:color w:val="auto"/>
              </w:rPr>
              <w:t>Business Banking</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  402,811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124,455</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375,816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85,146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2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816,566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399,766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818,846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328,211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622,414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337,380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604,437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269,113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2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162,075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79"/>
              <w:spacing w:after="0"/>
              <w:rPr>
                <w:sz w:val="20"/>
                <w:szCs w:val="20"/>
                <w:color w:val="auto"/>
              </w:rPr>
            </w:pPr>
            <w:r>
              <w:rPr>
                <w:rFonts w:ascii="Arial" w:cs="Arial" w:eastAsia="Arial" w:hAnsi="Arial"/>
                <w:sz w:val="18"/>
                <w:szCs w:val="18"/>
                <w:color w:val="auto"/>
              </w:rPr>
              <w:t>(31,656)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88,575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216,798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(37,670)</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244,228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46,870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43,637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55,221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2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1,241,468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408,081</w:t>
            </w: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1,144,964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282,614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All Other</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899,184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79"/>
              <w:spacing w:after="0"/>
              <w:rPr>
                <w:sz w:val="20"/>
                <w:szCs w:val="20"/>
                <w:color w:val="auto"/>
              </w:rPr>
            </w:pPr>
            <w:r>
              <w:rPr>
                <w:rFonts w:ascii="Arial" w:cs="Arial" w:eastAsia="Arial" w:hAnsi="Arial"/>
                <w:sz w:val="18"/>
                <w:szCs w:val="18"/>
                <w:color w:val="auto"/>
              </w:rPr>
              <w:t>(30,147)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(30,033)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751,703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(32,915)</w:t>
            </w:r>
          </w:p>
        </w:tc>
        <w:tc>
          <w:tcPr>
            <w:tcW w:w="1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(11,587)</w:t>
            </w:r>
          </w:p>
        </w:tc>
        <w:tc>
          <w:tcPr>
            <w:tcW w:w="20" w:type="dxa"/>
            <w:vAlign w:val="bottom"/>
          </w:tcPr>
          <w:p>
            <w:pPr>
              <w:spacing w:after="0"/>
              <w:rPr>
                <w:sz w:val="19"/>
                <w:szCs w:val="19"/>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$ 4,388,746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1,371,861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$ 4,176,684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1,085,903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780" w:type="dxa"/>
            <w:vAlign w:val="bottom"/>
          </w:tcPr>
          <w:p>
            <w:pPr>
              <w:spacing w:after="0"/>
              <w:rPr>
                <w:sz w:val="24"/>
                <w:szCs w:val="24"/>
                <w:color w:val="auto"/>
              </w:rPr>
            </w:pPr>
          </w:p>
        </w:tc>
        <w:tc>
          <w:tcPr>
            <w:tcW w:w="2400" w:type="dxa"/>
            <w:vAlign w:val="bottom"/>
            <w:gridSpan w:val="3"/>
          </w:tcPr>
          <w:p>
            <w:pPr>
              <w:jc w:val="right"/>
              <w:ind w:right="204"/>
              <w:spacing w:after="0"/>
              <w:rPr>
                <w:sz w:val="20"/>
                <w:szCs w:val="20"/>
                <w:color w:val="auto"/>
              </w:rPr>
            </w:pPr>
            <w:r>
              <w:rPr>
                <w:rFonts w:ascii="Arial" w:cs="Arial" w:eastAsia="Arial" w:hAnsi="Arial"/>
                <w:sz w:val="18"/>
                <w:szCs w:val="18"/>
                <w:color w:val="auto"/>
              </w:rPr>
              <w:t>- 42 -</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Segment information,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Average Total Assets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5"/>
          </w:tcPr>
          <w:p>
            <w:pPr>
              <w:jc w:val="center"/>
              <w:ind w:right="440"/>
              <w:spacing w:after="0" w:line="137" w:lineRule="exact"/>
              <w:rPr>
                <w:sz w:val="20"/>
                <w:szCs w:val="20"/>
                <w:color w:val="auto"/>
              </w:rPr>
            </w:pPr>
            <w:r>
              <w:rPr>
                <w:rFonts w:ascii="Arial" w:cs="Arial" w:eastAsia="Arial" w:hAnsi="Arial"/>
                <w:sz w:val="14"/>
                <w:szCs w:val="14"/>
                <w:color w:val="auto"/>
                <w:w w:val="94"/>
              </w:rPr>
              <w:t>Nine Months Ended</w:t>
            </w: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89"/>
              </w:rPr>
              <w:t>Year Ended</w:t>
            </w:r>
          </w:p>
        </w:tc>
        <w:tc>
          <w:tcPr>
            <w:tcW w:w="80" w:type="dxa"/>
            <w:vAlign w:val="bottom"/>
          </w:tcPr>
          <w:p>
            <w:pPr>
              <w:spacing w:after="0"/>
              <w:rPr>
                <w:sz w:val="11"/>
                <w:szCs w:val="11"/>
                <w:color w:val="auto"/>
              </w:rPr>
            </w:pPr>
          </w:p>
        </w:tc>
      </w:tr>
      <w:tr>
        <w:trPr>
          <w:trHeight w:val="162"/>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color w:val="auto"/>
                <w:w w:val="90"/>
              </w:rPr>
              <w:t>September 30</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December 31</w:t>
            </w:r>
          </w:p>
        </w:tc>
      </w:tr>
      <w:tr>
        <w:trPr>
          <w:trHeight w:val="167"/>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80" w:type="dxa"/>
            <w:vAlign w:val="bottom"/>
          </w:tcPr>
          <w:p>
            <w:pPr>
              <w:spacing w:after="0"/>
              <w:rPr>
                <w:sz w:val="14"/>
                <w:szCs w:val="14"/>
                <w:color w:val="auto"/>
              </w:rPr>
            </w:pPr>
          </w:p>
        </w:tc>
      </w:tr>
      <w:tr>
        <w:trPr>
          <w:trHeight w:val="176"/>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8"/>
        </w:trPr>
        <w:tc>
          <w:tcPr>
            <w:tcW w:w="5600" w:type="dxa"/>
            <w:vAlign w:val="bottom"/>
          </w:tcPr>
          <w:p>
            <w:pPr>
              <w:spacing w:after="0"/>
              <w:rPr>
                <w:sz w:val="20"/>
                <w:szCs w:val="20"/>
                <w:color w:val="auto"/>
              </w:rPr>
            </w:pPr>
            <w:r>
              <w:rPr>
                <w:rFonts w:ascii="Arial" w:cs="Arial" w:eastAsia="Arial" w:hAnsi="Arial"/>
                <w:sz w:val="18"/>
                <w:szCs w:val="18"/>
                <w:color w:val="auto"/>
              </w:rPr>
              <w:t>Business Banking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5,596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24"/>
                <w:szCs w:val="24"/>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26,699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26,573</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22,741</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37,807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37,203</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12,519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w:t>
            </w:r>
          </w:p>
        </w:tc>
        <w:tc>
          <w:tcPr>
            <w:tcW w:w="8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13,684</w:t>
            </w:r>
          </w:p>
        </w:tc>
        <w:tc>
          <w:tcPr>
            <w:tcW w:w="80" w:type="dxa"/>
            <w:vAlign w:val="bottom"/>
          </w:tcPr>
          <w:p>
            <w:pPr>
              <w:spacing w:after="0"/>
              <w:rPr>
                <w:sz w:val="19"/>
                <w:szCs w:val="19"/>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20" w:hanging="512"/>
        <w:spacing w:after="0" w:line="272" w:lineRule="auto"/>
        <w:tabs>
          <w:tab w:leader="none" w:pos="5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$5,733,000 and $8,828,000 for the three-month periods ended September 30, 2018 and 2017, respectively, and $15,939,000 and $25,563,000 for the nine-month periods ended September 30, 2018 and 2017,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Relationship with Bayview Lending Group LLC and Bayview Financial Holdings, L.P.</w:t>
      </w:r>
    </w:p>
    <w:p>
      <w:pPr>
        <w:spacing w:after="0" w:line="223"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That investment had no remaining carrying value at September 30, 2018 as a result of cumulative losses recognized and cash distributions received. Income recognized by M&amp;T is included in other revenues from operations and was not significant during the three-month periods ended September 30, 2018 and 2017 or the nine-month period ended September 30, 2017. Income recognized during the nine months ended September 30, 2018 totaled $24 million.</w:t>
      </w:r>
    </w:p>
    <w:p>
      <w:pPr>
        <w:spacing w:after="0" w:line="14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$2.7 billion and $3.0 billion at September 30, 2018 and December 31, 2017, respectively. Revenues from those servicing rights were $4 million for each of the three-month periods ended September 30, 2018 and 2017, and $11 million and $13 million for the nine-month periods ended September 30, 2018 and 2017, respectively. The Company sub-services residential mortgage loans for Bayview Financial having outstanding principal balances of $60.3 billion and $56.6 billion at September 30, 2018 and December 31, 2017, respectively. Revenues earned for sub-servicing loans for Bayview Financial were $28 million and $26 million for the three-month periods ended September 30, 2018 and 2017, respectively, and $86 million and $74 million for the nine-month periods ended September 30, 2018 and 2017, respectively. In addition, the Company held $118 million and $136 million of mortgage-backed securities in its held-to-maturity portfolio at September 30, 2018 and December 31, 2017, respectively, that were securitized by Bayview Financial. At September 30, 2018, the Company held $90 million of Bayview Financial’s $750 million syndicated loan facility.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Revenue from contracts with customers</w:t>
      </w:r>
    </w:p>
    <w:p>
      <w:pPr>
        <w:spacing w:after="0" w:line="250"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Effective January 1, 2018 the Company adopted amended accounting and disclosure guidance for revenue from contracts with customers under the modified retrospective approach. A significant amount of the Company’s revenues are derived from net interest income on financial assets and liabilities, mortgage banking revenues, trading account and foreign exchange gains, investment securities gains, loan and letter of credit fees, operating lease income, income from bank-owned life insurance, and certain other revenues that are generally excluded from the scope of the amended guidance. As of result of the adoption, the Company began reporting credit card interchange revenue net of $3 million and $9 million of rewards in other revenue from operations for the three-month and nine-month periods ended September 30, 2018, respectively. For the three-month and nine-month periods ended September 30, 2017, credit card rewards expense of $3 million and $8 million, respectively, was included in other costs of operations. The adjustment to beginning retained earnings as well as the impact of any changes in timing of revenue recognition of noninterest income items within the scope of the guidance was not material to the Company’s consolidated financial position at December 31, 2017 or its consolidated results of operations for the nine months ended September 30, 2018.</w:t>
      </w:r>
    </w:p>
    <w:p>
      <w:pPr>
        <w:spacing w:after="0" w:line="200" w:lineRule="exact"/>
        <w:rPr>
          <w:sz w:val="20"/>
          <w:szCs w:val="20"/>
          <w:color w:val="auto"/>
        </w:rPr>
      </w:pPr>
    </w:p>
    <w:p>
      <w:pPr>
        <w:jc w:val="both"/>
        <w:ind w:right="20" w:firstLine="518"/>
        <w:spacing w:after="0" w:line="248" w:lineRule="auto"/>
        <w:rPr>
          <w:sz w:val="20"/>
          <w:szCs w:val="20"/>
          <w:color w:val="auto"/>
        </w:rPr>
      </w:pPr>
      <w:r>
        <w:rPr>
          <w:rFonts w:ascii="Arial" w:cs="Arial" w:eastAsia="Arial" w:hAnsi="Arial"/>
          <w:sz w:val="21"/>
          <w:szCs w:val="21"/>
          <w:color w:val="auto"/>
        </w:rPr>
        <w:t>For noninterest income revenue streams within the scope of the amended guidance,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216"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2018, the Company had $52 million of uncollected amounts receivable related to recognized revenue from the sources in the table below. Such amount is classified in accrued interest and other assets in the Company’s consolidated balance sheet. In certain situations the Company is paid in advance of providing services and defers the recognition of revenue until its service obligation is satisfied. At September 30, 2018, the Company had deferred revenue of $43 million related to the sources in the table below recorded in accrued interest and other liabilities on its consolidated balance sheet. The following tables summarize sources of M&amp;T’s noninterest income during 2018 that are subject to the amended guidance.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center"/>
              <w:ind w:left="557"/>
              <w:spacing w:after="0"/>
              <w:rPr>
                <w:sz w:val="20"/>
                <w:szCs w:val="20"/>
                <w:color w:val="auto"/>
              </w:rPr>
            </w:pPr>
            <w:r>
              <w:rPr>
                <w:rFonts w:ascii="Arial" w:cs="Arial" w:eastAsia="Arial" w:hAnsi="Arial"/>
                <w:sz w:val="14"/>
                <w:szCs w:val="14"/>
                <w:color w:val="auto"/>
                <w:w w:val="91"/>
              </w:rPr>
              <w:t>Three Months Ended September 30, 2018</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3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jc w:val="center"/>
              <w:ind w:right="40"/>
              <w:spacing w:after="0" w:line="137" w:lineRule="exact"/>
              <w:rPr>
                <w:sz w:val="20"/>
                <w:szCs w:val="20"/>
                <w:color w:val="auto"/>
              </w:rPr>
            </w:pPr>
            <w:r>
              <w:rPr>
                <w:rFonts w:ascii="Arial" w:cs="Arial" w:eastAsia="Arial" w:hAnsi="Arial"/>
                <w:sz w:val="14"/>
                <w:szCs w:val="14"/>
                <w:color w:val="auto"/>
                <w:w w:val="95"/>
              </w:rPr>
              <w:t>Residential</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8"/>
              </w:rPr>
              <w:t>Business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Commercial</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Commercial</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Discretionary</w:t>
            </w:r>
          </w:p>
        </w:tc>
        <w:tc>
          <w:tcPr>
            <w:tcW w:w="30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4"/>
              </w:rPr>
              <w:t>Mortgage</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Retail</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Banking</w:t>
            </w:r>
          </w:p>
        </w:tc>
        <w:tc>
          <w:tcPr>
            <w:tcW w:w="3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Banking</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Real Estate</w:t>
            </w:r>
          </w:p>
        </w:tc>
        <w:tc>
          <w:tcPr>
            <w:tcW w:w="32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color w:val="auto"/>
              </w:rPr>
              <w:t>Portfolio</w:t>
            </w:r>
          </w:p>
        </w:tc>
        <w:tc>
          <w:tcPr>
            <w:tcW w:w="30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color w:val="auto"/>
                <w:w w:val="94"/>
              </w:rPr>
              <w:t>Banking</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Banking</w:t>
            </w:r>
          </w:p>
        </w:tc>
        <w:tc>
          <w:tcPr>
            <w:tcW w:w="700" w:type="dxa"/>
            <w:vAlign w:val="bottom"/>
          </w:tcPr>
          <w:p>
            <w:pPr>
              <w:jc w:val="right"/>
              <w:spacing w:after="0"/>
              <w:rPr>
                <w:sz w:val="20"/>
                <w:szCs w:val="20"/>
                <w:color w:val="auto"/>
              </w:rPr>
            </w:pPr>
            <w:r>
              <w:rPr>
                <w:rFonts w:ascii="Arial" w:cs="Arial" w:eastAsia="Arial" w:hAnsi="Arial"/>
                <w:sz w:val="14"/>
                <w:szCs w:val="14"/>
                <w:color w:val="auto"/>
              </w:rPr>
              <w:t>All Other</w:t>
            </w:r>
          </w:p>
        </w:tc>
        <w:tc>
          <w:tcPr>
            <w:tcW w:w="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r>
      <w:tr>
        <w:trPr>
          <w:trHeight w:val="251"/>
        </w:trPr>
        <w:tc>
          <w:tcPr>
            <w:tcW w:w="3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4"/>
                <w:szCs w:val="14"/>
                <w:color w:val="auto"/>
                <w:w w:val="93"/>
              </w:rPr>
              <w:t>(In thousands)</w:t>
            </w: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Classification in consolidated statement</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income</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$ 15,767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24,167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2,374</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64,709</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$ 108,647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Trust income</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133,545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133,545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Other revenues from operations: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Merchant discount and credit card fees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$ 25,005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78,014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154,625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$ 303,136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jc w:val="right"/>
              <w:ind w:right="297"/>
              <w:spacing w:after="0"/>
              <w:rPr>
                <w:sz w:val="20"/>
                <w:szCs w:val="20"/>
                <w:color w:val="auto"/>
              </w:rPr>
            </w:pPr>
            <w:r>
              <w:rPr>
                <w:rFonts w:ascii="Arial" w:cs="Arial" w:eastAsia="Arial" w:hAnsi="Arial"/>
                <w:sz w:val="18"/>
                <w:szCs w:val="18"/>
                <w:color w:val="auto"/>
              </w:rPr>
              <w:t>- 44 -</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Revenue from contracts with customers, 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color w:val="auto"/>
                <w:w w:val="92"/>
              </w:rPr>
              <w:t>Nine Months Ended September 30, 2018</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3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jc w:val="center"/>
              <w:ind w:right="240"/>
              <w:spacing w:after="0" w:line="137" w:lineRule="exact"/>
              <w:rPr>
                <w:sz w:val="20"/>
                <w:szCs w:val="20"/>
                <w:color w:val="auto"/>
              </w:rPr>
            </w:pPr>
            <w:r>
              <w:rPr>
                <w:rFonts w:ascii="Arial" w:cs="Arial" w:eastAsia="Arial" w:hAnsi="Arial"/>
                <w:sz w:val="14"/>
                <w:szCs w:val="14"/>
                <w:color w:val="auto"/>
                <w:w w:val="95"/>
              </w:rPr>
              <w:t>Residential</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Business</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Commercial</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Commercial</w:t>
            </w:r>
          </w:p>
        </w:tc>
        <w:tc>
          <w:tcPr>
            <w:tcW w:w="3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Discretionary</w:t>
            </w:r>
          </w:p>
        </w:tc>
        <w:tc>
          <w:tcPr>
            <w:tcW w:w="14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Mortgage</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Retail</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Banking</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Banking</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Real Estate</w:t>
            </w:r>
          </w:p>
        </w:tc>
        <w:tc>
          <w:tcPr>
            <w:tcW w:w="3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Portfolio</w:t>
            </w:r>
          </w:p>
        </w:tc>
        <w:tc>
          <w:tcPr>
            <w:tcW w:w="14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Banking</w:t>
            </w:r>
          </w:p>
        </w:tc>
        <w:tc>
          <w:tcPr>
            <w:tcW w:w="96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Banking</w:t>
            </w:r>
          </w:p>
        </w:tc>
        <w:tc>
          <w:tcPr>
            <w:tcW w:w="700" w:type="dxa"/>
            <w:vAlign w:val="bottom"/>
          </w:tcPr>
          <w:p>
            <w:pPr>
              <w:jc w:val="right"/>
              <w:spacing w:after="0"/>
              <w:rPr>
                <w:sz w:val="20"/>
                <w:szCs w:val="20"/>
                <w:color w:val="auto"/>
              </w:rPr>
            </w:pPr>
            <w:r>
              <w:rPr>
                <w:rFonts w:ascii="Arial" w:cs="Arial" w:eastAsia="Arial" w:hAnsi="Arial"/>
                <w:sz w:val="14"/>
                <w:szCs w:val="14"/>
                <w:color w:val="auto"/>
              </w:rPr>
              <w:t>All Other</w:t>
            </w:r>
          </w:p>
        </w:tc>
        <w:tc>
          <w:tcPr>
            <w:tcW w:w="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251"/>
        </w:trPr>
        <w:tc>
          <w:tcPr>
            <w:tcW w:w="3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6"/>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6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8"/>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Classification in consolidated statement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2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income</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$ 46,782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188,325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$ 320,546</w:t>
            </w:r>
          </w:p>
        </w:tc>
        <w:tc>
          <w:tcPr>
            <w:tcW w:w="10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Trust income</w:t>
            </w: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402,561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402,561</w:t>
            </w:r>
          </w:p>
        </w:tc>
        <w:tc>
          <w:tcPr>
            <w:tcW w:w="10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38,288</w:t>
            </w:r>
          </w:p>
        </w:tc>
        <w:tc>
          <w:tcPr>
            <w:tcW w:w="10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Other revenues from operations: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Merchant discount and credit card fees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78,605</w:t>
            </w:r>
          </w:p>
        </w:tc>
        <w:tc>
          <w:tcPr>
            <w:tcW w:w="100" w:type="dxa"/>
            <w:vAlign w:val="bottom"/>
            <w:shd w:val="clear" w:color="auto" w:fill="CFF0FC"/>
          </w:tcPr>
          <w:p>
            <w:pPr>
              <w:spacing w:after="0"/>
              <w:rPr>
                <w:sz w:val="19"/>
                <w:szCs w:val="19"/>
                <w:color w:val="auto"/>
              </w:rPr>
            </w:pPr>
          </w:p>
        </w:tc>
      </w:tr>
      <w:tr>
        <w:trPr>
          <w:trHeight w:val="229"/>
        </w:trPr>
        <w:tc>
          <w:tcPr>
            <w:tcW w:w="326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6,871</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28,875</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68,208</w:t>
            </w:r>
          </w:p>
        </w:tc>
        <w:tc>
          <w:tcPr>
            <w:tcW w:w="100" w:type="dxa"/>
            <w:vAlign w:val="bottom"/>
          </w:tcPr>
          <w:p>
            <w:pPr>
              <w:spacing w:after="0"/>
              <w:rPr>
                <w:sz w:val="19"/>
                <w:szCs w:val="19"/>
                <w:color w:val="auto"/>
              </w:rPr>
            </w:pPr>
          </w:p>
        </w:tc>
      </w:tr>
      <w:tr>
        <w:trPr>
          <w:trHeight w:val="223"/>
        </w:trPr>
        <w:tc>
          <w:tcPr>
            <w:tcW w:w="3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$ 71,857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228,636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470,724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$ 908,208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4" w:lineRule="auto"/>
        <w:rPr>
          <w:sz w:val="20"/>
          <w:szCs w:val="20"/>
          <w:color w:val="auto"/>
        </w:rPr>
      </w:pPr>
      <w:r>
        <w:rPr>
          <w:rFonts w:ascii="Arial" w:cs="Arial" w:eastAsia="Arial" w:hAnsi="Arial"/>
          <w:sz w:val="18"/>
          <w:szCs w:val="18"/>
          <w:i w:val="1"/>
          <w:iCs w:val="1"/>
          <w:color w:val="auto"/>
        </w:rPr>
        <w:t xml:space="preserve">Service charges on deposit accounts </w:t>
      </w:r>
      <w:r>
        <w:rPr>
          <w:rFonts w:ascii="Arial" w:cs="Arial" w:eastAsia="Arial" w:hAnsi="Arial"/>
          <w:sz w:val="18"/>
          <w:szCs w:val="18"/>
          <w:color w:val="auto"/>
        </w:rPr>
        <w:t>are generally deducted directly from customer account balances and include account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as well as fees for insufficient funds, debit card usage, and other transactional services. Account maintenance charges are generally recognized as revenue on a monthly basis, whereas transactional fees are recognized after M&amp;T provides the respective service.</w:t>
      </w:r>
    </w:p>
    <w:p>
      <w:pPr>
        <w:spacing w:after="0" w:line="132" w:lineRule="exact"/>
        <w:rPr>
          <w:sz w:val="20"/>
          <w:szCs w:val="20"/>
          <w:color w:val="auto"/>
        </w:rPr>
      </w:pPr>
    </w:p>
    <w:p>
      <w:pPr>
        <w:jc w:val="both"/>
        <w:ind w:right="20"/>
        <w:spacing w:after="0" w:line="250" w:lineRule="auto"/>
        <w:rPr>
          <w:sz w:val="20"/>
          <w:szCs w:val="20"/>
          <w:color w:val="auto"/>
        </w:rPr>
      </w:pPr>
      <w:r>
        <w:rPr>
          <w:rFonts w:ascii="Arial" w:cs="Arial" w:eastAsia="Arial" w:hAnsi="Arial"/>
          <w:sz w:val="21"/>
          <w:szCs w:val="21"/>
          <w:i w:val="1"/>
          <w:iCs w:val="1"/>
          <w:color w:val="auto"/>
        </w:rPr>
        <w:t xml:space="preserve">Trust income </w:t>
      </w:r>
      <w:r>
        <w:rPr>
          <w:rFonts w:ascii="Arial" w:cs="Arial" w:eastAsia="Arial" w:hAnsi="Arial"/>
          <w:sz w:val="21"/>
          <w:szCs w:val="21"/>
          <w:color w:val="auto"/>
        </w:rPr>
        <w:t>includes fees related to the Institutional Client Services (“ICS”) business and the Wealth Advisory Services (“WAS”)</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Revenues from the ICS business are largely derived from a variety of trustee, agency,</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investment, cash management and administrative services, whereas revenues from the WAS business are mainly derived from asset management, fiduciary services, and family office services. Trust fees may be billed in arrears or in advance and are recognized as revenues as M&amp;T’s performance obligations are satisfied. Certain fees are based on a percentage of assets invested or under management and are recognized as the service is performed and constraints regarding the uncertainty of the amount of fees are resolved.</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9"/>
          <w:szCs w:val="19"/>
          <w:i w:val="1"/>
          <w:iCs w:val="1"/>
          <w:color w:val="auto"/>
        </w:rPr>
        <w:t xml:space="preserve">Brokerage service income </w:t>
      </w:r>
      <w:r>
        <w:rPr>
          <w:rFonts w:ascii="Arial" w:cs="Arial" w:eastAsia="Arial" w:hAnsi="Arial"/>
          <w:sz w:val="19"/>
          <w:szCs w:val="19"/>
          <w:color w:val="auto"/>
        </w:rPr>
        <w:t>includes revenues from the sale of mutual funds and annuities and securities brokerage fees. Such revenues</w:t>
      </w:r>
      <w:r>
        <w:rPr>
          <w:rFonts w:ascii="Arial" w:cs="Arial" w:eastAsia="Arial" w:hAnsi="Arial"/>
          <w:sz w:val="19"/>
          <w:szCs w:val="19"/>
          <w:i w:val="1"/>
          <w:iCs w:val="1"/>
          <w:color w:val="auto"/>
        </w:rPr>
        <w:t xml:space="preserve"> </w:t>
      </w:r>
      <w:r>
        <w:rPr>
          <w:rFonts w:ascii="Arial" w:cs="Arial" w:eastAsia="Arial" w:hAnsi="Arial"/>
          <w:sz w:val="19"/>
          <w:szCs w:val="19"/>
          <w:color w:val="auto"/>
        </w:rPr>
        <w:t>are generally recognized at the time of transaction execution. Mutual fund and other distribution fees are recognized upon initial placement of customer funds as well as in future periods as such customers continue to hold amounts in those mutual funds.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i w:val="1"/>
          <w:iCs w:val="1"/>
          <w:color w:val="auto"/>
        </w:rPr>
        <w:t xml:space="preserve">Other revenues from operations </w:t>
      </w:r>
      <w:r>
        <w:rPr>
          <w:rFonts w:ascii="Arial" w:cs="Arial" w:eastAsia="Arial" w:hAnsi="Arial"/>
          <w:sz w:val="20"/>
          <w:szCs w:val="20"/>
          <w:color w:val="auto"/>
        </w:rPr>
        <w:t>include merchant discount and credit card fees such as interchange fees and merchant discount fees that</w:t>
      </w:r>
      <w:r>
        <w:rPr>
          <w:rFonts w:ascii="Arial" w:cs="Arial" w:eastAsia="Arial" w:hAnsi="Arial"/>
          <w:sz w:val="20"/>
          <w:szCs w:val="20"/>
          <w:i w:val="1"/>
          <w:iCs w:val="1"/>
          <w:color w:val="auto"/>
        </w:rPr>
        <w:t xml:space="preserve"> </w:t>
      </w:r>
      <w:r>
        <w:rPr>
          <w:rFonts w:ascii="Arial" w:cs="Arial" w:eastAsia="Arial" w:hAnsi="Arial"/>
          <w:sz w:val="20"/>
          <w:szCs w:val="20"/>
          <w:color w:val="auto"/>
        </w:rPr>
        <w:t>are generally recognized when the cardholder’s transaction is approved and settled. Beginning in 2018, credit card rewards accrued to cardholders are recognized as a reduction of interchange revenue. Also included in other revenues from operations are insurance commissions, ATM surcharge fees, and advisory fees. Insurance commissions are recognized at the time the insurance policy is executed with the customer. Insurance renewal commissions are recognized upon subsequent renewal of the policy. ATM surcharge fees are included in revenue at the time of the respective ATM transaction. Advisory fees are generally recognized at the conclusion of the advisory engagement when the Company has satisfied its service obligation.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2018 as well as standards that are not effective that could have an impact to M&amp;T’s consolidated financial statements upon adoption.</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920" w:type="dxa"/>
            <w:vAlign w:val="bottom"/>
            <w:tcBorders>
              <w:top w:val="single" w:sz="8" w:color="auto"/>
              <w:right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400" w:type="dxa"/>
            <w:vAlign w:val="bottom"/>
            <w:tcBorders>
              <w:top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2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2018</w:t>
            </w:r>
          </w:p>
        </w:tc>
        <w:tc>
          <w:tcPr>
            <w:tcW w:w="15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Revenue from</w:t>
            </w:r>
          </w:p>
        </w:tc>
        <w:tc>
          <w:tcPr>
            <w:tcW w:w="39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The core principle of the accounting guidance is that an entity</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400" w:type="dxa"/>
            <w:vAlign w:val="bottom"/>
            <w:shd w:val="clear" w:color="auto" w:fill="CFF0FC"/>
          </w:tcPr>
          <w:p>
            <w:pPr>
              <w:ind w:left="80"/>
              <w:spacing w:after="0"/>
              <w:rPr>
                <w:sz w:val="20"/>
                <w:szCs w:val="20"/>
                <w:color w:val="auto"/>
              </w:rPr>
            </w:pPr>
            <w:r>
              <w:rPr>
                <w:rFonts w:ascii="Arial" w:cs="Arial" w:eastAsia="Arial" w:hAnsi="Arial"/>
                <w:sz w:val="14"/>
                <w:szCs w:val="14"/>
                <w:color w:val="auto"/>
                <w:w w:val="98"/>
              </w:rPr>
              <w:t>As described in note 15 the Company adopted the revenue recognition</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Contracts with</w:t>
            </w: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should recognize revenue to depict the transfer of promised</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guidance effective January 1, 2018 and applied the modified</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Customers</w:t>
            </w: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goods or services to customers in an amount that reflects the</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retrospective approach for reporting purposes. The adjustment to</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consideration to which the entity expects to be entitled in</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beginning retained earnings as well as the impact of any changes in</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exchange for those goods or services.</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the timing of revenue recognition of noninterest income items within</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2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the scope of this guidance did not have a material effect on the</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20" w:type="dxa"/>
            <w:vAlign w:val="bottom"/>
            <w:tcBorders>
              <w:bottom w:val="single" w:sz="8" w:color="auto"/>
              <w:right w:val="single" w:sz="8" w:color="auto"/>
            </w:tcBorders>
            <w:shd w:val="clear" w:color="auto" w:fill="CFF0FC"/>
          </w:tcPr>
          <w:p>
            <w:pPr>
              <w:spacing w:after="0"/>
              <w:rPr>
                <w:sz w:val="14"/>
                <w:szCs w:val="14"/>
                <w:color w:val="auto"/>
              </w:rPr>
            </w:pP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Company’s financial position or results of operations.</w:t>
            </w: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Recognition and</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The amended guidance requires equity investments (excluding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2018</w:t>
            </w:r>
          </w:p>
        </w:tc>
        <w:tc>
          <w:tcPr>
            <w:tcW w:w="4400" w:type="dxa"/>
            <w:vAlign w:val="bottom"/>
          </w:tcPr>
          <w:p>
            <w:pPr>
              <w:ind w:left="80"/>
              <w:spacing w:after="0"/>
              <w:rPr>
                <w:sz w:val="20"/>
                <w:szCs w:val="20"/>
                <w:color w:val="auto"/>
              </w:rPr>
            </w:pPr>
            <w:r>
              <w:rPr>
                <w:rFonts w:ascii="Arial" w:cs="Arial" w:eastAsia="Arial" w:hAnsi="Arial"/>
                <w:sz w:val="14"/>
                <w:szCs w:val="14"/>
                <w:color w:val="auto"/>
              </w:rPr>
              <w:t>At January 1, 2018 the Company reclassified marketable equity</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Measurement of</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those accounted for under the equity method of accounting or</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securities from investment securities available for sale. Upon</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Financial Assets and</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those that result in consolidation of the investee) be measured</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adoption $17 million of fair value changes in those equity securities,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Financial Liabilities</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at fair value with changes in fair value recognized in net</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net of tax were reclassified from accumulated other comprehensive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income, public entities to use the exit price when measuring the</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income to retained earnings. See note 2 for information on amounts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fair value of financial instruments for disclosure purposes, and</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recognized in gain (loss) on bank investment securities in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an entity to present separately in other comprehensive income a</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change in the instrument-specific credit risk when the entity</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has elected to measure a liability at fair value in accordance</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with the fair value option.</w:t>
            </w:r>
          </w:p>
        </w:tc>
        <w:tc>
          <w:tcPr>
            <w:tcW w:w="1520" w:type="dxa"/>
            <w:vAlign w:val="bottom"/>
            <w:tcBorders>
              <w:bottom w:val="single" w:sz="8" w:color="auto"/>
              <w:right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Improvements to</w:t>
            </w:r>
          </w:p>
        </w:tc>
        <w:tc>
          <w:tcPr>
            <w:tcW w:w="39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5"/>
              </w:rPr>
              <w:t>The amended guidance expands and clarifies hedge accounting</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2019</w:t>
            </w:r>
          </w:p>
        </w:tc>
        <w:tc>
          <w:tcPr>
            <w:tcW w:w="4400" w:type="dxa"/>
            <w:vAlign w:val="bottom"/>
            <w:shd w:val="clear" w:color="auto" w:fill="CFF0FC"/>
          </w:tcPr>
          <w:p>
            <w:pPr>
              <w:ind w:left="80"/>
              <w:spacing w:after="0"/>
              <w:rPr>
                <w:sz w:val="20"/>
                <w:szCs w:val="20"/>
                <w:color w:val="auto"/>
              </w:rPr>
            </w:pPr>
            <w:r>
              <w:rPr>
                <w:rFonts w:ascii="Arial" w:cs="Arial" w:eastAsia="Arial" w:hAnsi="Arial"/>
                <w:sz w:val="14"/>
                <w:szCs w:val="14"/>
                <w:color w:val="auto"/>
              </w:rPr>
              <w:t>The Company early adopted the amended guidance on January 1,</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Accounting</w:t>
            </w: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for nonfinancial and financial risk components, aligns the</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2018 and such adoption did not have a material impact on its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for Hedging Activities</w:t>
            </w: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recognition and presentation of the effects of the hedging</w:t>
            </w:r>
          </w:p>
        </w:tc>
        <w:tc>
          <w:tcPr>
            <w:tcW w:w="152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instrument and hedged item in the financial statements, and</w:t>
            </w:r>
          </w:p>
        </w:tc>
        <w:tc>
          <w:tcPr>
            <w:tcW w:w="152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simplifies the requirements for assessing effectiveness in a</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hedging relationship.</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4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Improving the</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The amended guidance requires the service cost component of</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2018</w:t>
            </w:r>
          </w:p>
        </w:tc>
        <w:tc>
          <w:tcPr>
            <w:tcW w:w="4400" w:type="dxa"/>
            <w:vAlign w:val="bottom"/>
          </w:tcPr>
          <w:p>
            <w:pPr>
              <w:ind w:left="80"/>
              <w:spacing w:after="0"/>
              <w:rPr>
                <w:sz w:val="20"/>
                <w:szCs w:val="20"/>
                <w:color w:val="auto"/>
              </w:rPr>
            </w:pPr>
            <w:r>
              <w:rPr>
                <w:rFonts w:ascii="Arial" w:cs="Arial" w:eastAsia="Arial" w:hAnsi="Arial"/>
                <w:sz w:val="14"/>
                <w:szCs w:val="14"/>
                <w:color w:val="auto"/>
              </w:rPr>
              <w:t>The Company adopted the new reporting requirements effective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Presentation of Net</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net periodic pension cost and net periodic postretirement</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January 1, 2018. The Company previously reported all of its net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Periodic Pension Cost</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benefit cost to be reported in the same line item in the income</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periodic pension and postretirement benefit costs in salaries and</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and Net Periodic</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statement as other compensation costs arising from services</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employee benefits expense within the consolidated statement of</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Postretirement Benefit</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rendered by the pertinent employees during the period. The</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income. Information about net periodic pension and postretirement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Cost</w:t>
            </w: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amendments also require that the other components of net</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benefit costs that were not service cost-related is included in note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benefit costs be presented separately from the service cost</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6. The impact of adopting the amended guidance was not material.</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component.</w:t>
            </w:r>
          </w:p>
        </w:tc>
        <w:tc>
          <w:tcPr>
            <w:tcW w:w="1520" w:type="dxa"/>
            <w:vAlign w:val="bottom"/>
            <w:tcBorders>
              <w:bottom w:val="single" w:sz="8" w:color="auto"/>
              <w:right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Scope of Modification</w:t>
            </w:r>
          </w:p>
        </w:tc>
        <w:tc>
          <w:tcPr>
            <w:tcW w:w="39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6"/>
              </w:rPr>
              <w:t>The amended guidance addresses which changes to the terms</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400" w:type="dxa"/>
            <w:vAlign w:val="bottom"/>
            <w:shd w:val="clear" w:color="auto" w:fill="CFF0FC"/>
          </w:tcPr>
          <w:p>
            <w:pPr>
              <w:ind w:left="80"/>
              <w:spacing w:after="0"/>
              <w:rPr>
                <w:sz w:val="20"/>
                <w:szCs w:val="20"/>
                <w:color w:val="auto"/>
              </w:rPr>
            </w:pPr>
            <w:r>
              <w:rPr>
                <w:rFonts w:ascii="Arial" w:cs="Arial" w:eastAsia="Arial" w:hAnsi="Arial"/>
                <w:sz w:val="14"/>
                <w:szCs w:val="14"/>
                <w:color w:val="auto"/>
              </w:rPr>
              <w:t>The Company adopted the amended guidance on January 1,</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Accounting for Share-</w:t>
            </w:r>
          </w:p>
        </w:tc>
        <w:tc>
          <w:tcPr>
            <w:tcW w:w="39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and conditions of a share-based payment award require an</w:t>
            </w:r>
          </w:p>
        </w:tc>
        <w:tc>
          <w:tcPr>
            <w:tcW w:w="1520" w:type="dxa"/>
            <w:vAlign w:val="bottom"/>
            <w:tcBorders>
              <w:right w:val="single" w:sz="8" w:color="auto"/>
            </w:tcBorders>
            <w:shd w:val="clear" w:color="auto" w:fill="CFF0FC"/>
          </w:tcPr>
          <w:p>
            <w:pPr>
              <w:spacing w:after="0"/>
              <w:rPr>
                <w:sz w:val="12"/>
                <w:szCs w:val="12"/>
                <w:color w:val="auto"/>
              </w:rPr>
            </w:pPr>
          </w:p>
        </w:tc>
        <w:tc>
          <w:tcPr>
            <w:tcW w:w="44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2018. The guidance is being applied on a prospective basis for</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Based Payment Awards</w:t>
            </w:r>
          </w:p>
        </w:tc>
        <w:tc>
          <w:tcPr>
            <w:tcW w:w="39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entity to apply modification accounting.</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awards modified on or after the adoption date.</w:t>
            </w: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Restricted Cash</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amended guidance requires that restricted cash and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2018</w:t>
            </w:r>
          </w:p>
        </w:tc>
        <w:tc>
          <w:tcPr>
            <w:tcW w:w="4400" w:type="dxa"/>
            <w:vAlign w:val="bottom"/>
          </w:tcPr>
          <w:p>
            <w:pPr>
              <w:ind w:left="80"/>
              <w:spacing w:after="0"/>
              <w:rPr>
                <w:sz w:val="20"/>
                <w:szCs w:val="20"/>
                <w:color w:val="auto"/>
              </w:rPr>
            </w:pPr>
            <w:r>
              <w:rPr>
                <w:rFonts w:ascii="Arial" w:cs="Arial" w:eastAsia="Arial" w:hAnsi="Arial"/>
                <w:sz w:val="14"/>
                <w:szCs w:val="14"/>
                <w:color w:val="auto"/>
              </w:rPr>
              <w:t>The guidance was adopted on January 1, 2018 and did not have a</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restricted cash equivalents be included with cash and cash</w:t>
            </w:r>
          </w:p>
        </w:tc>
        <w:tc>
          <w:tcPr>
            <w:tcW w:w="1520" w:type="dxa"/>
            <w:vAlign w:val="bottom"/>
            <w:tcBorders>
              <w:right w:val="single" w:sz="8" w:color="auto"/>
            </w:tcBorders>
          </w:tcPr>
          <w:p>
            <w:pPr>
              <w:spacing w:after="0"/>
              <w:rPr>
                <w:sz w:val="12"/>
                <w:szCs w:val="12"/>
                <w:color w:val="auto"/>
              </w:rPr>
            </w:pPr>
          </w:p>
        </w:tc>
        <w:tc>
          <w:tcPr>
            <w:tcW w:w="4400" w:type="dxa"/>
            <w:vAlign w:val="bottom"/>
          </w:tcPr>
          <w:p>
            <w:pPr>
              <w:ind w:left="80"/>
              <w:spacing w:after="0" w:line="149" w:lineRule="exact"/>
              <w:rPr>
                <w:sz w:val="20"/>
                <w:szCs w:val="20"/>
                <w:color w:val="auto"/>
              </w:rPr>
            </w:pPr>
            <w:r>
              <w:rPr>
                <w:rFonts w:ascii="Arial" w:cs="Arial" w:eastAsia="Arial" w:hAnsi="Arial"/>
                <w:sz w:val="14"/>
                <w:szCs w:val="14"/>
                <w:color w:val="auto"/>
              </w:rPr>
              <w:t>material impact on the Company’s 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equivalents when reconciling the beginning-of-period and end-</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of-period total amounts shown on the statement of cash</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flows. In addition, when cash, cash equivalents, and restricted</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cash or restricted cash equivalents are presented in more than</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one line item within the statement of financial position, the line</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items and amounts must be presented on the face of the</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statement of cash flows or disclosed in the notes to the</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 Information about the nature of</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restrictions on an entity’s cash and cash equivalents must also</w:t>
            </w:r>
          </w:p>
        </w:tc>
        <w:tc>
          <w:tcPr>
            <w:tcW w:w="1520" w:type="dxa"/>
            <w:vAlign w:val="bottom"/>
            <w:tcBorders>
              <w:right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be disclosed.</w:t>
            </w:r>
          </w:p>
        </w:tc>
        <w:tc>
          <w:tcPr>
            <w:tcW w:w="1520" w:type="dxa"/>
            <w:vAlign w:val="bottom"/>
            <w:tcBorders>
              <w:bottom w:val="single" w:sz="8" w:color="auto"/>
              <w:right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4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2018</w:t>
            </w:r>
          </w:p>
        </w:tc>
        <w:tc>
          <w:tcPr>
            <w:tcW w:w="152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Classification of</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This amendment provides clarifying guidance for classifying</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3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guidance was applied for 2018 reporting and did not have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Certain Cash Receipts</w:t>
            </w: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cash inflows or outflows on the statement of cash flows where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material impact on the Company’s consolidated statement of cash</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and Cash Payments</w:t>
            </w: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current guidance is unclear or silent.</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30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Clarifying the</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7"/>
              </w:rPr>
              <w:t>The amended guidance clarifies the definition of a business for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2018</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guidance was adopted January 1, 2018 and will be applied to</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Definition of a</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purposes of evaluating whether transactions would be</w:t>
            </w:r>
          </w:p>
        </w:tc>
        <w:tc>
          <w:tcPr>
            <w:tcW w:w="152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future transactions. The Company does not expect the guidance to</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Business</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accounted for as acquisitions (or disposals) of assets or</w:t>
            </w:r>
          </w:p>
        </w:tc>
        <w:tc>
          <w:tcPr>
            <w:tcW w:w="152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have a material impact on its consolidated financial statements.</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businesses.</w:t>
            </w:r>
          </w:p>
        </w:tc>
        <w:tc>
          <w:tcPr>
            <w:tcW w:w="1520" w:type="dxa"/>
            <w:vAlign w:val="bottom"/>
            <w:tcBorders>
              <w:bottom w:val="single" w:sz="8" w:color="auto"/>
              <w:right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September 30, 2018</w:t>
            </w:r>
          </w:p>
        </w:tc>
        <w:tc>
          <w:tcPr>
            <w:tcW w:w="152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Leases</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4"/>
              </w:rPr>
              <w:t>The new guidance requires lessees to record a right-of-use asset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2019</w:t>
            </w:r>
          </w:p>
        </w:tc>
        <w:tc>
          <w:tcPr>
            <w:tcW w:w="43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Company occupies certain banking offices and uses certain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and a lease liability for all leases with a term greater than 12</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equipment under noncancelable operating lease agreements which</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months. While the guidance requires all leases to be</w:t>
            </w:r>
          </w:p>
        </w:tc>
        <w:tc>
          <w:tcPr>
            <w:tcW w:w="152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currently are not reflected in its consolidated balance sheet. Upon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recognized in the balance sheet, there continues to be a</w:t>
            </w:r>
          </w:p>
        </w:tc>
        <w:tc>
          <w:tcPr>
            <w:tcW w:w="152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adoption of the guidance, the Company expects to report increased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differentiation between finance leases and operating leases for</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assets and increased liabilities as a result of recognizing right-of-use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purposes of income statement recognition and cash flow</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assets and lease liabilities on its consolidated balance sheet.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5"/>
              </w:rPr>
              <w:t>statement presentation. For finance leases, interest on the lease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Company expects to recognize increased liabilities in the range of</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liability and amortization of the right-of-use asset will be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$385 million to $410 million as a result of recognizing lease liabilities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recognized separately in the statement of income. Repayments</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on its consolidated balance sheet. However, the determination of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principal on those lease liabilities will be classified within</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5"/>
              </w:rPr>
              <w:t>final amount is dependent on the terms of leases in effect and the level</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financing activities and payments of interest on the lease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of interest rates on January 1, 2019. The Company does not expect</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liability will be classified within operating activities in the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the new guidance will have a material impact on its consolidated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of cash flows. For operating leases, a single lease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statement of income.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5"/>
              </w:rPr>
              <w:t>cost is recognized in the statement of income and allocated over</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lease term, generally on a straight-line basis. All cash</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payments are presented within operating activities in the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of cash flows. The accounting applied by lessors is</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largely unchanged from existing GAAP, however, the guidance</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6"/>
              </w:rPr>
              <w:t>eliminates the accounting model for leveraged leases for leases</w:t>
            </w:r>
          </w:p>
        </w:tc>
        <w:tc>
          <w:tcPr>
            <w:tcW w:w="1520" w:type="dxa"/>
            <w:vAlign w:val="bottom"/>
            <w:tcBorders>
              <w:right w:val="single" w:sz="8" w:color="auto"/>
            </w:tcBorders>
            <w:shd w:val="clear" w:color="auto" w:fill="CFF0FC"/>
          </w:tcPr>
          <w:p>
            <w:pPr>
              <w:spacing w:after="0"/>
              <w:rPr>
                <w:sz w:val="12"/>
                <w:szCs w:val="12"/>
                <w:color w:val="auto"/>
              </w:rPr>
            </w:pPr>
          </w:p>
        </w:tc>
        <w:tc>
          <w:tcPr>
            <w:tcW w:w="43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that commence after the effective date of the guidance.</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3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Premium Amortization</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8"/>
              </w:rPr>
              <w:t>The amended guidance requires the premium on callable debt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2019</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6"/>
              </w:rPr>
              <w:t>The amendments should be applied on a modified retrospective basis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on Purchased Callable</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securities to be amortized to the earliest call date. The</w:t>
            </w:r>
          </w:p>
        </w:tc>
        <w:tc>
          <w:tcPr>
            <w:tcW w:w="152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5"/>
              </w:rPr>
              <w:t>through a cumulative-effect adjustment directly to retained earnings as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Debt Securities</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6"/>
              </w:rPr>
              <w:t>amendments do not require an accounting change for securities</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of the beginning of the period of adoption. The Company does not</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held at a discount; the discount continues to be amortized to</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3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expect the guidance to have a material impact on its consolidated</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maturity.</w:t>
            </w:r>
          </w:p>
        </w:tc>
        <w:tc>
          <w:tcPr>
            <w:tcW w:w="1520" w:type="dxa"/>
            <w:vAlign w:val="bottom"/>
            <w:tcBorders>
              <w:bottom w:val="single" w:sz="8" w:color="auto"/>
              <w:right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September 30, 2018</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replaces the current incurred loss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is developing its approach for determining expected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Losses on Financial</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model for determining the allowance for credit losses.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credit losses under the new guidance. The Company expects that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Instruments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8"/>
              </w:rPr>
              <w:t>guidance requires financial assets measured at amortized cost</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new guidance will result in an increase in its allowance for credit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be presented at the net amount expected to be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 as of</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losses as a result of considering credit losses over the expected life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collected. The allowance for credit losses will represent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January 1, 2019</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its loan portfolios. Increases in the level of allowances will reflect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valuation account that is deducted from the amortized cost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new requirements to include the nonaccretable principal difference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basis of the financial assets to present their net carrying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purchased credit impaired loans and estimated credit losses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at the amount expected to be collected. The income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investment securities classified as held-to-maturity, if any.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will reflect the measurement of credit losses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expected increase to the allowance for credit losses and the impact to</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newly recognized financial assets as well as expected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Company’s financial statements are still being determined.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increases or decreases of expected credit losses that have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taken place during the period. When determining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expected credit losses over the contractual term</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the financial asset(s) (taking into account prepayments)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will be estimated considering relevant information about past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events, current conditions, and reasonable and supportable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forecasts that affect the collectibility of the reported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amount. The amended guidance also requires recording 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for credit losses for purchased financial assets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with a more-than-insignificant amount of credit deterioration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since origination. The initial allowance for these assets will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 added to the purchase price at acquisition rather than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being reported as an expense. Subsequent changes in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will be recorded through the income statement as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 expense adjustment. In addition, the amended guidance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requires credit losses relating to available-for-sale debt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securities to be recorded through an allowance for credit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losses. The calculation of credit losses for available-for-sale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securities will be similar to how it is determined under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existing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Simplifying the Test</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for Goodwill</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impairment test.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Impairment</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some point in the future one of its reporting units were to fail step 1</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of the goodwill impairment test.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September 30, 2018</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Changes to the</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6"/>
              </w:rPr>
              <w:t>The amendments relating to changes in unrealized gains and losses,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Disclosure</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on fair value measurements in Topic 820, Fair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range and weighted average of significant unobservable inputs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Requirements for Fair</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Measurements. The amendments are a result of the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used to develop Level 3 fair value measurements, and the narrative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Value Measurements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disclosure framework project that focuses on improvements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description of measurements uncertainty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the effectiveness of disclosures in the notes to financial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prospectively. All other amendments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statements. The amendments remove, modify, and add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4"/>
              </w:rPr>
              <w:t>retrospectively. The Company does not expect the guidance to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certain disclosure requirements. The disclosure requirements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being removed relating to public companies are (1)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amount and reason for transfers between Level 1 and Level 2</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the fair value hierarchy, (2) the policy for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transfers between levels, and (3) the valuation process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Level 3 fair value measurements. The disclosure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requirements being modified relating to public companies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are (1)for investments in certain entities that calculate net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asset value, an entity is required to disclose the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liquidation of an investee’s asset and the date when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restrictions from redemption might lapse only if the investee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has communicated the timing to the entity or announced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timing publicly, and (2) the measurement uncertainty</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disclosure is to communicate information about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uncertainty in measurement as a result of the use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unobservable inputs. The disclosure requirements being</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added relating to public companies are (1) to disclose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changes in unrealized gains and losses for the period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recurring Level 3 fair value measurements, and (2) to</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disclose the range and weighted average of significant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unobservable inputs used to develop Level 3 fair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measurements.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Customer’s</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8"/>
              </w:rPr>
              <w:t>The amended guidance requires a hosting arrangement that is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either retrospectively 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Accounting for</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 service contract to follow the guidance in Subtopic 350-40</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prospectively to all implementation costs incurred after the date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Implementation Costs</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determine which implementation costs to capitalize and</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The Company is evaluating the impact that the guidance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Incurred in a Cloud</w:t>
            </w:r>
          </w:p>
        </w:tc>
        <w:tc>
          <w:tcPr>
            <w:tcW w:w="3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which costs to expense.</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will have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Computing</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Arrangement That Is a</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Service Contract</w:t>
            </w:r>
          </w:p>
        </w:tc>
        <w:tc>
          <w:tcPr>
            <w:tcW w:w="39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right w:val="single" w:sz="8" w:color="auto"/>
            </w:tcBorders>
          </w:tcPr>
          <w:p>
            <w:pPr>
              <w:spacing w:after="0"/>
              <w:rPr>
                <w:sz w:val="11"/>
                <w:szCs w:val="11"/>
                <w:color w:val="auto"/>
              </w:rPr>
            </w:pPr>
          </w:p>
        </w:tc>
        <w:tc>
          <w:tcPr>
            <w:tcW w:w="39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4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Not Yet Adopted as of September 30, 2018</w:t>
            </w:r>
          </w:p>
        </w:tc>
        <w:tc>
          <w:tcPr>
            <w:tcW w:w="150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Changes to the</w:t>
            </w:r>
          </w:p>
        </w:tc>
        <w:tc>
          <w:tcPr>
            <w:tcW w:w="398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The amended guidance modifies the disclosure requirements</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2021</w:t>
            </w:r>
          </w:p>
        </w:tc>
        <w:tc>
          <w:tcPr>
            <w:tcW w:w="42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The amendments should be applied retrospectively. The Company</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Disclosure</w:t>
            </w: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for employers that sponsor defined benefit pension or other</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Requirements for</w:t>
            </w: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postretirement plans. The amendments are a result of the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Defined Benefit Plans</w:t>
            </w: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disclosure framework project that focuses on improvements</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to the effectiveness of disclosures in the notes to financial</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statements. The amendments remove and add certain</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disclosure requirements. The disclosure requirements being</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removed relating to public companies are (1) the amounts in</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accumulated other comprehensive income expected to be</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recognized as components of net periodic benefit cost over</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the next fiscal year, (2) the amount and timing of plan assets</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expected to be returned to the employer, (3) the 2001</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disclosure requirement relating to Japanese Welfare Pension</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Insurance Law, (4) related party disclosures about the</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amount of future annual benefits covered by insurance, and</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(5) the effects of a one-percentage-point change in assumed</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health care cost trends on the benefit cost and</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obligation. The disclosure requirements being added relating</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to public companies are (1) the weighted-average interest</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w w:val="99"/>
              </w:rPr>
              <w:t>crediting rates for cash balance plans , and (2) an explanation</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of the reasons for significant gains and losses related to</w:t>
            </w:r>
          </w:p>
        </w:tc>
        <w:tc>
          <w:tcPr>
            <w:tcW w:w="150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changes in the benefit obligation for the period.</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income for M&amp;T Bank Corporation (“M&amp;T”) in the third quarter of 2018 was $526 million or $3.53 of diluted earnings per common share, compared with $356 million or $2.21 of diluted earnings per common share in the corresponding quarter of 2017. During the second quarter of 2018, net income and diluted earnings per common share were $493 million and $3.26, respectively. Basic earnings per common share were $3.54 in the recent quarter, compared with $2.22 in the third quarter of 2017 and $3.26 in the second 2018 quarter. Net income aggregated $1.37 billion or $9.00 of diluted earnings per common share for the nine months ended September 30, 2018, compared with $1.09 billion or $6.69 of diluted earnings per common share in the first nine months of 2017. Basic earnings per common share were $9.01 in the initial nine months of 2018, up from $6.71 in the similar 2017 period.</w:t>
      </w:r>
    </w:p>
    <w:p>
      <w:pPr>
        <w:spacing w:after="0" w:line="55"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the third quarter of 2018 was 1.80%, compared with 1.18% in the year-earlier quarter and 1.70% in the second quarter of 2018. The annualized rate of return on average common shareholders’ equity was 14.08% in the recent quarter, compared with 8.89% in the corresponding 2017 quarter and 13.32% in the second quarter of 2018. During the nine-month period ended September 30, 2018, the annualized rates of return on average assets and average common shareholders’ equity were 1.57% and 12.16%, respectively, compared with 1.20% and 9.15%, respectively, in the first nine months of 2017.</w:t>
      </w:r>
    </w:p>
    <w:p>
      <w:pPr>
        <w:spacing w:after="0" w:line="86"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As of March 31, 2018, the Company increased its reserve for litigation matters by $135 million in anticipation of the settlement of a Wilmington Trust Corporation, a wholly owned subsidiary of M&amp;T, civil litigation matter that was preliminarily approved by the court in July 2018. The increase, on an after-tax basis, reduced net income by $102 million in that quarter, or $.68 of diluted earnings per common share. Additional information about litigation matters is included in note 12 of Notes to Financial Statements and Part II, Item 1 of this Form 10-Q. In addition, income tax expense in the first three quarters of 2018 reflects the reduction of the corporate Federal income tax rate from 35% to 21% by the Tax Cuts and Jobs Act (‘the Tax Act”) that was enacted on December 22, 2017. Finally, the Company adopted amended accounting guidance in the first quarter of 2018 to separately report equity securities at fair value on the consolidated balance sheet (which were previously reported as investment securities available for sale) with changes in fair value recognized in the consolidated statement of income rather than through other comprehensive income. Net unrealized losses on investments in equity securities in the third quarter of 2018 were $3 million, compared with net unrealized gains of $2 million in the second 2018 quarter. Net unrealized losses on investments in equity securities for the nine-month period ended September 30, 2018 were $11 million.</w:t>
      </w:r>
    </w:p>
    <w:p>
      <w:pPr>
        <w:spacing w:after="0" w:line="78"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On October 9, 2017, Wilmington Trust Corporation reached an agreement with the U.S. Attorney’s Office for the District of Delaware related to alleged conduct that took place between 2009 and 2010 prior to the acquisition of Wilmington Trust Corporation by M&amp;T. Under terms of the agreement, Wilmington Trust Corporation was required to pay $60 million and settled the government’s claims. The settlement amount included $16 million previously paid to the U.S. Securities and Exchange Commission in a related action. The result was a payment of $44 million that was not deductible for income tax purposes. Wilmington Trust Corporation did not admit any liability.</w:t>
      </w:r>
    </w:p>
    <w:p>
      <w:pPr>
        <w:spacing w:after="0" w:line="86"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As of September 30, 2017, the Company increased the reserve for legal matters by $50 million. That increase, coupled with the non-deductible nature of the $44 million payment noted above, reduced net income by $48 million, or $.31 of diluted earnings per common share, in the third quarter of 2017.</w:t>
      </w:r>
    </w:p>
    <w:p>
      <w:pPr>
        <w:spacing w:after="0" w:line="7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On June 28, 2018, M&amp;T announced that the Federal Reserve did not object to M&amp;T’s revised 2018 Capital Plan. That capital plan includes the repurchase of up to $1.8 billion of common shares during the four-quarter period starting on July 1, 2018 and an increase in the quarterly common stock dividend in the third quarter of 2018 of up to $.20 per share to $1.00 per share. M&amp;T may continue to pay dividends and interest on equity and debt instruments included in regulatory capital, including preferred stock, trust preferred securities and subordinated debt that were outstanding at December 31, 2017, consistent with the contractual terms of those instruments. Dividends are subject to declaration by M&amp;T’s Board of Directors. In July 2018, M&amp;T’s Board of Directors authorized a new stock repurchase program to repurchase up to $1.8 billion of shares of M&amp;T’s common stock subject to all applicable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21"/>
          <w:szCs w:val="21"/>
          <w:color w:val="auto"/>
        </w:rPr>
        <w:t>regulatory limitations, including those set forth in M&amp;T’s revised 2018 Capital Plan. During the second and third quarters of 2018, M&amp;T repurchased 2,608,376 shares and 2,844,159 shares, respectively, of its common stock at a total cost of $475 million and $498 million, respectively. Also during 2018’s third quarter, M&amp;T increased the quarterly common stock cash dividend by $.20 to $1.00 per share after having increased the dividend from $.75 to $.80 per share during the second quarter of 2018. During the third quarter of 2017 M&amp;T repurchased 1,382,746 shares of its common stock at a total cost of $225 million. In the aggregate, M&amp;T repurchased 9,235,817 shares of its common stock at a cost of $1.7 billion during the first nine months of 2018 and 6,025,749 shares for $982 million during the first three quarters of 2017.</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2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Net operating income totaled $531 million in the third quarter of 2018, compared with $361 million in the year-earlier quarter. Diluted net operating earnings per common share for the recent quarter were $3.56, compared with $2.24 in the third quarter of 2017. Net operating income and diluted net operating earnings per common share were $498 million and $3.29, respectively, in the second quarter of 2018. For the first nine months of 2018, net operating income and diluted net operating earnings per common share were $1.39 billion and $9.10, respectively, compared with $1.10 billion and $6.78, respectively, in the similar 2017 period.</w:t>
      </w:r>
    </w:p>
    <w:p>
      <w:pPr>
        <w:spacing w:after="0" w:line="187"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Net operating income in the recent quarter expressed as an annualized rate of return on average tangible assets was 1.89%, compared with 1.25% in the third quarter of 2017 and 1.79% in the second 2018 quarter. Net operating income represented an annualized return on average tangible common equity of 21.00% in 2018’s third quarter, compared with 13.03% in the year-earlier quarter and 19.91% in the second quarter of 2018. For the first nine months of 2018, net operating income represented an annualized return on average tangible assets and average tangible common shareholders’ equity of 1.65% and 18.09%, respectively, compared with 1.26% and 13.42%, respectively, in the corresponding period of 2017.</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Taxable-equivalent net interest income was $1.03 billion in the third quarter of 2018, up 7% from $966 million in the year-earlier quarter. That growth resulted predominantly from a widening of the net interest margin, or taxable-equivalent net interest income expressed as an annualized percentage of average earning assets, to 3.88% in the recent quarter from 3.53% in the third quarter of 2017. The improvement in the net interest margin was largely the result of the higher interest rate environment due to actions initiated by the Federal Reserve in late-2017 and in March, June and September 2018 to raise its target Federal funds rate. The impact of the expansion of the net interest margin on net interest income was partially offset by a decline in average earning assets of $2.8 billion, reflecting decreases in investment securities of $2.0 billion and average loan and lease balances of $1.3 billion. Taxable-equivalent net interest income in the recent quarter increased from $1.01 billion in the second quarter of 2018. A five basis point (hundredths of one percent) widening of the net interest margin from 3.83% in the second quarter of 2018 was partially offset by lower average earning assets of $376 million. The decline in average earning assets resulted from decreases in average balances of investment securities of $425 million and loans of $274 million, offset, in part, by higher interest-bearing deposits at banks of $316 million. The widening of the net interest margin largely reflected the impact of the two most recent interest rate actions initiated by the Federal Reserve.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2" w:name="page53"/>
    <w:bookmarkEnd w:id="52"/>
    <w:p>
      <w:pPr>
        <w:jc w:val="both"/>
        <w:ind w:firstLine="518"/>
        <w:spacing w:after="0" w:line="271" w:lineRule="auto"/>
        <w:rPr>
          <w:sz w:val="20"/>
          <w:szCs w:val="20"/>
          <w:color w:val="auto"/>
        </w:rPr>
      </w:pPr>
      <w:r>
        <w:rPr>
          <w:rFonts w:ascii="Arial" w:cs="Arial" w:eastAsia="Arial" w:hAnsi="Arial"/>
          <w:sz w:val="20"/>
          <w:szCs w:val="20"/>
          <w:color w:val="auto"/>
        </w:rPr>
        <w:t>For the first nine months of 2018, taxable-equivalent net interest income was $3.03 billion, up 7% from $2.84 billion in the year-earlier period. That increase was primarily attributable to a 37 basis point widening of the net interest margin to 3.81% in the 2018 period from 3.44% in the comparable period of 2017 offset, in part, by lower average investment securities and loans.</w:t>
      </w:r>
    </w:p>
    <w:p>
      <w:pPr>
        <w:spacing w:after="0" w:line="5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Average loans and leases totaled $87.1 billion in the recent quarter, compared with $88.4 billion in the third quarter of 2017. Commercial loans and leases averaged $21.7 billion in the third quarter of 2018, $44 million lower than in the year-earlier quarter. Average commercial real estate loans were $33.8 billion in the recent quarter, up $543 million, or 2%, from $33.3 billion in the third quarter of 2017. Included in average commercial real estate loans in the third quarters of 2018 and 2017 were loans held for sale of $497 million and $262 million, respectively. Reflecting ongoing repayments of loans obtained in the 2015 acquisition of Hudson City Bancorp, Inc. (“Hudson City”), average residential real estate loans declined $2.6 billion or 13% to $18.0 billion in the third quarter of 2018 from $20.6 billion in the year-earlier quarter. Included in that portfolio were loans held for sale, which averaged $281 million in the recent quarter and $346 million in the third quarter of 2017. Consumer loans averaged $13.6 billion in the third quarter of 2018, up $851 million, or 7%, from $12.8 billion in the year-earlier quarter, predominantly due to growth in average recreational vehicle loans and automobile loans that was partially offset by declines in outstanding balances of home equity loans and lines of credit.</w:t>
      </w:r>
    </w:p>
    <w:p>
      <w:pPr>
        <w:spacing w:after="0" w:line="168"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Average loan and lease balances in the third quarter of 2018 decreased $274 million, or less than 1%, from $87.4 billion in the second quarter of 2018. Average commercial loan and lease balances in the third quarter of 2018 were little changed from the second quarter of 2018. Average commercial real estate loans in the third quarter of 2018 increased $113 million from the second quarter of 2018. Commercial real estate loans held for sale averaged $222 million in the second quarter of 2018. Average balances of residential real estate loans in the third quarter of 2018 declined $638 million, or 3%, from $18.6 billion in the second quarter of 2018, reflecting the continued pay down of loans obtained in the acquisition of Hudson City. Average consumer loans in the recent quarter increased $271 million, or 2%, from $13.4 billion in 2018’s second quarter. The accompanying table summarizes quarterly changes in the major components of the loan and lease portfolio.</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4"/>
                <w:szCs w:val="14"/>
                <w:color w:val="auto"/>
              </w:rPr>
              <w:t>Percent Increase</w:t>
            </w:r>
          </w:p>
        </w:tc>
      </w:t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4"/>
                <w:szCs w:val="14"/>
                <w:color w:val="auto"/>
              </w:rPr>
              <w:t>(Decrease) from</w:t>
            </w:r>
          </w:p>
        </w:tc>
      </w:t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3rd Qtr.</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3rd Qtr.</w:t>
            </w:r>
          </w:p>
        </w:tc>
        <w:tc>
          <w:tcPr>
            <w:tcW w:w="860" w:type="dxa"/>
            <w:vAlign w:val="bottom"/>
            <w:gridSpan w:val="2"/>
          </w:tcPr>
          <w:p>
            <w:pPr>
              <w:jc w:val="right"/>
              <w:ind w:right="270"/>
              <w:spacing w:after="0"/>
              <w:rPr>
                <w:sz w:val="20"/>
                <w:szCs w:val="20"/>
                <w:color w:val="auto"/>
              </w:rPr>
            </w:pPr>
            <w:r>
              <w:rPr>
                <w:rFonts w:ascii="Arial" w:cs="Arial" w:eastAsia="Arial" w:hAnsi="Arial"/>
                <w:sz w:val="14"/>
                <w:szCs w:val="14"/>
                <w:color w:val="auto"/>
                <w:w w:val="94"/>
              </w:rPr>
              <w:t>2nd Qtr.</w:t>
            </w:r>
          </w:p>
        </w:tc>
      </w:tr>
      <w:tr>
        <w:trPr>
          <w:trHeight w:val="167"/>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2018</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4"/>
                <w:szCs w:val="14"/>
                <w:color w:val="auto"/>
              </w:rPr>
            </w:pPr>
          </w:p>
        </w:tc>
      </w:tr>
      <w:tr>
        <w:trPr>
          <w:trHeight w:val="238"/>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4"/>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33,800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w:t>
            </w: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4,987</w:t>
            </w: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r>
      <w:tr>
        <w:trPr>
          <w:trHeight w:val="223"/>
        </w:trPr>
        <w:tc>
          <w:tcPr>
            <w:tcW w:w="6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consumer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13,637</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87,132</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 %</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For the first nine months of 2018, average loans and leases totaled $87.4 billion, down $1.7 billion, or 2%, from $89.1 billion in the corresponding period of 2017. Contributing to that decrease were declines in residential real estate loans of $2.7 billion, or 13%, and commercial loans and leases of $473 million, or 2%, partially offset by a rise in consumer loans of $989 million, or 8%, and in commercial real estate loans of $498 million, or 1%. The lower average balances of residential real estate loans reflect the pay down of loans obtained in the Hudson City acquisition, while the decreased commercial loan and lease balances largely reflect pay downs of outstanding balances. The rise in average consumer loans resulted from higher recreational vehicle loans and automobile loans,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21"/>
          <w:szCs w:val="21"/>
          <w:color w:val="auto"/>
        </w:rPr>
        <w:t>partially offset by lower outstanding balances of home equity lines of credit The higher average balances of commercial real estate loans were predominately due to increased construction loans.</w:t>
      </w:r>
    </w:p>
    <w:p>
      <w:pPr>
        <w:spacing w:after="0" w:line="199"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investment securities portfolio averaged $13.4 billion in the third quarter of 2018, down $2.0 billion, or 13%, from $15.4 billion in the year-earlier quarter and $425 million lower than the $13.9 billion averaged in the second quarter of 2018. For the first nine months of 2018 and 2017, investment securities averaged $13.9 billion and $15.8 billion, respectively. The lower average balances in the recent periods reflect maturities and pay downs of mortgage-backed securities offset, in part, by purchases of $450 million of U.S. Treasury notes in the recent quarter. There were no significant purchases or sales of investment securities during the third quarter of 2017 or in the second quarter of 2018.</w:t>
      </w:r>
    </w:p>
    <w:p>
      <w:pPr>
        <w:spacing w:after="0" w:line="2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As noted earlier, effective January 1, 2018 amended accounting guidance was adopted that requires that fair value changes in equity securities with readily determinable fair values be recognized in the consolidated statement of income as opposed to accumulated other comprehensive income where they had been recognized under previous accounting guidance. Net unrealized losses on such equity securities during the third quarter of 2018 were $3 million, compared with net unrealized gains of $2 million during the second 2018 quarter. Those gains and losses were predominantly related to the Company’s holdings of Fannie Mae and Freddie Mac preferred stock. Net unrealized losses on equity securities were $11 million for the nine months ended September 30, 2018.</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Liquidity Coverage Ratio (“LCR”) requirements established by regulators. The LCR is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2017 under the heading “Liquidity.”</w:t>
      </w:r>
    </w:p>
    <w:p>
      <w:pPr>
        <w:spacing w:after="0" w:line="205"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Company regularly reviews its investment securities for declines in value below amortized cost that might be characterized as “other than temporary.” There were no other-than-temporary impairment charges recognized in either of the nine-month periods ended September 30, 2018 or 2017. Additional information about the investment securities portfolio is included in notes 2 and 11 of Notes to Financial Statements.</w:t>
      </w:r>
    </w:p>
    <w:p>
      <w:pPr>
        <w:spacing w:after="0" w:line="20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Other earning assets include interest-bearing deposits at the Federal Reserve Bank of New York and other banks, trading account assets and federal funds sold. Those other earning assets in the aggregate averaged $5.3 billion in the recently completed quarter, compared with $4.8 billion and $4.9 billion in the third quarter of 2017 and the second quarter of 2018, respectively. Interest-bearing deposits at banks averaged $5.2 billion during the three-month period ended September 30, 2018, compared with $4.7 billion and $4.9 billion in the three-month periods ended September 30, 2017 and June 30, 2018, respectively. For the nine-month periods ended September 30, 2018 and 2017, average balances of interest-bearing deposits at banks were $5.0 billion and $5.2 billion,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 The amounts of interest-bearing deposits at banks at the respective dates were predominantly comprised of deposits held at the Federal Reserve Bank of New York. The levels of those deposits often fluctuate due to changes in deposits of business and trust-related customers or short-term borrowings to manage the Company’s liquidity.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4" w:name="page55"/>
    <w:bookmarkEnd w:id="54"/>
    <w:p>
      <w:pPr>
        <w:jc w:val="both"/>
        <w:ind w:firstLine="518"/>
        <w:spacing w:after="0" w:line="271" w:lineRule="auto"/>
        <w:rPr>
          <w:sz w:val="20"/>
          <w:szCs w:val="20"/>
          <w:color w:val="auto"/>
        </w:rPr>
      </w:pPr>
      <w:r>
        <w:rPr>
          <w:rFonts w:ascii="Arial" w:cs="Arial" w:eastAsia="Arial" w:hAnsi="Arial"/>
          <w:sz w:val="20"/>
          <w:szCs w:val="20"/>
          <w:color w:val="auto"/>
        </w:rPr>
        <w:t>As a result of the changes described herein, average earning assets totaled $105.8 billion in the most recent quarter, compared with $108.6 billion in the year-earlier quarter and $106.2 billion in the second quarter of 2018. Average earning assets aggregated $106.4 billion and $110.2 billion during the nine-month periods ended September 30, 2018 and 2017, respectively.</w:t>
      </w:r>
    </w:p>
    <w:p>
      <w:pPr>
        <w:spacing w:after="0" w:line="16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$86.0 billion in the third quarter of 2018, compared with $91.0 billion in the year-earlier quarter and $87.7 billion in the second quarter of 2018. The decline in average core deposits in the third quarter of 2018 from the year-earlier quarter reflected a $1.7 billion, or 25%, decline in average balances of time deposits of $250,000 or less, predominantly related to maturities of relatively high-rate time deposits, and lower balances of savings and interest-checking deposits, including escrow deposits. As compared with the 2018’s second quarter, the most significant factors contributing to the lower average core deposits in the recent quarter were declines in commercial savings and interest-checking deposits, including escrow deposits. The following table provides an analysis of quarterly changes in the components of average core deposits.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w w:val="96"/>
              </w:rPr>
              <w:t>3rd Qtr.</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3rd Qtr.</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2nd Qtr.</w:t>
            </w:r>
          </w:p>
        </w:tc>
        <w:tc>
          <w:tcPr>
            <w:tcW w:w="0" w:type="dxa"/>
            <w:vAlign w:val="bottom"/>
          </w:tcPr>
          <w:p>
            <w:pPr>
              <w:spacing w:after="0"/>
              <w:rPr>
                <w:sz w:val="1"/>
                <w:szCs w:val="1"/>
                <w:color w:val="auto"/>
              </w:rPr>
            </w:pPr>
          </w:p>
        </w:tc>
      </w:tr>
      <w:tr>
        <w:trPr>
          <w:trHeight w:val="167"/>
        </w:trPr>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6"/>
              </w:rPr>
              <w:t>2018</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49,358</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5,157</w:t>
            </w: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31,467</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85,982</w:t>
            </w:r>
          </w:p>
        </w:tc>
        <w:tc>
          <w:tcPr>
            <w:tcW w:w="3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$663 million in the recent quarter, compared with $717 million in the third quarter of 2017 and $609 million in the second 2018 quarter. The declines in such deposits since the third quarter of 2017 were predominantly the result of maturities of higher-rate time deposits. Cayman Islands office deposits averaged $407 million, $169 million and $225 million for the quarters ended September 30, 2018, September 30, 2017 and June 30, 2018, respectively. The Company had brokered savings and interest-bearing transaction accounts, which in the aggregate averaged $2.2 billion, $1.2 billion and $1.7 billion during the third quarter of 2018, the corresponding 2017 quarter and the second quarter of 2018, respectively.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6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$374 million in the third quarter of 2018, compared with $244 million in the year-earlier quarter and $353 million in the second quarter of 2018. Included in short-term borrowings were unsecured federal funds borrowings, which generally mature on the next business day, that averaged $285 million and $139 million in the third quarters of 2018 and 2017, respectively, and $232 million in the second quarter of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5" w:name="page56"/>
    <w:bookmarkEnd w:id="55"/>
    <w:p>
      <w:pPr>
        <w:jc w:val="both"/>
        <w:ind w:firstLine="518"/>
        <w:spacing w:after="0" w:line="269" w:lineRule="auto"/>
        <w:rPr>
          <w:sz w:val="20"/>
          <w:szCs w:val="20"/>
          <w:color w:val="auto"/>
        </w:rPr>
      </w:pPr>
      <w:r>
        <w:rPr>
          <w:rFonts w:ascii="Arial" w:cs="Arial" w:eastAsia="Arial" w:hAnsi="Arial"/>
          <w:sz w:val="19"/>
          <w:szCs w:val="19"/>
          <w:color w:val="auto"/>
        </w:rPr>
        <w:t>Long-term borrowings averaged $9.0 billion in the recent quarter, compared with $8.0 billion in the year-earlier quarter and $8.5 billion in the second quarter of 2018. Average balances of outstanding senior unsecured notes were $6.1 billion, $4.7 billion and $5.5 billion during the three-month periods ended September 30, 2018, September 30, 2017 and June 30, 2018, respectively. During January 2018, M&amp;T Bank, M&amp;T’s principal bank subsidiary, issued $650 million of fixed rate and $350 million of variable rate senior notes that mature in 2021. In July 2018, M&amp;T issued $750 million of senior notes that mature in July 2023, of which $500 million have a 3.55% fixed interest rate and $250 million have a variable rate paid quarterly at rates that are indexed to the three-month LIBOR. Also included in average long-term borrowings were amounts borrowed from the Federal Home Loan Banks of New York, Atlanta and Pittsburgh of $577 million in each of the two most recent quarters and $580 million during the third quarter of 2017. Subordinated capital notes included in long-term borrowings averaged $1.4 billion in each of the three-month periods ended September 30, 2018 and June 30, 2018 and $1.8 billion in the three-month period ended September 30, 2017. Junior subordinated debentures associated with trust preferred securities that were included in average long-term borrowings were $521 million, $518 million and $520 million in the three-month periods ended September 30, 2018, September 30, 2017 and June 30, 2018, respectively. Additional information regarding junior subordinated debentures is provided in note 4 of Notes to Financial Statements. Long-term borrowings also included agreements to repurchase securities, which averaged $414 million in the third quarter of 2018, $427 million in the year-earlier quarter and $417 million in the second quarter of 2018. The repurchase agreements held at September 30, 2018 totaled $412 million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September 30, 2018, interest rate swap agreements were used to hedge approximately $5.2 billion of outstanding fixed rate long-term borrowings. Further information on interest rate swap agreements is provided in note 9 of Notes to Financial Statements.</w:t>
      </w:r>
    </w:p>
    <w:p>
      <w:pPr>
        <w:spacing w:after="0" w:line="17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3.58% in the recent quarter, compared with 3.32% in the year-earlier quarter. The yield on earning assets during the third quarter of 2018 was 4.40%, up 51 basis points from 3.89% in the year-earlier period, while the rate paid on interest-bearing liabilities increased 25 basis points to .82% in the recent quarter from .57% in the similar 2017 period. In the second quarter of 2018, the net interest spread was 3.57%, the yield on earning assets was 4.28% and the rate paid on interest-bearing liabilities was .71%. For the first nine months of 2018, the net interest spread was 3.54%, up 29 basis points from the year-earlier period. The yield on earning assets and the rate paid on interest bearing liabilities for the nine-month period ended September 30, 2018 were 4.26% and .72%, respectively, compared with 3.79% and .54%, respectively, in the year-earlier period. The widening of the net interest spread in each comparison was largely due to the effect of increases in short-term interest rates initiated by the Federal Reserve during 2017 and 2018 that contributed to higher yields on loans and leases.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6" w:name="page57"/>
    <w:bookmarkEnd w:id="56"/>
    <w:p>
      <w:pPr>
        <w:jc w:val="both"/>
        <w:ind w:firstLine="518"/>
        <w:spacing w:after="0" w:line="270"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$38.6 billion in each of the two most recent quarters, compared with $39.2 billion in the third quarter of 2017. The decrease in average net interest-free funds in the two most recent quarters as compared with the third quarter of 2017 reflects lower average balances of noninterest-bearing deposits. Those deposits averaged $31.5 billion, $32.0 billion and $31.4 billion in the quarters ended September 30, 2018, September 30, 2017 and June 30, 2018, respectively. During the first nine months of 2018 and 2017, average net interest-free funds aggregated $38.8 billion and $39.6 billion, respectively. Shareholders’ equity averaged $15.5 billion during each of the three-month periods ended September 30, 2018 and June 30, 2018, compared with $16.3 billion during the three-month period ended September 30, 2017. Goodwill and core deposit and other intangible assets averaged $4.6 billion in the most recent quarter, compared with $4.7 billion in each of the quarters ended September 30, 2017 and June 30, 2018. The cash surrender value of bank owned life insurance averaged $1.8 billion in each of the three-month periods ended September 30, 2018, September 30, 2017 and June 30, 2018. Increases in the cash surrender value of bank owned life insurance and benefits received are not included in interest income, but rather are recorded in “other revenues from operations.” The contribution of net interest-free funds to net interest margin was .30% in the third quarter of 2018, compared with .21% and .26% in the third quarter of 2017 and second quarter of 2018, respectively. That contribution for the first nine months of 2018 and 2017 was .27% and .19%, respectively.</w:t>
      </w:r>
    </w:p>
    <w:p>
      <w:pPr>
        <w:spacing w:after="0" w:line="171"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Reflecting the changes to the net interest spread and the contribution of interest-free funds as described herein, the Company’s net interest margin was 3.88% in the third quarter of 2018, compared with 3.53% in the corresponding 2017 period and 3.83% in the second quarter of 2018. During the first nine months of 2018 and 2017, the net interest margin was 3.81% and 3.44%,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94"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$8.1 billion (excluding $7.7 billion of forward-starting swap agreements) at September 30, 2018, compared with $7.0 billion at September 30, 2017 and $7.4 billion (excluding $2.0 billion of forward-starting swap agreements) at December 31, 2017. Under the terms of those interest rate swap agreements, the Company received payments based on the outstanding notional amount at fixed rates and made payments at variable rates.</w:t>
      </w:r>
    </w:p>
    <w:p>
      <w:pPr>
        <w:spacing w:after="0" w:line="15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coincident with the Company’s adoption of amended hedge accounting guidance on January 1, 2018 is recorded as an adjustment to the interest income or interest expense of the respective hedged item. Prior to 2018, hedge ineffectiveness was recorded in “other revenues from operations” in the Company’s consolidated statement of income.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September 30, 2018, September 30, 2017 and June 30, 2018 were not material to the Company’s consolidated results of operations. Information regarding the fair value of interest rate swap agreements and hedge ineffectiveness is presented in note 9 of Notes to Financial Statements. The changes in the fair values of the interest rate swap agreements and the hedged items primarily result from the effects of changing interest rates and spreads.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7" w:name="page58"/>
    <w:bookmarkEnd w:id="57"/>
    <w:p>
      <w:pPr>
        <w:jc w:val="both"/>
        <w:ind w:firstLine="518"/>
        <w:spacing w:after="0" w:line="262" w:lineRule="auto"/>
        <w:rPr>
          <w:sz w:val="20"/>
          <w:szCs w:val="20"/>
          <w:color w:val="auto"/>
        </w:rPr>
      </w:pPr>
      <w:r>
        <w:rPr>
          <w:rFonts w:ascii="Arial" w:cs="Arial" w:eastAsia="Arial" w:hAnsi="Arial"/>
          <w:sz w:val="20"/>
          <w:szCs w:val="20"/>
          <w:color w:val="auto"/>
        </w:rPr>
        <w:t>The weighted-average rates to be received and paid under interest rate swap agreements currently in effect were 2.12% and 2.53%, respectively, at September 30, 2018.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vMerge w:val="restart"/>
          </w:tcPr>
          <w:p>
            <w:pPr>
              <w:ind w:left="2920"/>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color w:val="auto"/>
                <w:w w:val="91"/>
              </w:rPr>
              <w:t>Three Months Ended September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6"/>
              <w:spacing w:after="0" w:line="155" w:lineRule="exact"/>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526"/>
              <w:spacing w:after="0" w:line="155" w:lineRule="exact"/>
              <w:rPr>
                <w:sz w:val="20"/>
                <w:szCs w:val="20"/>
                <w:color w:val="auto"/>
              </w:rPr>
            </w:pPr>
            <w:r>
              <w:rPr>
                <w:rFonts w:ascii="Arial" w:cs="Arial" w:eastAsia="Arial" w:hAnsi="Arial"/>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Rate(a)</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Rate(a)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6"/>
          </w:tcPr>
          <w:p>
            <w:pPr>
              <w:jc w:val="center"/>
              <w:ind w:right="740"/>
              <w:spacing w:after="0"/>
              <w:rPr>
                <w:sz w:val="20"/>
                <w:szCs w:val="20"/>
                <w:color w:val="auto"/>
              </w:rPr>
            </w:pPr>
            <w:r>
              <w:rPr>
                <w:rFonts w:ascii="Arial" w:cs="Arial" w:eastAsia="Arial" w:hAnsi="Arial"/>
                <w:sz w:val="14"/>
                <w:szCs w:val="14"/>
                <w:color w:val="auto"/>
                <w:w w:val="93"/>
              </w:rPr>
              <w:t>(Dollars in thousands)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6"/>
              <w:spacing w:after="0"/>
              <w:rPr>
                <w:sz w:val="20"/>
                <w:szCs w:val="20"/>
                <w:color w:val="auto"/>
              </w:rPr>
            </w:pPr>
            <w:r>
              <w:rPr>
                <w:rFonts w:ascii="Arial" w:cs="Arial" w:eastAsia="Arial" w:hAnsi="Arial"/>
                <w:sz w:val="18"/>
                <w:szCs w:val="18"/>
                <w:color w:val="auto"/>
              </w:rPr>
              <w:t>(4,181)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1,181</w:t>
            </w:r>
          </w:p>
        </w:tc>
        <w:tc>
          <w:tcPr>
            <w:tcW w:w="4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(6,059)</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5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(8,197</w:t>
            </w:r>
          </w:p>
        </w:tc>
        <w:tc>
          <w:tcPr>
            <w:tcW w:w="380" w:type="dxa"/>
            <w:vAlign w:val="bottom"/>
            <w:tcBorders>
              <w:bottom w:val="single" w:sz="8" w:color="CFF0FC"/>
            </w:tcBorders>
          </w:tcPr>
          <w:p>
            <w:pPr>
              <w:jc w:val="right"/>
              <w:ind w:right="246"/>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4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7,952,174</w:t>
            </w:r>
          </w:p>
        </w:tc>
        <w:tc>
          <w:tcPr>
            <w:tcW w:w="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6,352,174</w:t>
            </w:r>
          </w:p>
        </w:tc>
        <w:tc>
          <w:tcPr>
            <w:tcW w:w="4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5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color w:val="auto"/>
                <w:w w:val="92"/>
              </w:rPr>
              <w:t>Nine Months Ended September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6"/>
              <w:spacing w:after="0" w:line="155" w:lineRule="exact"/>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526"/>
              <w:spacing w:after="0"/>
              <w:rPr>
                <w:sz w:val="20"/>
                <w:szCs w:val="20"/>
                <w:color w:val="auto"/>
              </w:rPr>
            </w:pPr>
            <w:r>
              <w:rPr>
                <w:rFonts w:ascii="Arial" w:cs="Arial" w:eastAsia="Arial" w:hAnsi="Arial"/>
                <w:sz w:val="14"/>
                <w:szCs w:val="14"/>
                <w:color w:val="auto"/>
              </w:rPr>
              <w:t>Amount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Rate(a)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Rate(a)</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8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gridSpan w:val="6"/>
          </w:tcPr>
          <w:p>
            <w:pPr>
              <w:jc w:val="center"/>
              <w:ind w:right="740"/>
              <w:spacing w:after="0"/>
              <w:rPr>
                <w:sz w:val="20"/>
                <w:szCs w:val="20"/>
                <w:color w:val="auto"/>
              </w:rPr>
            </w:pPr>
            <w:r>
              <w:rPr>
                <w:rFonts w:ascii="Arial" w:cs="Arial" w:eastAsia="Arial" w:hAnsi="Arial"/>
                <w:sz w:val="14"/>
                <w:szCs w:val="14"/>
                <w:color w:val="auto"/>
                <w:w w:val="93"/>
              </w:rPr>
              <w:t>(Dollars in thousands)</w:t>
            </w: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4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66"/>
              <w:spacing w:after="0"/>
              <w:rPr>
                <w:sz w:val="20"/>
                <w:szCs w:val="20"/>
                <w:color w:val="auto"/>
              </w:rPr>
            </w:pPr>
            <w:r>
              <w:rPr>
                <w:rFonts w:ascii="Arial" w:cs="Arial" w:eastAsia="Arial" w:hAnsi="Arial"/>
                <w:sz w:val="18"/>
                <w:szCs w:val="18"/>
                <w:color w:val="auto"/>
              </w:rPr>
              <w:t>(7,650)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(15,611)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5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400" w:type="dxa"/>
            <w:vAlign w:val="bottom"/>
            <w:tcBorders>
              <w:top w:val="single" w:sz="8" w:color="CFF0FC"/>
            </w:tcBorders>
            <w:gridSpan w:val="2"/>
            <w:shd w:val="clear" w:color="auto" w:fill="CFF0FC"/>
          </w:tcPr>
          <w:p>
            <w:pPr>
              <w:jc w:val="right"/>
              <w:ind w:right="266"/>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Average notional amount</w:t>
            </w:r>
          </w:p>
        </w:tc>
        <w:tc>
          <w:tcPr>
            <w:tcW w:w="1540" w:type="dxa"/>
            <w:vAlign w:val="bottom"/>
            <w:tcBorders>
              <w:top w:val="single" w:sz="8" w:color="CFF0FC"/>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7,712,454</w:t>
            </w: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3,807,326</w:t>
            </w:r>
          </w:p>
        </w:tc>
        <w:tc>
          <w:tcPr>
            <w:tcW w:w="4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Rate paid (b)</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earning assets. At September 30, 2018 and December 31, 2017, outstanding notional amounts of such agreements totaled $15.6 billion and $6.3 billion,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8" w:name="page59"/>
    <w:bookmarkEnd w:id="58"/>
    <w:p>
      <w:pPr>
        <w:jc w:val="both"/>
        <w:ind w:firstLine="518"/>
        <w:spacing w:after="0" w:line="272" w:lineRule="auto"/>
        <w:rPr>
          <w:sz w:val="20"/>
          <w:szCs w:val="20"/>
          <w:color w:val="auto"/>
        </w:rPr>
      </w:pPr>
      <w:r>
        <w:rPr>
          <w:rFonts w:ascii="Arial" w:cs="Arial" w:eastAsia="Arial" w:hAnsi="Arial"/>
          <w:sz w:val="19"/>
          <w:szCs w:val="19"/>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 subsidiaries have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issued subordinated capital notes and junior subordinated debentures associated with trust preferred securities to provide liquidity and enhance regulatory capital ratios. Pursuant to the Dodd-Frank Act, the Company’s junior subordinated debentures associated with trust preferred securities have been phased-out of the definition of Tier 1 capital but, similar to other subordinated capital notes, are considered Tier 2 capital and are includable in total regulatory capital.</w:t>
      </w:r>
    </w:p>
    <w:p>
      <w:pPr>
        <w:spacing w:after="0" w:line="16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has informal and sometimes reciprocal sources of funding available through various arrangements for unsecured short-term borrowings from a wide group of banks and other financial institutions. Short-term federal funds borrowings were $1.3 billion, $134 million and $125 million at September 30, 2018, September 30, 2017 and December 31, 2017, respectively. In general, those borrowings were unsecured and matured on the next business day. The increase at the recent quarter-end as compared with September 30, 2017 and December 31, 2017 represented borrowings associated with the Company’s management of its liquidity position, including compliance with LCR requirements. In addition to satisfying customer demand, Cayman Islands office deposits may be used by the Company as an alternative to short-term borrowings. Cayman Islands office deposits totaled $447 million at September 30, 2018, $232 million at September 30, 2017 and $178 million at December 31, 2017. The Company has also benefited from the placement of brokered deposits. The Company had brokered savings and interest-bearing checking deposit accounts which aggregated approximately $2.6 billion at September 30, 2018 and $1.3 billion at each of September 30, 2017 and December 31, 2017. Brokered time deposits were not a significant source of funding as of those dates.</w:t>
      </w:r>
    </w:p>
    <w:p>
      <w:pPr>
        <w:spacing w:after="0" w:line="173"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94"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September 30, 2018 and December 31, 2017. The total amounts of VRDBs outstanding backed by M&amp;T Bank letters of credit were $882 million at September 30, 2018, compared with $1.2 billion at September 30, 2017 and $1.0 billion at December 31, 2017. M&amp;T Bank also serves as remarketing agent for most of those bonds.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9" w:name="page60"/>
    <w:bookmarkEnd w:id="59"/>
    <w:p>
      <w:pPr>
        <w:jc w:val="both"/>
        <w:ind w:firstLine="518"/>
        <w:spacing w:after="0" w:line="276"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2018 approximately $626 million was available for payment of dividends to M&amp;T from bank subsidiaries. Information regarding the long-term debt obligations of M&amp;T is included in note 4 of Notes to Financial Statements.</w:t>
      </w:r>
    </w:p>
    <w:p>
      <w:pPr>
        <w:spacing w:after="0" w:line="160"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spacing w:after="0" w:line="17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2018, the aggregate notional amount of interest rate swap agreements entered into for risk management purposes that were currently in effect was $8.1 billion. In addition, the Company has entered into $7.7 billion of forward-starting interest rate swap agreements that will become effective as a like amount of swap agreements mature.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0" w:name="page61"/>
    <w:bookmarkEnd w:id="60"/>
    <w:p>
      <w:pPr>
        <w:jc w:val="both"/>
        <w:ind w:firstLine="518"/>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1"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The accompanying table as of September 30, 2018 and December 31, 2017 displays the estimated impact on net interest income in the base scenario described above resulting from parallel changes in interest rates across repricing categories during the first modeling year.</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tbl>
      <w:tblPr>
        <w:tblLayout w:type="fixed"/>
        <w:tblInd w:w="0" w:type="dxa"/>
        <w:tblCellMar>
          <w:top w:w="0" w:type="dxa"/>
          <w:left w:w="0" w:type="dxa"/>
          <w:bottom w:w="0" w:type="dxa"/>
          <w:right w:w="0" w:type="dxa"/>
        </w:tblCellMar>
      </w:tblPr>
      <w:tr>
        <w:trPr>
          <w:trHeight w:val="140"/>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jc w:val="center"/>
              <w:ind w:right="180"/>
              <w:spacing w:after="0" w:line="140" w:lineRule="exact"/>
              <w:rPr>
                <w:sz w:val="20"/>
                <w:szCs w:val="20"/>
                <w:color w:val="auto"/>
              </w:rPr>
            </w:pPr>
            <w:r>
              <w:rPr>
                <w:rFonts w:ascii="Arial" w:cs="Arial" w:eastAsia="Arial" w:hAnsi="Arial"/>
                <w:sz w:val="14"/>
                <w:szCs w:val="14"/>
                <w:color w:val="auto"/>
                <w:w w:val="90"/>
              </w:rPr>
              <w:t>Calculated Increase (Decrease)</w:t>
            </w:r>
          </w:p>
        </w:tc>
      </w:tr>
      <w:tr>
        <w:trPr>
          <w:trHeight w:val="182"/>
        </w:trPr>
        <w:tc>
          <w:tcPr>
            <w:tcW w:w="1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in Projected Net Interest Income</w:t>
            </w:r>
          </w:p>
        </w:tc>
      </w:tr>
      <w:tr>
        <w:trPr>
          <w:trHeight w:val="208"/>
        </w:trPr>
        <w:tc>
          <w:tcPr>
            <w:tcW w:w="362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260"/>
              <w:spacing w:after="0"/>
              <w:rPr>
                <w:sz w:val="20"/>
                <w:szCs w:val="20"/>
                <w:color w:val="auto"/>
              </w:rPr>
            </w:pPr>
            <w:r>
              <w:rPr>
                <w:rFonts w:ascii="Arial" w:cs="Arial" w:eastAsia="Arial" w:hAnsi="Arial"/>
                <w:sz w:val="14"/>
                <w:szCs w:val="14"/>
                <w:color w:val="auto"/>
                <w:w w:val="89"/>
              </w:rPr>
              <w:t>September 30, 2018</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December 31, 2017</w:t>
            </w:r>
          </w:p>
        </w:tc>
      </w:tr>
      <w:tr>
        <w:trPr>
          <w:trHeight w:val="182"/>
        </w:trPr>
        <w:tc>
          <w:tcPr>
            <w:tcW w:w="1420" w:type="dxa"/>
            <w:vAlign w:val="bottom"/>
            <w:tcBorders>
              <w:top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5"/>
                <w:szCs w:val="15"/>
                <w:color w:val="auto"/>
              </w:rPr>
            </w:pPr>
          </w:p>
        </w:tc>
      </w:tr>
      <w:tr>
        <w:trPr>
          <w:trHeight w:val="277"/>
        </w:trPr>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60"/>
              <w:spacing w:after="0"/>
              <w:rPr>
                <w:sz w:val="20"/>
                <w:szCs w:val="20"/>
                <w:color w:val="auto"/>
              </w:rPr>
            </w:pPr>
            <w:r>
              <w:rPr>
                <w:rFonts w:ascii="Arial" w:cs="Arial" w:eastAsia="Arial" w:hAnsi="Arial"/>
                <w:sz w:val="18"/>
                <w:szCs w:val="18"/>
                <w:color w:val="auto"/>
              </w:rPr>
              <w:t>47,655</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81,570</w:t>
            </w:r>
          </w:p>
        </w:tc>
        <w:tc>
          <w:tcPr>
            <w:tcW w:w="100" w:type="dxa"/>
            <w:vAlign w:val="bottom"/>
            <w:shd w:val="clear" w:color="auto" w:fill="CFF0FC"/>
          </w:tcPr>
          <w:p>
            <w:pPr>
              <w:spacing w:after="0"/>
              <w:rPr>
                <w:sz w:val="19"/>
                <w:szCs w:val="19"/>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160"/>
              <w:spacing w:after="0"/>
              <w:rPr>
                <w:sz w:val="20"/>
                <w:szCs w:val="20"/>
                <w:color w:val="auto"/>
              </w:rPr>
            </w:pPr>
            <w:r>
              <w:rPr>
                <w:rFonts w:ascii="Arial" w:cs="Arial" w:eastAsia="Arial" w:hAnsi="Arial"/>
                <w:sz w:val="18"/>
                <w:szCs w:val="18"/>
                <w:color w:val="auto"/>
              </w:rPr>
              <w:t>46,465</w:t>
            </w:r>
          </w:p>
        </w:tc>
        <w:tc>
          <w:tcPr>
            <w:tcW w:w="1360" w:type="dxa"/>
            <w:vAlign w:val="bottom"/>
          </w:tcPr>
          <w:p>
            <w:pPr>
              <w:jc w:val="right"/>
              <w:spacing w:after="0"/>
              <w:rPr>
                <w:sz w:val="20"/>
                <w:szCs w:val="20"/>
                <w:color w:val="auto"/>
              </w:rPr>
            </w:pPr>
            <w:r>
              <w:rPr>
                <w:rFonts w:ascii="Arial" w:cs="Arial" w:eastAsia="Arial" w:hAnsi="Arial"/>
                <w:sz w:val="18"/>
                <w:szCs w:val="18"/>
                <w:color w:val="auto"/>
              </w:rPr>
              <w:t>64,434</w:t>
            </w:r>
          </w:p>
        </w:tc>
        <w:tc>
          <w:tcPr>
            <w:tcW w:w="100" w:type="dxa"/>
            <w:vAlign w:val="bottom"/>
          </w:tcPr>
          <w:p>
            <w:pPr>
              <w:spacing w:after="0"/>
              <w:rPr>
                <w:sz w:val="19"/>
                <w:szCs w:val="19"/>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2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00"/>
              <w:spacing w:after="0"/>
              <w:rPr>
                <w:sz w:val="20"/>
                <w:szCs w:val="20"/>
                <w:color w:val="auto"/>
              </w:rPr>
            </w:pPr>
            <w:r>
              <w:rPr>
                <w:rFonts w:ascii="Arial" w:cs="Arial" w:eastAsia="Arial" w:hAnsi="Arial"/>
                <w:sz w:val="18"/>
                <w:szCs w:val="18"/>
                <w:color w:val="auto"/>
              </w:rPr>
              <w:t>(106,475)</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(94,014)</w:t>
            </w: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As noted herein, the Company has used interest rate swap agreements designated as hedging instruments to mitigate the Company’s exposure to volatility in future net interest income.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162"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21"/>
          <w:szCs w:val="21"/>
          <w:color w:val="auto"/>
        </w:rPr>
        <w:t>Company’s investment securities. Information about the fair valuation of investment securities is presented herein under the heading “Capital” and in notes 2 and 11 of Notes to Financial Statements.</w:t>
      </w:r>
    </w:p>
    <w:p>
      <w:pPr>
        <w:spacing w:after="0" w:line="17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9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6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$40.3 billion at September 30, 2018, $15.5 billion at September 30, 2017 and $29.9 billion at December 31, 2017. The increase in such notional amounts at the recent quarter-end as compared with December 31, 2017 was predominantly due to the addition of $9.3 billion of interest rate floor agreements. The notional amounts of foreign currency and other option and futures contracts entered into for trading account purposes were $869 million at September 30, 2018, compared with $545 million at September 30, 2017 and $530 million at December 31, 2017.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$125 million and $309 million, respectively, at September 30, 2018 and $133 million and $137 million, respectively, at December 31, 2017. The fair value asset and liability amounts at September 30, 2018 have been reduced by contractual settlements of $302 million and $3 million, respectively. Included in trading account assets were assets related to deferred compensation plans aggregating $22 million at September 30, 2018 and $23 million at each of September 30, 2017 and December 31, 2017. Changes in the fair values of such assets are recorded as “trading account and foreign exchange gains” in the consolidated statement of income. Included in “other liabilities” in the consolidated balance sheet at each of September 30, 2018 and December 31, 2017 were $27 million of liabilities related to deferred compensation plans, compared with $26 million at September 30, 2017.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$26 million at September 30, 2018, $25 million at September 30, 2017 and $24 million at December 31, 2017.</w:t>
      </w:r>
    </w:p>
    <w:p>
      <w:pPr>
        <w:spacing w:after="0" w:line="176"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9 of Notes to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2018 was $16 million, compared with $30 million in the year-earlier quarter and $35 million in the second quarter of 2018. For the nine-month periods ended September 30, 2018 and 2017, the provision for credit losses was $94 million and $137 million, respectively. Net charge-offs of loans were $16 million in the recent quarter, compared with $25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2" w:name="page63"/>
    <w:bookmarkEnd w:id="62"/>
    <w:p>
      <w:pPr>
        <w:jc w:val="both"/>
        <w:spacing w:after="0" w:line="246" w:lineRule="auto"/>
        <w:rPr>
          <w:sz w:val="20"/>
          <w:szCs w:val="20"/>
          <w:color w:val="auto"/>
        </w:rPr>
      </w:pPr>
      <w:r>
        <w:rPr>
          <w:rFonts w:ascii="Arial" w:cs="Arial" w:eastAsia="Arial" w:hAnsi="Arial"/>
          <w:sz w:val="21"/>
          <w:szCs w:val="21"/>
          <w:color w:val="auto"/>
        </w:rPr>
        <w:t>and $35 million in the third quarter of 2017 and the second quarter of 2018, respectively. Net charge-offs as an annualized percentage of average loans and leases were .07% in the third quarter of 2018, .11% in the corresponding quarter of 2017 and .16% in the second quarter of 2018. Net charge-offs for the nine-month periods ended September 30 totaled $92 million in 2018 and $113 million in 2017, representing an annualized .14% and .17% of average loans and leases. A summary of net charge-offs by loan type is presented in the table that follows.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color w:val="auto"/>
                <w:w w:val="89"/>
              </w:rPr>
              <w:t>2018</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400"/>
              <w:spacing w:after="0" w:line="137" w:lineRule="exact"/>
              <w:rPr>
                <w:sz w:val="20"/>
                <w:szCs w:val="20"/>
                <w:color w:val="auto"/>
              </w:rPr>
            </w:pPr>
            <w:r>
              <w:rPr>
                <w:rFonts w:ascii="Arial" w:cs="Arial" w:eastAsia="Arial" w:hAnsi="Arial"/>
                <w:sz w:val="14"/>
                <w:szCs w:val="14"/>
                <w:color w:val="auto"/>
                <w:w w:val="95"/>
              </w:rPr>
              <w:t>First</w:t>
            </w:r>
          </w:p>
        </w:tc>
        <w:tc>
          <w:tcPr>
            <w:tcW w:w="20" w:type="dxa"/>
            <w:vAlign w:val="bottom"/>
          </w:tcPr>
          <w:p>
            <w:pPr>
              <w:spacing w:after="0"/>
              <w:rPr>
                <w:sz w:val="11"/>
                <w:szCs w:val="11"/>
                <w:color w:val="auto"/>
              </w:rPr>
            </w:pPr>
          </w:p>
        </w:tc>
        <w:tc>
          <w:tcPr>
            <w:tcW w:w="1020" w:type="dxa"/>
            <w:vAlign w:val="bottom"/>
            <w:gridSpan w:val="3"/>
          </w:tcPr>
          <w:p>
            <w:pPr>
              <w:ind w:left="120"/>
              <w:spacing w:after="0" w:line="137" w:lineRule="exact"/>
              <w:rPr>
                <w:sz w:val="20"/>
                <w:szCs w:val="20"/>
                <w:color w:val="auto"/>
              </w:rPr>
            </w:pPr>
            <w:r>
              <w:rPr>
                <w:rFonts w:ascii="Arial" w:cs="Arial" w:eastAsia="Arial" w:hAnsi="Arial"/>
                <w:sz w:val="14"/>
                <w:szCs w:val="14"/>
                <w:color w:val="auto"/>
              </w:rPr>
              <w:t>Second</w:t>
            </w:r>
          </w:p>
        </w:tc>
        <w:tc>
          <w:tcPr>
            <w:tcW w:w="900" w:type="dxa"/>
            <w:vAlign w:val="bottom"/>
            <w:gridSpan w:val="3"/>
          </w:tcPr>
          <w:p>
            <w:pPr>
              <w:jc w:val="center"/>
              <w:ind w:right="340"/>
              <w:spacing w:after="0" w:line="137" w:lineRule="exact"/>
              <w:rPr>
                <w:sz w:val="20"/>
                <w:szCs w:val="20"/>
                <w:color w:val="auto"/>
              </w:rPr>
            </w:pPr>
            <w:r>
              <w:rPr>
                <w:rFonts w:ascii="Arial" w:cs="Arial" w:eastAsia="Arial" w:hAnsi="Arial"/>
                <w:sz w:val="14"/>
                <w:szCs w:val="14"/>
                <w:color w:val="auto"/>
              </w:rPr>
              <w:t>Third</w:t>
            </w:r>
          </w:p>
        </w:tc>
        <w:tc>
          <w:tcPr>
            <w:tcW w:w="720" w:type="dxa"/>
            <w:vAlign w:val="bottom"/>
            <w:gridSpan w:val="2"/>
          </w:tcPr>
          <w:p>
            <w:pPr>
              <w:jc w:val="center"/>
              <w:ind w:right="20"/>
              <w:spacing w:after="0" w:line="137" w:lineRule="exact"/>
              <w:rPr>
                <w:sz w:val="20"/>
                <w:szCs w:val="20"/>
                <w:color w:val="auto"/>
              </w:rPr>
            </w:pPr>
            <w:r>
              <w:rPr>
                <w:rFonts w:ascii="Arial" w:cs="Arial" w:eastAsia="Arial" w:hAnsi="Arial"/>
                <w:sz w:val="14"/>
                <w:szCs w:val="14"/>
                <w:color w:val="auto"/>
                <w:w w:val="87"/>
              </w:rPr>
              <w:t>Year-</w:t>
            </w:r>
          </w:p>
        </w:tc>
        <w:tc>
          <w:tcPr>
            <w:tcW w:w="60" w:type="dxa"/>
            <w:vAlign w:val="bottom"/>
          </w:tcPr>
          <w:p>
            <w:pPr>
              <w:spacing w:after="0"/>
              <w:rPr>
                <w:sz w:val="11"/>
                <w:szCs w:val="11"/>
                <w:color w:val="auto"/>
              </w:rPr>
            </w:pPr>
          </w:p>
        </w:tc>
      </w:tr>
      <w:tr>
        <w:trPr>
          <w:trHeight w:val="167"/>
        </w:trPr>
        <w:tc>
          <w:tcPr>
            <w:tcW w:w="3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Quarter</w:t>
            </w:r>
          </w:p>
        </w:tc>
        <w:tc>
          <w:tcPr>
            <w:tcW w:w="2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color w:val="auto"/>
              </w:rPr>
              <w:t>Quarter</w:t>
            </w:r>
          </w:p>
        </w:tc>
        <w:tc>
          <w:tcPr>
            <w:tcW w:w="90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Quarter</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238"/>
        </w:trPr>
        <w:tc>
          <w:tcPr>
            <w:tcW w:w="3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47"/>
        </w:trPr>
        <w:tc>
          <w:tcPr>
            <w:tcW w:w="3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4,669</w:t>
            </w:r>
          </w:p>
        </w:tc>
        <w:tc>
          <w:tcPr>
            <w:tcW w:w="2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22,918</w:t>
            </w:r>
          </w:p>
        </w:tc>
        <w:tc>
          <w:tcPr>
            <w:tcW w:w="6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(12,636)</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(8,382)</w:t>
            </w:r>
          </w:p>
        </w:tc>
      </w:tr>
      <w:tr>
        <w:trPr>
          <w:trHeight w:val="229"/>
        </w:trPr>
        <w:tc>
          <w:tcPr>
            <w:tcW w:w="39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2,844</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26,782</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21,655</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22,044</w:t>
            </w:r>
          </w:p>
        </w:tc>
        <w:tc>
          <w:tcPr>
            <w:tcW w:w="260" w:type="dxa"/>
            <w:vAlign w:val="bottom"/>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70,481</w:t>
            </w:r>
          </w:p>
        </w:tc>
        <w:tc>
          <w:tcPr>
            <w:tcW w:w="6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40,527</w:t>
            </w:r>
          </w:p>
        </w:tc>
        <w:tc>
          <w:tcPr>
            <w:tcW w:w="2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35,423</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15,760</w:t>
            </w:r>
          </w:p>
        </w:tc>
        <w:tc>
          <w:tcPr>
            <w:tcW w:w="26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91,710</w:t>
            </w:r>
          </w:p>
        </w:tc>
        <w:tc>
          <w:tcPr>
            <w:tcW w:w="6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14"/>
                <w:szCs w:val="14"/>
                <w:color w:val="auto"/>
                <w:w w:val="96"/>
              </w:rPr>
              <w:t>2017</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7"/>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60"/>
              <w:spacing w:after="0" w:line="137" w:lineRule="exact"/>
              <w:rPr>
                <w:sz w:val="20"/>
                <w:szCs w:val="20"/>
                <w:color w:val="auto"/>
              </w:rPr>
            </w:pPr>
            <w:r>
              <w:rPr>
                <w:rFonts w:ascii="Arial" w:cs="Arial" w:eastAsia="Arial" w:hAnsi="Arial"/>
                <w:sz w:val="14"/>
                <w:szCs w:val="14"/>
                <w:color w:val="auto"/>
                <w:w w:val="95"/>
              </w:rPr>
              <w:t>First</w:t>
            </w:r>
          </w:p>
        </w:tc>
        <w:tc>
          <w:tcPr>
            <w:tcW w:w="20" w:type="dxa"/>
            <w:vAlign w:val="bottom"/>
          </w:tcPr>
          <w:p>
            <w:pPr>
              <w:spacing w:after="0"/>
              <w:rPr>
                <w:sz w:val="11"/>
                <w:szCs w:val="11"/>
                <w:color w:val="auto"/>
              </w:rPr>
            </w:pPr>
          </w:p>
        </w:tc>
        <w:tc>
          <w:tcPr>
            <w:tcW w:w="1020" w:type="dxa"/>
            <w:vAlign w:val="bottom"/>
            <w:gridSpan w:val="3"/>
          </w:tcPr>
          <w:p>
            <w:pPr>
              <w:ind w:left="120"/>
              <w:spacing w:after="0" w:line="137" w:lineRule="exact"/>
              <w:rPr>
                <w:sz w:val="20"/>
                <w:szCs w:val="20"/>
                <w:color w:val="auto"/>
              </w:rPr>
            </w:pPr>
            <w:r>
              <w:rPr>
                <w:rFonts w:ascii="Arial" w:cs="Arial" w:eastAsia="Arial" w:hAnsi="Arial"/>
                <w:sz w:val="14"/>
                <w:szCs w:val="14"/>
                <w:color w:val="auto"/>
              </w:rPr>
              <w:t>Second</w:t>
            </w:r>
          </w:p>
        </w:tc>
        <w:tc>
          <w:tcPr>
            <w:tcW w:w="900" w:type="dxa"/>
            <w:vAlign w:val="bottom"/>
            <w:gridSpan w:val="3"/>
          </w:tcPr>
          <w:p>
            <w:pPr>
              <w:jc w:val="center"/>
              <w:ind w:right="340"/>
              <w:spacing w:after="0" w:line="137" w:lineRule="exact"/>
              <w:rPr>
                <w:sz w:val="20"/>
                <w:szCs w:val="20"/>
                <w:color w:val="auto"/>
              </w:rPr>
            </w:pPr>
            <w:r>
              <w:rPr>
                <w:rFonts w:ascii="Arial" w:cs="Arial" w:eastAsia="Arial" w:hAnsi="Arial"/>
                <w:sz w:val="14"/>
                <w:szCs w:val="14"/>
                <w:color w:val="auto"/>
              </w:rPr>
              <w:t>Third</w:t>
            </w:r>
          </w:p>
        </w:tc>
        <w:tc>
          <w:tcPr>
            <w:tcW w:w="700" w:type="dxa"/>
            <w:vAlign w:val="bottom"/>
          </w:tcPr>
          <w:p>
            <w:pPr>
              <w:jc w:val="center"/>
              <w:spacing w:after="0" w:line="137" w:lineRule="exact"/>
              <w:rPr>
                <w:sz w:val="20"/>
                <w:szCs w:val="20"/>
                <w:color w:val="auto"/>
              </w:rPr>
            </w:pPr>
            <w:r>
              <w:rPr>
                <w:rFonts w:ascii="Arial" w:cs="Arial" w:eastAsia="Arial" w:hAnsi="Arial"/>
                <w:sz w:val="14"/>
                <w:szCs w:val="14"/>
                <w:color w:val="auto"/>
                <w:w w:val="93"/>
              </w:rPr>
              <w:t>Year-</w:t>
            </w:r>
          </w:p>
        </w:tc>
        <w:tc>
          <w:tcPr>
            <w:tcW w:w="80" w:type="dxa"/>
            <w:vAlign w:val="bottom"/>
            <w:gridSpan w:val="2"/>
          </w:tcPr>
          <w:p>
            <w:pPr>
              <w:spacing w:after="0"/>
              <w:rPr>
                <w:sz w:val="11"/>
                <w:szCs w:val="11"/>
                <w:color w:val="auto"/>
              </w:rPr>
            </w:pPr>
          </w:p>
        </w:tc>
      </w:tr>
      <w:tr>
        <w:trPr>
          <w:trHeight w:val="167"/>
        </w:trPr>
        <w:tc>
          <w:tcPr>
            <w:tcW w:w="3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Quarter</w:t>
            </w:r>
          </w:p>
        </w:tc>
        <w:tc>
          <w:tcPr>
            <w:tcW w:w="2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Quarter</w:t>
            </w:r>
          </w:p>
        </w:tc>
        <w:tc>
          <w:tcPr>
            <w:tcW w:w="90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Quarter</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176"/>
        </w:trPr>
        <w:tc>
          <w:tcPr>
            <w:tcW w:w="3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14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11,896</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21,814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(5,637)</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(247)</w:t>
            </w:r>
          </w:p>
        </w:tc>
      </w:tr>
      <w:tr>
        <w:trPr>
          <w:trHeight w:val="229"/>
        </w:trPr>
        <w:tc>
          <w:tcPr>
            <w:tcW w:w="39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4,752</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18,803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2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Reflected in net recoveries of commercial real estate loans in the third quarter of 2018 was a $13 million recovery of a previously charged off loan associated with a hotel property. Included in net charge-offs of consumer loans were net charge-offs of: automobile loans of $7 million in the third quarter of 2018, $9 million in the third quarter of 2017 and $8 million in the second quarter of 2018; recreational vehicle loans of $5 million in the third quarter of 2018, $4 million in the year-earlier quarter and $3 million in the second quarter of 2018; and home equity loans and lines of credit secured by one-to-four family residential properties of $1 million in the recent quarter, $2 million in the third quarter of 2017 and $3 million in the second quarter of 2018.</w:t>
      </w:r>
    </w:p>
    <w:p>
      <w:pPr>
        <w:spacing w:after="0" w:line="178"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21"/>
          <w:szCs w:val="21"/>
          <w:color w:val="auto"/>
        </w:rPr>
        <w:t>The carrying amount of loans acquired at a discount subsequent to 2008 and accounted for based on expected cash flows was $797 million, $1.1 billion and $1.0 billion at September 30, 2018, September 30, 2017 and December 31, 2017, respectively. The nonaccretable balance related to remaining principal losses associated with loans acquired at a discount as of September 30, 2018 and December 31, 2017 is presented in the accompanying table.</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NONACCRETABLE BALANCE - PRINCIPAL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280"/>
              <w:spacing w:after="0"/>
              <w:rPr>
                <w:sz w:val="20"/>
                <w:szCs w:val="20"/>
                <w:color w:val="auto"/>
              </w:rPr>
            </w:pPr>
            <w:r>
              <w:rPr>
                <w:rFonts w:ascii="Arial" w:cs="Arial" w:eastAsia="Arial" w:hAnsi="Arial"/>
                <w:sz w:val="14"/>
                <w:szCs w:val="14"/>
                <w:color w:val="auto"/>
                <w:w w:val="91"/>
              </w:rPr>
              <w:t>Remaining balance</w:t>
            </w:r>
          </w:p>
        </w:tc>
      </w:tr>
      <w:tr>
        <w:trPr>
          <w:trHeight w:val="137"/>
        </w:trPr>
        <w:tc>
          <w:tcPr>
            <w:tcW w:w="46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Borders>
              <w:top w:val="single" w:sz="8" w:color="auto"/>
            </w:tcBorders>
            <w:gridSpan w:val="3"/>
          </w:tcPr>
          <w:p>
            <w:pPr>
              <w:ind w:left="20"/>
              <w:spacing w:after="0" w:line="137" w:lineRule="exact"/>
              <w:rPr>
                <w:sz w:val="20"/>
                <w:szCs w:val="20"/>
                <w:color w:val="auto"/>
              </w:rPr>
            </w:pPr>
            <w:r>
              <w:rPr>
                <w:rFonts w:ascii="Arial" w:cs="Arial" w:eastAsia="Arial" w:hAnsi="Arial"/>
                <w:sz w:val="14"/>
                <w:szCs w:val="14"/>
                <w:color w:val="auto"/>
              </w:rPr>
              <w:t>September 30,</w:t>
            </w:r>
          </w:p>
        </w:tc>
        <w:tc>
          <w:tcPr>
            <w:tcW w:w="9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1"/>
                <w:szCs w:val="11"/>
                <w:color w:val="auto"/>
              </w:rPr>
            </w:pPr>
          </w:p>
        </w:tc>
      </w:tr>
      <w:tr>
        <w:trPr>
          <w:trHeight w:val="167"/>
        </w:trPr>
        <w:tc>
          <w:tcPr>
            <w:tcW w:w="4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38"/>
        </w:trPr>
        <w:tc>
          <w:tcPr>
            <w:tcW w:w="4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jc w:val="center"/>
              <w:ind w:right="280"/>
              <w:spacing w:after="0"/>
              <w:rPr>
                <w:sz w:val="20"/>
                <w:szCs w:val="20"/>
                <w:color w:val="auto"/>
              </w:rPr>
            </w:pPr>
            <w:r>
              <w:rPr>
                <w:rFonts w:ascii="Arial" w:cs="Arial" w:eastAsia="Arial" w:hAnsi="Arial"/>
                <w:sz w:val="14"/>
                <w:szCs w:val="14"/>
                <w:color w:val="auto"/>
                <w:w w:val="91"/>
              </w:rPr>
              <w:t>(In thousands)</w:t>
            </w:r>
          </w:p>
        </w:tc>
      </w:tr>
      <w:tr>
        <w:trPr>
          <w:trHeight w:val="147"/>
        </w:trPr>
        <w:tc>
          <w:tcPr>
            <w:tcW w:w="4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2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23,212</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28,783</w:t>
            </w:r>
          </w:p>
        </w:tc>
        <w:tc>
          <w:tcPr>
            <w:tcW w:w="8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27,692</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8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60,070</w:t>
            </w:r>
          </w:p>
        </w:tc>
        <w:tc>
          <w:tcPr>
            <w:tcW w:w="4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in 2015 at a premium was $9.8 billion and $11.5 billion at September 30, 2018 and December 31, 2017,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245"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Nonaccrual loans aggregated $871 million or 1.00% of total loans and leases outstanding at September 30, 2018, compared with $869 million or .99 % a year earlier, $883 million or 1.00% at December 31, 2017 and $820 million or .93 % at June 30, 2018. The increase in nonaccrual loans at the recent quarter-end as compared with June 30, 2018 largely reflects the addition of an office development project in Maryland.</w:t>
      </w:r>
    </w:p>
    <w:p>
      <w:pPr>
        <w:spacing w:after="0" w:line="18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Accruing loans past due 90 days or more (excluding loans acquired at a discount) were $254 million, or .29% of total loans and leases at September 30, 2018, compared with $261 million or .30% at September 30, 2017, $244 million or .28% at December 31, 2017 and $223 million or .25% at June 30, 2018. Those amounts included loans guaranteed by government-related entities of $195 million, $252 million, $235 million and $202 million at September 30, 2018, September 30, 2017, December 31, 2017 and June 30, 2018,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$169 million at September 30, 2018, $207 million at each of September 30, 2017 and December 31, 2017, and $175 million at June 30, 2018. The remaining accruing loans past due 90 days or more not guaranteed by government-related entities were loans considered to be with creditworthy borrowers that were in the process of collection or renewal.</w:t>
      </w:r>
    </w:p>
    <w:p>
      <w:pPr>
        <w:spacing w:after="0" w:line="173"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4" w:name="page65"/>
    <w:bookmarkEnd w:id="64"/>
    <w:p>
      <w:pPr>
        <w:jc w:val="both"/>
        <w:spacing w:after="0" w:line="248" w:lineRule="auto"/>
        <w:rPr>
          <w:sz w:val="20"/>
          <w:szCs w:val="20"/>
          <w:color w:val="auto"/>
        </w:rPr>
      </w:pPr>
      <w:r>
        <w:rPr>
          <w:rFonts w:ascii="Arial" w:cs="Arial" w:eastAsia="Arial" w:hAnsi="Arial"/>
          <w:sz w:val="21"/>
          <w:szCs w:val="21"/>
          <w:color w:val="auto"/>
        </w:rPr>
        <w:t>accordance with GAAP, the Company continues to accrue interest income on such loans based on the estimated expected cash flows associated with the loans. The carrying amount of such loans was $326 million at September 30, 2018, or .4% of total loans. Of that amount, $308 million was associated with the acquisition of Hudson City. Purchased impaired loans totaled $467 million and $410 million at September 30, 2017 and December 31, 2017, respectively.</w:t>
      </w:r>
    </w:p>
    <w:p>
      <w:pPr>
        <w:spacing w:after="0" w:line="189"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151"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$179 million, $184 million, and $189 million at September 30, 2018, September 30, 2017 and December 31, 2017, respectively.</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Nonaccrual commercial loans and leases totaled $235 million, $204 million, $241 million and $245 million at September 30, 2018, September 30, 2017, December 31, 2017 and June 30, 2018, respectively. Commercial real estate loans in nonaccrual status aggregated $229 million, $222 million, $202 million and $166 million at September 30, 2018, September 30, 2017, December 31, 2017 and June 30, 2018, respectively. The increase in such loans at the recent quarter-end compared with June 30, 2018 was due, in part, to the addition of an office development project in Maryland. Nonaccrual commercial real estate loans included construction-related loans of $22 million at each of September 30, 2018 and 2017, $17 million at December 31, 2017 and $13 million at June 30, 2018.</w:t>
      </w:r>
    </w:p>
    <w:p>
      <w:pPr>
        <w:spacing w:after="0" w:line="165"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8"/>
          <w:szCs w:val="18"/>
          <w:color w:val="auto"/>
        </w:rPr>
        <w:t>Nonaccrual residential real estate loans totaled $310 million at September 30, 2018, compared with $338 million at September 30, 2017, $332 million at December 31, 2017 and $313 million at June 30, 2018. Reflected in residential real estate loans classified as nonaccrual were previously performing loans obtained in the acquisition of Hudson City that became more than 90 days delinquent. Such nonaccrual residential real estate loans aggregated $217 million at September 30, 2018, $211 million at September 30, 2017, $215 million at December 31, 2017 and $220 million at June 30, 2018. Those loans could not be identified as purchased impaired loans at the acquisition date because the borrowers were making loan payments at the time and the loans were not recorded at a discount. Included in residential real estate loans classified as nonaccrual were limited documentation first mortgage loans of $82 million at September 30, 2018 (including $62 million obtained in the acquisition of Hudson City), $102 million at September 30, 2017, $96 million at December 31, 2017 and $97 million at June 30, 2018.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aggregated $194 million at September 30, 2018, compared with $250 million at September 30, 2017, $233 million at December 31, 2017 and $200 million at June 30, 2018. A substantial portion of such amounts related to guaranteed loans repurchased from government-related entities. Information about the location of nonaccrual and charged-off residential real estate loans as of and for the quarter ended September 30, 2018 is presented in the accompanying table.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5" w:name="page66"/>
    <w:bookmarkEnd w:id="65"/>
    <w:p>
      <w:pPr>
        <w:jc w:val="both"/>
        <w:ind w:firstLine="518"/>
        <w:spacing w:after="0" w:line="245" w:lineRule="auto"/>
        <w:rPr>
          <w:sz w:val="20"/>
          <w:szCs w:val="20"/>
          <w:color w:val="auto"/>
        </w:rPr>
      </w:pPr>
      <w:r>
        <w:rPr>
          <w:rFonts w:ascii="Arial" w:cs="Arial" w:eastAsia="Arial" w:hAnsi="Arial"/>
          <w:sz w:val="21"/>
          <w:szCs w:val="21"/>
          <w:color w:val="auto"/>
        </w:rPr>
        <w:t>Nonaccrual consumer loans were $97 million at September 30, 2018, compared with $105 million at September 30, 2017, $108 million at December 31, 2017 and $96 million at June 30, 2018. Included in nonaccrual consumer loans at September 30, 2018, September 30, 2017, December 31, 2017 and June 30, 2018 were: automobile loans of $21 million, $21 million, $24 million and $20 million, respectively; recreational vehicle loans of $8 million, $5 million, $6 million and $7 million, respectively; and outstanding balances of home equity loans and lines of credit of $66 million, $76 million, $75 million and $67 million, respectively. Information about the location of nonaccrual and charged-off home equity loans and lines of credit as of and for the quarter ended September 30, 2018 is presented in the accompanying table.</w:t>
      </w:r>
    </w:p>
    <w:p>
      <w:pPr>
        <w:spacing w:after="0" w:line="19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Information about past due and nonaccrual loans as of September 30, 2018 and December 31, 2017 is also included in note 3 of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6" w:name="page67"/>
    <w:bookmarkEnd w:id="66"/>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center"/>
              <w:ind w:right="300"/>
              <w:spacing w:after="0"/>
              <w:rPr>
                <w:sz w:val="20"/>
                <w:szCs w:val="20"/>
                <w:color w:val="auto"/>
              </w:rPr>
            </w:pPr>
            <w:r>
              <w:rPr>
                <w:rFonts w:ascii="Arial" w:cs="Arial" w:eastAsia="Arial" w:hAnsi="Arial"/>
                <w:sz w:val="13"/>
                <w:szCs w:val="13"/>
                <w:color w:val="auto"/>
                <w:w w:val="91"/>
              </w:rPr>
              <w:t>Quarter Ended</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September 30, 2018</w:t>
            </w:r>
          </w:p>
        </w:tc>
        <w:tc>
          <w:tcPr>
            <w:tcW w:w="6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color w:val="auto"/>
                <w:w w:val="91"/>
              </w:rPr>
              <w:t>September 30, 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color w:val="auto"/>
              </w:rPr>
              <w:t>Nonaccrual</w:t>
            </w:r>
          </w:p>
        </w:tc>
        <w:tc>
          <w:tcPr>
            <w:tcW w:w="6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93"/>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3"/>
                <w:szCs w:val="13"/>
                <w:color w:val="auto"/>
                <w:w w:val="96"/>
              </w:rPr>
              <w:t>Annualized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Percent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color w:val="auto"/>
                <w:w w:val="94"/>
              </w:rPr>
              <w:t>Percent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3"/>
                <w:szCs w:val="13"/>
                <w:color w:val="auto"/>
              </w:rPr>
              <w:t>Outstanding</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3"/>
                <w:szCs w:val="13"/>
                <w:color w:val="auto"/>
                <w:w w:val="94"/>
              </w:rPr>
              <w:t>Outstanding</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Outstanding</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68"/>
              <w:spacing w:after="0"/>
              <w:rPr>
                <w:sz w:val="20"/>
                <w:szCs w:val="20"/>
                <w:color w:val="auto"/>
              </w:rPr>
            </w:pPr>
            <w:r>
              <w:rPr>
                <w:rFonts w:ascii="Arial" w:cs="Arial" w:eastAsia="Arial" w:hAnsi="Arial"/>
                <w:sz w:val="13"/>
                <w:szCs w:val="13"/>
                <w:color w:val="auto"/>
              </w:rPr>
              <w:t>Balances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color w:val="auto"/>
              </w:rPr>
              <w:t>Balances</w:t>
            </w: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color w:val="auto"/>
                <w:w w:val="89"/>
              </w:rPr>
              <w:t>Balances</w:t>
            </w:r>
          </w:p>
        </w:tc>
        <w:tc>
          <w:tcPr>
            <w:tcW w:w="8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85"/>
              </w:rPr>
              <w:t>Balances</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Balances</w:t>
            </w:r>
          </w:p>
        </w:tc>
        <w:tc>
          <w:tcPr>
            <w:tcW w:w="0" w:type="dxa"/>
            <w:vAlign w:val="bottom"/>
          </w:tcPr>
          <w:p>
            <w:pPr>
              <w:spacing w:after="0"/>
              <w:rPr>
                <w:sz w:val="1"/>
                <w:szCs w:val="1"/>
                <w:color w:val="auto"/>
              </w:rPr>
            </w:pPr>
          </w:p>
        </w:tc>
      </w:tr>
      <w:tr>
        <w:trPr>
          <w:trHeight w:val="168"/>
        </w:trPr>
        <w:tc>
          <w:tcPr>
            <w:tcW w:w="4200" w:type="dxa"/>
            <w:vAlign w:val="bottom"/>
            <w:vMerge w:val="restart"/>
          </w:tcPr>
          <w:p>
            <w:pPr>
              <w:spacing w:after="0"/>
              <w:rPr>
                <w:sz w:val="20"/>
                <w:szCs w:val="20"/>
                <w:color w:val="auto"/>
              </w:rPr>
            </w:pPr>
            <w:r>
              <w:rPr>
                <w:rFonts w:ascii="Arial" w:cs="Arial" w:eastAsia="Arial" w:hAnsi="Arial"/>
                <w:sz w:val="14"/>
                <w:szCs w:val="14"/>
                <w:color w:val="auto"/>
              </w:rPr>
              <w:t>Residential mortgages:</w:t>
            </w:r>
          </w:p>
        </w:tc>
        <w:tc>
          <w:tcPr>
            <w:tcW w:w="1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4"/>
          </w:tcPr>
          <w:p>
            <w:pPr>
              <w:ind w:left="540"/>
              <w:spacing w:after="0"/>
              <w:rPr>
                <w:sz w:val="20"/>
                <w:szCs w:val="20"/>
                <w:color w:val="auto"/>
              </w:rPr>
            </w:pPr>
            <w:r>
              <w:rPr>
                <w:rFonts w:ascii="Arial" w:cs="Arial" w:eastAsia="Arial" w:hAnsi="Arial"/>
                <w:sz w:val="13"/>
                <w:szCs w:val="13"/>
                <w:color w:val="auto"/>
              </w:rPr>
              <w:t>(Dollars in thousands)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5,144,301</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74,334</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1,276,058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15,408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(244)</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1,072,054</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10,534</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3,782,472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55,059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963,590</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2,811,621</w:t>
            </w: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61,323</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15,050,096</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227,119</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1.51%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2,043</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Residential construction loans:</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9,668</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4,667</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29,917</w:t>
            </w:r>
          </w:p>
        </w:tc>
        <w:tc>
          <w:tcPr>
            <w:tcW w:w="3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500</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1.67%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(2)</w:t>
            </w:r>
          </w:p>
        </w:tc>
        <w:tc>
          <w:tcPr>
            <w:tcW w:w="9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first mortgages:</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1,153,993</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36,083</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54,367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31,283</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1,006,682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21,091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(36)</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370,560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16,812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(116)</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2,641,386</w:t>
            </w:r>
          </w:p>
        </w:tc>
        <w:tc>
          <w:tcPr>
            <w:tcW w:w="3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82,454</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3.12%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(358)</w:t>
            </w:r>
          </w:p>
        </w:tc>
        <w:tc>
          <w:tcPr>
            <w:tcW w:w="320" w:type="dxa"/>
            <w:vAlign w:val="bottom"/>
            <w:vMerge w:val="continue"/>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First lien home equity loans and lines of credit:</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1,224,118</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14,407</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751,324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6,864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615,490</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7,047</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67,764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209,489</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27,262</w:t>
            </w: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2,895,447</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31,782</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1.10%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385</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Junior lien home equity loans and lines of credit:</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757,516</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16,220</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283,453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615,513</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97,498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257,874</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43,125</w:t>
            </w: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2,054,979</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34,004</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1.65%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240</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junior lien:</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5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3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6,772</w:t>
            </w:r>
          </w:p>
        </w:tc>
        <w:tc>
          <w:tcPr>
            <w:tcW w:w="3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517</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7.63%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(4)</w:t>
            </w:r>
          </w:p>
        </w:tc>
        <w:tc>
          <w:tcPr>
            <w:tcW w:w="9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378"/>
        <w:spacing w:after="0"/>
        <w:tabs>
          <w:tab w:leader="none" w:pos="4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Virginia, West Virginia and the District of Columbia.</w:t>
      </w:r>
    </w:p>
    <w:p>
      <w:pPr>
        <w:spacing w:after="0" w:line="200" w:lineRule="exact"/>
        <w:rPr>
          <w:rFonts w:ascii="Arial" w:cs="Arial" w:eastAsia="Arial" w:hAnsi="Arial"/>
          <w:sz w:val="18"/>
          <w:szCs w:val="18"/>
          <w:i w:val="1"/>
          <w:iCs w:val="1"/>
          <w:color w:val="auto"/>
        </w:rPr>
      </w:pPr>
    </w:p>
    <w:p>
      <w:pPr>
        <w:spacing w:after="0" w:line="26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7" w:name="page68"/>
    <w:bookmarkEnd w:id="67"/>
    <w:p>
      <w:pPr>
        <w:jc w:val="both"/>
        <w:ind w:firstLine="518"/>
        <w:spacing w:after="0" w:line="246" w:lineRule="auto"/>
        <w:rPr>
          <w:sz w:val="20"/>
          <w:szCs w:val="20"/>
          <w:color w:val="auto"/>
        </w:rPr>
      </w:pPr>
      <w:r>
        <w:rPr>
          <w:rFonts w:ascii="Arial" w:cs="Arial" w:eastAsia="Arial" w:hAnsi="Arial"/>
          <w:sz w:val="21"/>
          <w:szCs w:val="21"/>
          <w:color w:val="auto"/>
        </w:rPr>
        <w:t>Real estate and other foreclosed assets totaled $87 million at September 30, 2018, compared with $111 million at September 30, 2017, $112 million at December 31, 2017 and $98 million at June 30, 2018. Net gains or losses associated with real estate and other foreclosed assets were not material during the three-month and nine-month periods ended September 30, 2018 and September 30, 2017. At September 30, 2018, the Company’s holding of residential real estate-related properties comprised approximately 98% of foreclosed assets.</w:t>
      </w:r>
    </w:p>
    <w:p>
      <w:pPr>
        <w:spacing w:after="0" w:line="192"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RENOGIATED AND IMPAIRED LOAN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3"/>
          </w:tcPr>
          <w:p>
            <w:pPr>
              <w:jc w:val="center"/>
              <w:ind w:left="213"/>
              <w:spacing w:after="0"/>
              <w:rPr>
                <w:sz w:val="20"/>
                <w:szCs w:val="20"/>
                <w:color w:val="auto"/>
              </w:rPr>
            </w:pPr>
            <w:r>
              <w:rPr>
                <w:rFonts w:ascii="Arial" w:cs="Arial" w:eastAsia="Arial" w:hAnsi="Arial"/>
                <w:sz w:val="14"/>
                <w:szCs w:val="14"/>
                <w:color w:val="auto"/>
                <w:w w:val="89"/>
              </w:rPr>
              <w:t>2018 Quarters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4"/>
          </w:tcPr>
          <w:p>
            <w:pPr>
              <w:ind w:left="540"/>
              <w:spacing w:after="0"/>
              <w:rPr>
                <w:sz w:val="20"/>
                <w:szCs w:val="20"/>
                <w:color w:val="auto"/>
              </w:rPr>
            </w:pPr>
            <w:r>
              <w:rPr>
                <w:rFonts w:ascii="Arial" w:cs="Arial" w:eastAsia="Arial" w:hAnsi="Arial"/>
                <w:sz w:val="14"/>
                <w:szCs w:val="14"/>
                <w:color w:val="auto"/>
              </w:rPr>
              <w:t>2017 Quarters</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Third</w:t>
            </w:r>
          </w:p>
        </w:tc>
        <w:tc>
          <w:tcPr>
            <w:tcW w:w="3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color w:val="auto"/>
                <w:w w:val="92"/>
              </w:rPr>
              <w:t>Second</w:t>
            </w: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color w:val="auto"/>
              </w:rPr>
              <w:t>First</w:t>
            </w:r>
          </w:p>
        </w:tc>
        <w:tc>
          <w:tcPr>
            <w:tcW w:w="380" w:type="dxa"/>
            <w:vAlign w:val="bottom"/>
            <w:tcBorders>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color w:val="auto"/>
              </w:rPr>
              <w:t>Fourth</w:t>
            </w: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Third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(Dollars in thousands)</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870,832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819,984</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864,671</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882,598</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869,362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98,062</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101,514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111,910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958,165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994,508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979,877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254,360</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223,026</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235,325</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244,405</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261,288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Nonaccrual loans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33,570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34,870</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36,618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35,677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195,450</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202,394</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223,611</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235,489</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252,072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Renegotiated loans</w:t>
            </w: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242,892</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242,528</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226,829</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221,513</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226,672</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accruing loans past due 90 days or more(b)</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44,223</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49,349</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47,418</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Purchased impaired loans(c):</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customer balance</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572,979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606,683</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643,124</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688,091</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779,340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4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325,980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352,465</w:t>
            </w:r>
          </w:p>
        </w:tc>
        <w:tc>
          <w:tcPr>
            <w:tcW w:w="8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378,000</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410,015</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466,943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 leases and real estate</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foreclosed assets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Accruing loans past due 90 days or more(a) to total loans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leases, net of unearned discount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23" w:lineRule="exact"/>
        <w:rPr>
          <w:rFonts w:ascii="Arial" w:cs="Arial" w:eastAsia="Arial" w:hAnsi="Arial"/>
          <w:sz w:val="18"/>
          <w:szCs w:val="18"/>
          <w:i w:val="1"/>
          <w:iCs w:val="1"/>
          <w:color w:val="auto"/>
        </w:rPr>
      </w:pPr>
    </w:p>
    <w:p>
      <w:pPr>
        <w:ind w:left="520" w:hanging="512"/>
        <w:spacing w:after="0" w:line="250" w:lineRule="auto"/>
        <w:tabs>
          <w:tab w:leader="none" w:pos="5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23"/>
        <w:spacing w:after="0"/>
        <w:tabs>
          <w:tab w:leader="none" w:pos="460"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and (v) the size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8" w:name="page69"/>
    <w:bookmarkEnd w:id="68"/>
    <w:p>
      <w:pPr>
        <w:jc w:val="both"/>
        <w:spacing w:after="0" w:line="316" w:lineRule="auto"/>
        <w:rPr>
          <w:sz w:val="20"/>
          <w:szCs w:val="20"/>
          <w:color w:val="auto"/>
        </w:rPr>
      </w:pPr>
      <w:r>
        <w:rPr>
          <w:rFonts w:ascii="Arial" w:cs="Arial" w:eastAsia="Arial" w:hAnsi="Arial"/>
          <w:sz w:val="19"/>
          <w:szCs w:val="19"/>
          <w:color w:val="auto"/>
        </w:rPr>
        <w:t>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6" w:lineRule="exact"/>
        <w:rPr>
          <w:sz w:val="20"/>
          <w:szCs w:val="20"/>
          <w:color w:val="auto"/>
        </w:rPr>
      </w:pPr>
    </w:p>
    <w:p>
      <w:pPr>
        <w:jc w:val="both"/>
        <w:ind w:right="20" w:firstLine="518"/>
        <w:spacing w:after="0" w:line="271" w:lineRule="auto"/>
        <w:rPr>
          <w:sz w:val="20"/>
          <w:szCs w:val="20"/>
          <w:color w:val="auto"/>
        </w:rPr>
      </w:pPr>
      <w:r>
        <w:rPr>
          <w:rFonts w:ascii="Arial" w:cs="Arial" w:eastAsia="Arial" w:hAnsi="Arial"/>
          <w:sz w:val="19"/>
          <w:szCs w:val="19"/>
          <w:color w:val="auto"/>
        </w:rPr>
        <w:t>Management cautiously and conservatively evaluated the allowance for credit losses as of September 30, 2018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spacing w:after="0" w:line="2" w:lineRule="exact"/>
        <w:rPr>
          <w:sz w:val="20"/>
          <w:szCs w:val="20"/>
          <w:color w:val="auto"/>
        </w:rPr>
      </w:pPr>
    </w:p>
    <w:p>
      <w:pPr>
        <w:jc w:val="both"/>
        <w:ind w:firstLine="8"/>
        <w:spacing w:after="0" w:line="257" w:lineRule="auto"/>
        <w:tabs>
          <w:tab w:leader="none" w:pos="33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53% of the Company’s loans and leases are to customers in New York State and Pennsylvania).</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As described in note 3 of Notes to Financial Statements, 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$2.3 billion at September 30, 2018, compared with $2.4 billion at September 30, 2017, $2.2 billion at June 30, 2018 and $2.5 billion at December 31, 2017. Given payment performance, amount of supporting collateral, and, in certain instances, the existence of loan guarantees, the Company still expects to collect the full outstanding principal balance on most of those loans.</w:t>
      </w:r>
    </w:p>
    <w:p>
      <w:pPr>
        <w:spacing w:after="0" w:line="164"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8"/>
          <w:szCs w:val="18"/>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9" w:name="page70"/>
    <w:bookmarkEnd w:id="69"/>
    <w:p>
      <w:pPr>
        <w:jc w:val="both"/>
        <w:ind w:firstLine="518"/>
        <w:spacing w:after="0" w:line="269" w:lineRule="auto"/>
        <w:rPr>
          <w:sz w:val="20"/>
          <w:szCs w:val="20"/>
          <w:color w:val="auto"/>
        </w:rPr>
      </w:pPr>
      <w:r>
        <w:rPr>
          <w:rFonts w:ascii="Arial" w:cs="Arial" w:eastAsia="Arial" w:hAnsi="Arial"/>
          <w:sz w:val="19"/>
          <w:szCs w:val="19"/>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2018, approximately 58% of the Company’s home equity portfolio consisted of first lien loans and lines of credit. Of the remaining junior lien loans in the portfolio, approximately 68% (or approximately 28%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2018, the balance of junior lien loans and lines that were in nonaccrual status solely as a result of first lien loan performance was $9 million, compared with $10 million at each of September 30, 2017 and December 31, 2017 and $8 million at June 30, 2018.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2018, approximately 81% of all outstanding balances of home equity lines of credit related to lines that were still in the draw period, the weighted-average remaining draw periods were approximately five years, and approximately 19% were making contractually allowed payments that do not include any repayment of principal.</w:t>
      </w:r>
    </w:p>
    <w:p>
      <w:pPr>
        <w:spacing w:after="0" w:line="172"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3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42% of the Company’s home equity portfolio consists of junior lien loans and lines of credit. Except for consumer loans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0" w:name="page71"/>
    <w:bookmarkEnd w:id="70"/>
    <w:p>
      <w:pPr>
        <w:jc w:val="both"/>
        <w:spacing w:after="0" w:line="256" w:lineRule="auto"/>
        <w:rPr>
          <w:sz w:val="20"/>
          <w:szCs w:val="20"/>
          <w:color w:val="auto"/>
        </w:rPr>
      </w:pPr>
      <w:r>
        <w:rPr>
          <w:rFonts w:ascii="Arial" w:cs="Arial" w:eastAsia="Arial" w:hAnsi="Arial"/>
          <w:sz w:val="20"/>
          <w:szCs w:val="20"/>
          <w:color w:val="auto"/>
        </w:rPr>
        <w:t>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3 of Notes to Financial Statements.</w:t>
      </w:r>
    </w:p>
    <w:p>
      <w:pPr>
        <w:spacing w:after="0" w:line="18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believes that the allowance for credit losses at September 30, 2018 appropriately reflected credit losses inherent in the portfolio as of that date. The allowance for credit losses was $1.02 billion, or 1.18% of total loans and leases at September 30, 2018, $1.01 billion, or 1.15% at September 30, 2017 and $1.02 billion or 1.16% at December 31, 2017.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117% at each of September 30, 2018 and September 30, 2017, compared with 115% at December 31, 2017.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Other income totaled $459 million in each of the third quarters of 2018 and 2017, compared with $457 million in the second quarter of 2018. As compared with the third quarter of 2017, higher trust income and letter of credit and other credit-related fees in the recent quarter were predominantly offset by declines in mortgage banking revenues, brokerage services income and valuation losses on equity securities. As compared with the second quarter of 2018, higher letter of credit and other credit-related fees were largely offset by seasonally lower trust income and valuation losses on equity securities in the recent quarter.</w:t>
      </w:r>
    </w:p>
    <w:p>
      <w:pPr>
        <w:spacing w:after="0" w:line="17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Mortgage banking revenues were $88 million in the recent quarter, compared with $97 million in the third quarter of 2017 and $92 million in the second quarter of 2018.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57"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$59 million in the third quarter of 2018, compared with $63 million in the third quarter of 2017 and $61 million in 2018’s second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1" w:name="page72"/>
    <w:bookmarkEnd w:id="71"/>
    <w:p>
      <w:pPr>
        <w:jc w:val="both"/>
        <w:ind w:firstLine="518"/>
        <w:spacing w:after="0" w:line="262" w:lineRule="auto"/>
        <w:rPr>
          <w:sz w:val="20"/>
          <w:szCs w:val="20"/>
          <w:color w:val="auto"/>
        </w:rPr>
      </w:pPr>
      <w:r>
        <w:rPr>
          <w:rFonts w:ascii="Arial" w:cs="Arial" w:eastAsia="Arial" w:hAnsi="Arial"/>
          <w:sz w:val="20"/>
          <w:szCs w:val="20"/>
          <w:color w:val="auto"/>
        </w:rPr>
        <w:t>New commitments to originate residential real estate loans to be sold were approximately $545 million in the third quarter of 2018, compared with $757 million in the year-earlier quarter and $644 million in the second quarter of 2018.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$12 million in each of the second and third quarters of 2018, compared with $17 million in the third quarter of 2017.</w:t>
      </w:r>
    </w:p>
    <w:p>
      <w:pPr>
        <w:spacing w:after="0" w:line="17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Loans held for sale that were secured by residential real estate aggregated $258 million at September 30, 2018, $347 million at September 30, 2017 and $356 million at December 31, 2017. Commitments to sell residential real estate loans and commitments to originate residential real estate loans for sale at pre-determined rates totaled $459 million and $308 million, respectively, at September 30, 2018, compared with $658 million and $483 million, respectively, at September 30, 2017 and $595 million and $347 million, respectively, at December 31, 2017. Net recognized unrealized gains on residential real estate loans held for sale, commitments to sell loans, and commitments to originate loans for sale were $10 million at each of September 30, 2018 and December 31, 2017, compared with $15 million at September 30, 2017. Changes in such net unrealized gains or losses are recorded in mortgage banking revenues and resulted in net decreases in revenues of $1 million in the third quarter of 2018 and $2 million in the year-earlier quarter, compared with net increases in revenues of $3 million in the second quarter of 2018.</w:t>
      </w:r>
    </w:p>
    <w:p>
      <w:pPr>
        <w:spacing w:after="0" w:line="16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Revenues from servicing residential real estate loans for others were $47 million in the recent quarter, compared with $46 million and $49 million during the quarters ended September 30, 2017 and June 30, 2018, respectively. Residential real estate loans serviced for others totaled $82.7 billion at September 30, 2018, $81.9 billion at September 30, 2017, $79.2 billion at December 31, 2017 and $76.0 billion at June 30, 2018. Reflected in residential real estate loans serviced for others were loans sub-serviced for others of $60.3 billion, $59.3 billion, $56.6 billion and $53.5 billion at September 30, 2018, September 30, 2017, December 31, 2017 and June 30, 2018, respectively. Revenues earned for sub-servicing loans totaled $28 million in each of the second and third quarters of 2018, compared with $26 million during the third quarter of 2017. The Company added $9 billion of residential real estate loans sub-serviced for others during the recent quarter. The contractual servicing rights associated with loans sub-serviced by the Company were predominantly held by affiliates of BLG. Information about the Company’s relationship with BLG and its affiliates is included in note 14 of Notes to Financial Statements.</w:t>
      </w:r>
    </w:p>
    <w:p>
      <w:pPr>
        <w:spacing w:after="0" w:line="181"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Capitalized servicing rights consist largely of servicing associated with loans sold by the Company. Capitalized residential mortgage servicing assets aggregated $121 million at September 30, 2018, $116 million at September 30, 2017 and $115 million at December 31, 2017.</w:t>
      </w:r>
    </w:p>
    <w:p>
      <w:pPr>
        <w:spacing w:after="0" w:line="184"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Commercial mortgage banking revenues totaled $29 million in the recent quarter, compared with $34 million and $31 million in the third quarter of 2017 and the second quarter of 2018, respectively. Included in such amounts were revenues from loan origination and sales activities of $15 million in the third quarter of 2018, $21 million in the year-earlier quarter and $17 million in the second quarter of 2018. Commercial real estate loans originated for sale to other investors were approximately $920 million in the recent quarter, compared with $839 million and $1.3 billion in the third quarter of 2017 and the second quarter of 2018, respectively. Loan servicing revenues totaled $14 million in each of the second and third quarters of 2018 and $13 million in the third quarter of 2017. Capitalized commercial mortgage servicing assets were $115 million and $111 million at September 30, 2018 and September 30, 2017, respectively, and $114 million at December 31, 2017. Commercial real estate loans serviced for other investors totaled $17.7 billion at September 30, 2018, $15.7 billion a year earlier and $16.2 billion at December 31, 2017 and included $3.3 billion at each of September 30, 2018 and December 31, 2017, and $3.2 billion at September 30, 2017, of loan balances for which investors had recourse to the Company if such balances are ultimately uncollectible. Commitments to sell commercial real estate loans and commitments to originate commercial real estate loans for sale were $536 million and $154 million, respectively, at September 30, 2018, $394 million and $171 million, respectively, at September 30, 2017 and $217 million and $195 million, respectively, at December 31, 2017. Commercial real estate loans held for sale at September 30, 2018, September 30, 2017 and December 31, 2017 were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21"/>
          <w:szCs w:val="21"/>
          <w:color w:val="auto"/>
        </w:rPr>
        <w:t>$381 million, $224 million and $22 million, respectively. The higher balance at September 30, 2018 reflected loans originated later in 2018’s third quarter that will be delivered to investors in the fourth quarter.</w:t>
      </w:r>
    </w:p>
    <w:p>
      <w:pPr>
        <w:spacing w:after="0" w:line="172"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8"/>
          <w:szCs w:val="18"/>
          <w:color w:val="auto"/>
        </w:rPr>
        <w:t>Service charges on deposit accounts were $109 million in each of the third quarters of 2018 and 2017 and $107 million in the second quarter of 2018. Brokerage services income, which includes revenues from the sale of mutual funds and annuities and securities brokerage fees, aggregated $12 million in the recent quarter, compared with $15 million in the third quarter of 2017 and $13 million in 2018’s second quarter. Trading account and foreign exchange activity resulted in gains of $6 million and $7 million during the quarters ended September 30, 2018 and 2017, respectively, compared with gains of $5 million in the second quarter of 2018. Information about the notional amount of interest rate, foreign exchange and other contracts entered into by the Company for trading account purposes is included in note 9 of Notes to Financial Statements and herein under the heading “Taxable-equivalent Net Interest Income.”</w:t>
      </w:r>
    </w:p>
    <w:p>
      <w:pPr>
        <w:spacing w:after="0" w:line="15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$133 million in the third quarter of 2018, compared with $125 million in the year-earlier quarter and $138 million in the second quarter of 2018. Revenues associated with the ICS business were approximately $67 million, $64 million and $70 million during the quarters ended September 30, 2018, September 30, 2017 and June 30, 2018, respectively. The higher revenues in the two most recent quarters as compared with the third quarter of 2017 reflect stronger sales activities and higher retirement services income from growth in collective fund balances. Revenues attributable to WAS totaled approximately $58 million, $56 million and $62 million for the three-month periods ended September 30, 2018, September 30, 2017 and June 30, 2018, respectively. The higher revenues in 2018’s second quarter reflected seasonally higher fees for helping customers prepare and file trust income tax returns. Trust assets under management were $87.8 billion, $76.9 billion and $82.5 billion at September 30, 2018, September 30, 2017 and December 31, 2017, respectively. Trust assets under management include the Company’s proprietary mutual funds assets of $10.2 billion, $10.7 billion and $11.2 billion at September 30, 2018, September 30, 2017 and December 31, 2017, respectively. Additional trust income from investment management activities was $8 million in the most recent quarter, compared with $5 million in the third quarter of 2017 and $6 million in the second quarter of 2018. That income largely relates to fees earned from retail customer investment accounts and from an affiliated investment manager. Assets managed by that affiliated manager were $5.6 billion at September 30, 2018, $6.6 billion at September 30, 2017 and $6.7 billion at December 31, 2017. The Company’s trust income from that affiliate was not material during any of the quarters then-ended.</w:t>
      </w:r>
    </w:p>
    <w:p>
      <w:pPr>
        <w:spacing w:after="0" w:line="172"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 Company recognized net losses on investment securities of $3 million in the recent quarter, compared with net gains of $2 million in the second quarter of 2018. The gains and losses represented unrealized gains and losses on investments in equity securities, largely Fannie Mae and Freddie Mac preferred stock. There were no significant gains or losses on investment securities in the third quarter of 2017.</w:t>
      </w:r>
    </w:p>
    <w:p>
      <w:pPr>
        <w:spacing w:after="0" w:line="18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Other revenues from operations were $114 million in the third quarter of 2018, compared with $107 million in the corresponding quarter of 2017 and $100 million in the second quarter of 2018. The most significant contributor to the recent quarter’s increase as compared with the third quarter of 2017 and the second quarter of 2018 was higher letter of credit and other credit-related fees. Included in other revenues from operations were the following significant components. Letter of credit and other credit-related fees aggregated $36 million in the recent quarter, compared with $25 million in each of the year-earlier quarter and the second quarter of 2018. Tax-exempt income from bank owned life insurance, which includes increases in the cash surrender value of life insurance policies and benefits received, totaled $14 million in the third quarter of 2018, compared with $16 million in the corresponding 2017 quarter and $12 million in the second quarter of 2018. Revenues from merchant discount and credit card fees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jc w:val="both"/>
        <w:spacing w:after="0" w:line="252" w:lineRule="auto"/>
        <w:rPr>
          <w:sz w:val="20"/>
          <w:szCs w:val="20"/>
          <w:color w:val="auto"/>
        </w:rPr>
      </w:pPr>
      <w:r>
        <w:rPr>
          <w:rFonts w:ascii="Arial" w:cs="Arial" w:eastAsia="Arial" w:hAnsi="Arial"/>
          <w:sz w:val="21"/>
          <w:szCs w:val="21"/>
          <w:color w:val="auto"/>
        </w:rPr>
        <w:t>were $30 million in the third quarter of 2018, compared with $31 million in the year-earlier quarter and $29 million in the second quarter of 2018. Insurance-related sales commissions and other revenues totaled $11 million in each of the quarters ended September 30, 2018 and June 30, 2018, compared with $10 million in 2017’s third quarter.</w:t>
      </w:r>
    </w:p>
    <w:p>
      <w:pPr>
        <w:spacing w:after="0" w:line="184"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Other income aggregated $1.38 billion during the first nine months of 2018, $8 million higher than $1.37 billion in the corresponding 2017 period. That increase was largely attributable to significantly higher trust income and income from BLG, largely offset by valuation losses on equity securities and lower brokerage services income, trading account and foreign exchange gains and income from bank owned life insurance.</w:t>
      </w:r>
    </w:p>
    <w:p>
      <w:pPr>
        <w:spacing w:after="0" w:line="189"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Mortgage banking revenues totaled $268 million during each of the nine-month periods ended September 30, 2018 and 2017. Residential mortgage banking revenues aggregated $182 million in the first nine months of 2018, compared with $183 million during the nine-month period ended September 30, 2017. New commitments to originate residential real estate loans to be sold aggregated $1.8 billion and $2.3 billion in the first nine months of 2018 and 2017,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$36 million and $47 million in the nine-month periods ended September 30, 2018 and 2017, respectively. Revenues from servicing residential mortgage loans for others through September 30 were $146 million in 2018 and $136 million in 2017. Included in servicing revenues were sub-servicing revenues aggregating $86 million and $74 million in the first nine months of 2018 and 2017, respectively. For the nine months ended September 30, commercial mortgage banking revenues were $86 million and $85 million in 2018 and 2017, respectively. Commercial real estate loans originated for sale to other investors totaled $2.7 billion and $1.7 billion during the nine-month periods ended September 30, 2018 and 2017, respectively.</w:t>
      </w:r>
    </w:p>
    <w:p>
      <w:pPr>
        <w:spacing w:after="0" w:line="18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Service charges on deposit accounts aggregated $321 million during the first nine months of 2018, compared with $320 million in the year-earlier period. Trust income totaled $403 million and $372 million during the first nine months of 2018 and 2017, respectively. The increase in trust income in 2018 as compared with 2017 was largely due to higher revenues from the ICS business, reflecting stronger sales activities and higher retirement services income from growth in collective fund balances, and from the WAS business, resulting from improved equity market performance and stronger sales activities. Brokerage services income declined to $38 million in the first nine months of 2018 from $49 million in the nine-month period ended September 30, 2017, largely due to lower income from sales of annuities and mutual funds. Trading account and foreign exchange activity resulted in gains of $16 million and $25 million in the first nine months of 2018 and 2017, respectively. The lower gains in the 2018 period were predominantly due to valuation losses on interest rate floor agreements.</w:t>
      </w:r>
    </w:p>
    <w:p>
      <w:pPr>
        <w:spacing w:after="0" w:line="185"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21"/>
          <w:szCs w:val="21"/>
          <w:color w:val="auto"/>
        </w:rPr>
        <w:t>Net losses on investment securities during the nine-month period ended September 30, 2018 totaled $11 million and represented unrealized losses on investments in equity securities. There were no significant gains or losses on investment securities in the similar period of 2017.</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Other revenues from operations totaled $340 million in the first nine months of 2018, compared with $335 million in the year-earlier period. Other revenues from operations include the following significant components. Letter of credit and other credit-related fees aggregated $90 million and $94 million in 2018 and 2017, respectively. The lower revenues in the 2018 period were largely attributable to a decline in fees for providing letter of credit services. Reflecting lower death benefit proceeds, income from bank owned life insurance totaled $37 million in the first nine months of 2018, compared with $44 million in the similar 2017 period. Merchant discount and credit card fees were $87 million and $88 million in the first nine months of 2018 and 2017, respectively. Insurance-related commissions and other revenues aggregated $36 million and $33 million in 2018 and 2017, respectively. M&amp;T’s investment in BLG resulted in income of $24 million in the first nine months of 2018 and losses of $1 million in the corresponding 2017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4" w:name="page75"/>
    <w:bookmarkEnd w:id="74"/>
    <w:p>
      <w:pPr>
        <w:spacing w:after="0"/>
        <w:rPr>
          <w:sz w:val="20"/>
          <w:szCs w:val="20"/>
          <w:color w:val="auto"/>
        </w:rPr>
      </w:pPr>
      <w:r>
        <w:rPr>
          <w:rFonts w:ascii="Arial" w:cs="Arial" w:eastAsia="Arial" w:hAnsi="Arial"/>
          <w:sz w:val="21"/>
          <w:szCs w:val="21"/>
          <w:b w:val="1"/>
          <w:bCs w:val="1"/>
          <w:color w:val="auto"/>
        </w:rPr>
        <w:t>Other Expense</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Other expense totaled $776 million in the third quarter of 2018, compared with $806 million in the year-earlier quarter and $777 million in the second quarter of 2018. Included in those amounts are expenses considered to be “nonoperating” in nature consisting of amortization of core deposit and other intangible assets of $6 million in the two most recent quarters and $8 million in the third quarter of 2017. Exclusive of those nonoperating expenses, noninterest operating expenses were $770 million in each of the two most recent quarters, compared with $798 million in the third quarter of 2017. The higher level of operating expenses in the third quarter of 2017 reflects a $50 million increase to the reserve for legal matters as of September 30, 2017. As compared with the second quarter of 2018, lower professional services expenses were largely offset by higher salaries and employee benefits costs in the recent quarter. Table 2 provides a reconciliation of other expense to noninterest operating expense.</w:t>
      </w:r>
    </w:p>
    <w:p>
      <w:pPr>
        <w:spacing w:after="0" w:line="170"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Other expense for the first nine months of 2018 totaled $2.49 billion, compared with $2.34 billion in the year-earlier period. Included in those amounts are expenses considered to be “nonoperating” in nature consisting of amortization of core deposit and other intangible assets of $19 million and $24 million in the nine-month periods ended September 30, 2018 and 2017, respectively. Exclusive of those nonoperating expenses, noninterest operating expenses for the first nine months of 2018 increased 6% to $2.47 billion from $2.32 billion in the corresponding 2017 period. That $147 million increase was largely due to a $135 million increase to the reserve for legal matters in 2018’s initial quarter (partially offset by the $50 million increase to that reserve in 2017’s third quarter) and to higher salaries and employee benefits expense.</w:t>
      </w:r>
    </w:p>
    <w:p>
      <w:pPr>
        <w:spacing w:after="0" w:line="19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Salaries and employee benefits expense aggregated $431 million in 2018’s third quarter, compared with $399 million in the year-earlier quarter and $419 million in the second quarter of 2018. During the first nine months of 2018 and 2017, salaries and employee benefits expense totaled $1.31 billion and $1.25 billion, respectively. The higher salaries and employee benefits expenses in the 2018 periods as compared with the corresponding periods in 2017 reflect the impact of merit increases for employees and higher incentive-based compensation. The increase in such expenses in the recent quarter as compared with 2018’s second quarter reflects a higher average employee count during the quarter and the impact of salaries and employee benefits-related initiatives associated with sharing savings resulting from the lower Federal corporate income tax rate in 2018. Salaries and employee benefits expense included stock-based compensation of $10 million in each of the three-month periods ended September 30, 2018 and September 30, 2017, $11 million in the three-month period ended June 30, 2018, and $56 million and $52 million during the nine-month periods ended September 30, 2018 and 2017, respectively. The number of full-time equivalent employees was 16,798 at September 30, 2018, compared with 16,478 at September 30, 2017, 16,456 at December 31, 2017 and 16,760 at June 30, 2018.</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$338 million and $399 million in the quarters ended September 30, 2018 and September 30, 2017, respectively, and $352 million in the second quarter of 2018. On that same basis, such expenses were $1.15 billion and $1.07 billion in the nine-month periods ended September 30, 2018 and 2017, respectively. The decline in nonpersonnel expenses in the recent quarter as compared with the third quarter of 2017 reflected a $50 million increase in the reserve for legal matters in the 2017 period and lower professional services costs. The lower nonpersonnel operating expenses in the recent quarter as compared with the second 2018 quarter were predominantly attributable to lower costs for professional services. The higher level of nonpersonnel operating expenses in the first nine months of 2018 as compared with the corresponding 2017 period resulted primarily from the $135 million addition to the reserve for legal matters in 2018’s second quarter and higher professional services expenses, partially offset by the $50 million addition to the reserve for legal matters in the third quarter of 2017.</w:t>
      </w:r>
    </w:p>
    <w:p>
      <w:pPr>
        <w:spacing w:after="0" w:line="18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51.4% during the recent quarter, compared with 56.0% and 52.4% in the third quarter of 2017 and second quarter of 2018, respectively. The efficiency ratios for the nine-month periods ended September 30, 2018 and 2017 were 55.9% and 55.2%, respectively. The calculation of the efficiency ratio is presented in Table 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5" w:name="page76"/>
    <w:bookmarkEnd w:id="75"/>
    <w:p>
      <w:pPr>
        <w:spacing w:after="0"/>
        <w:rPr>
          <w:sz w:val="20"/>
          <w:szCs w:val="20"/>
          <w:color w:val="auto"/>
        </w:rPr>
      </w:pPr>
      <w:r>
        <w:rPr>
          <w:rFonts w:ascii="Arial" w:cs="Arial" w:eastAsia="Arial" w:hAnsi="Arial"/>
          <w:sz w:val="21"/>
          <w:szCs w:val="21"/>
          <w:b w:val="1"/>
          <w:bCs w:val="1"/>
          <w:color w:val="auto"/>
        </w:rPr>
        <w:t>Income Taxes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provision for income taxes was $170 million in the third quarter of 2018, compared with $225 and $161 million in the year-earlier quarter and the second quarter of 2018, respectively. For the nine-month periods ended September 30, 2018 and 2017, the provision for income taxes was $437 million and $609 million, respectively. The effective tax rates were 24.5%, 38.7% and 24.7% for the quarters ended September 30, 2018, September 30, 2017 and June 30, 2018, respectively, and 24.2% and 35.9% for the nine-month periods ended September 30, 2018 and 2017, respectively. The enactment of the Tax Act that was signed into law on December 22, 2017 impacted the effective tax rates in the first three quarters of 2018. The Tax Act reduced the corporate Federal income tax rate from 35% to 21% effective January 1, 2018 and made other changes to U.S. corporate income tax laws. In addition to the impact of the Tax Act, GAAP requires that excess tax benefits and tax deficiencies associated with share-based compensation be recognized as a discreet component of income tax expense in the income statement. As a result, the Company recognized a reduction of income tax expense of $9 million and $18 million in the initial quarter of 2018 and 2017, respectively. The impact of that requirement in the second and third quarters of 2018 and 2017 was not significant.</w:t>
      </w:r>
    </w:p>
    <w:p>
      <w:pPr>
        <w:spacing w:after="0" w:line="21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9"/>
          <w:szCs w:val="19"/>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The Company’s effective tax rate in future periods will also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Shareholders’ equity was $15.4 billion at September 30, 2018, representing 13.21% of total assets, compared with $16.3 billion or 13.55% a year earlier and $16.3 billion or 13.70% at December 31, 2017.</w:t>
      </w:r>
    </w:p>
    <w:p>
      <w:pPr>
        <w:spacing w:after="0" w:line="6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Included in shareholders’ equity was preferred stock with financial statement carrying values of $1.2 billion at each of September 30, 2018, September 30, 2017 and December 31, 2017. Reflecting the impact of repurchases of M&amp;T’s common stock, common shareholders’ equity was $14.2 billion, or $100.38 per share, at September 30, 2018, compared with $15.1 billion, or $99.70 per share, a year earlier and $15.0 billion, or $100.03 per share, at December 31, 2017. Tangible equity per common share, which excludes goodwill and core deposit and other intangible assets and applicable deferred tax balances, was $67.64 at the end of the recent quarter, compared with $69.02 at September 30, 2017 and $69.08 at December 31, 2017. The Company’s ratio of tangible common equity to tangible assets was 8.53% at September 30, 2018, compared with 9.02% a year earlier and 9.10% at December 31, 2017. Reconciliations of total common shareholders’ equity and tangible common equity and total assets and tangible assets as of each of those respective dates are presented in table 2.</w:t>
      </w:r>
    </w:p>
    <w:p>
      <w:pPr>
        <w:spacing w:after="0" w:line="18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$229 million, or $1.62 per common share, at September 30, 2018, compared with net unrealized losses of $18 million, or $.12 per common share, at September 30, 2017 and $44 million, or $.29 per common share, at December 31, 2017. Changes in unrealized gains and losses on investment securities are predominantly reflective of the impact of changes in interest rates on the values of such securities. Information about unrealized gains and losses as of September 30, 2018 and December 31, 2017 is included in note 2 of Notes to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6" w:name="page77"/>
    <w:bookmarkEnd w:id="76"/>
    <w:p>
      <w:pPr>
        <w:jc w:val="both"/>
        <w:ind w:firstLine="518"/>
        <w:spacing w:after="0" w:line="248" w:lineRule="auto"/>
        <w:rPr>
          <w:sz w:val="20"/>
          <w:szCs w:val="20"/>
          <w:color w:val="auto"/>
        </w:rPr>
      </w:pPr>
      <w:r>
        <w:rPr>
          <w:rFonts w:ascii="Arial" w:cs="Arial" w:eastAsia="Arial" w:hAnsi="Arial"/>
          <w:sz w:val="21"/>
          <w:szCs w:val="21"/>
          <w:color w:val="auto"/>
        </w:rPr>
        <w:t>Reflected in the carrying amount of available-for-sale investment securities at September 30, 2018 were pre-tax effect unrealized gains of $12 million on securities with an amortized cost of $849 million and pre-tax effect unrealized losses of $307 million on securities with an amortized cost of $8.6 billion. Further information concerning the Company’s valuations of available-for-sale investment securities is provided in note 11 of Notes to Financial Statements.</w:t>
      </w:r>
    </w:p>
    <w:p>
      <w:pPr>
        <w:spacing w:after="0" w:line="18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16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As of September 30, 2018, based on a review of each of the securities in the investment securities portfolio, the Company concluded that the declines in the values of any securities containing an unrealized loss were temporary and that any other-than-temporary impairment charges were not appropriate. As of September 30, 2018,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11 of the Notes to Financial Statements.</w:t>
      </w:r>
    </w:p>
    <w:p>
      <w:pPr>
        <w:spacing w:after="0" w:line="1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2018 and December 31, 2017, the Company had in its held-to-maturity portfolio privately issued mortgage-backed securities with an amortized cost basis of $118 million and $136 million, respectively, and a fair value of $105 and $111 million, respectively. At September 30, 2018, 84% of the mortgage-backed securities were in the most senior tranche of the securitization structure with 18% being independently rated as investment grade. The mortgage-backed securities are generally collateralized by residential and small-balance commercial real estate loans originated between 2004 and 2008 and had a weighted-average credit enhancement of 18% at September 30, 2018,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33% and 69%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September 30, 2018, those privately issued mortgage-backed securities were not other-than-temporarily impaired. Nevertheless, it 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21"/>
          <w:szCs w:val="21"/>
          <w:color w:val="auto"/>
        </w:rPr>
        <w:t>possible that adverse changes in the estimated future performance of mortgage loan collateral underlying such securities could impact the Company’s conclusions.</w:t>
      </w:r>
    </w:p>
    <w:p>
      <w:pPr>
        <w:spacing w:after="0" w:line="17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$283 million, or $2.00 per common share, at September 30, 2018, $260 million, or $1.72 per common share, at September 30, 2017 and $305 million, or $2.03 per common share, at December 31, 2017.</w:t>
      </w:r>
    </w:p>
    <w:p>
      <w:pPr>
        <w:spacing w:after="0" w:line="150" w:lineRule="exact"/>
        <w:rPr>
          <w:sz w:val="20"/>
          <w:szCs w:val="20"/>
          <w:color w:val="auto"/>
        </w:rPr>
      </w:pPr>
    </w:p>
    <w:p>
      <w:pPr>
        <w:jc w:val="both"/>
        <w:ind w:firstLine="471"/>
        <w:spacing w:after="0" w:line="258" w:lineRule="auto"/>
        <w:rPr>
          <w:sz w:val="20"/>
          <w:szCs w:val="20"/>
          <w:color w:val="auto"/>
        </w:rPr>
      </w:pPr>
      <w:r>
        <w:rPr>
          <w:rFonts w:ascii="Arial" w:cs="Arial" w:eastAsia="Arial" w:hAnsi="Arial"/>
          <w:sz w:val="20"/>
          <w:szCs w:val="20"/>
          <w:color w:val="auto"/>
        </w:rPr>
        <w:t>On June 28, 2018, M&amp;T announced that the Federal Reserve did not object to M&amp;T’s revised 2018 Capital Plan. The plan includes the repurchase of up to $1.8 billion of common shares during the four-quarter period beginning on July 1, 2018 and an increase in the quarterly common stock dividend in the third quarter of 2018 of up to $.20 per share to $1.00 per share. M&amp;T may also continue to pay dividends and interest on other equity and debt instruments included in regulatory capital, including preferred stock, trust preferred securities and subordinated debt that were outstanding at December 31, 2017, consistent with the contractual terms of those instruments. Dividends are subject to declaration by M&amp;T’s Board of Directors. Furthermore, on July 17, 2018, M&amp;T’s Board of Directors authorized a new stock repurchase program to repurchase up to $1.8 billion of common shares subject to all applicable regulatory reporting limitations, including those set forth in M&amp;T’s revised 2018 Capital Plan.</w:t>
      </w:r>
    </w:p>
    <w:p>
      <w:pPr>
        <w:spacing w:after="0" w:line="181" w:lineRule="exact"/>
        <w:rPr>
          <w:sz w:val="20"/>
          <w:szCs w:val="20"/>
          <w:color w:val="auto"/>
        </w:rPr>
      </w:pPr>
    </w:p>
    <w:p>
      <w:pPr>
        <w:jc w:val="both"/>
        <w:ind w:firstLine="471"/>
        <w:spacing w:after="0" w:line="283" w:lineRule="auto"/>
        <w:rPr>
          <w:sz w:val="20"/>
          <w:szCs w:val="20"/>
          <w:color w:val="auto"/>
        </w:rPr>
      </w:pPr>
      <w:r>
        <w:rPr>
          <w:rFonts w:ascii="Arial" w:cs="Arial" w:eastAsia="Arial" w:hAnsi="Arial"/>
          <w:sz w:val="19"/>
          <w:szCs w:val="19"/>
          <w:color w:val="auto"/>
        </w:rPr>
        <w:t>On February 5, 2018, M&amp;T received notice of non-objection from the Federal Reserve to repurchase an additional $745 million of shares of its common stock by June 30, 2018. This amount was in addition to the previously announced $900 million of common stock authorized for repurchase, which was filed with the Federal Reserve in the 2017 Capital Plan. The additional repurchases of up to $745 million have been made under the terms of a stock repurchase program approved by M&amp;T’s Board of Directors on February 21, 2018.</w:t>
      </w:r>
    </w:p>
    <w:p>
      <w:pPr>
        <w:spacing w:after="0" w:line="157" w:lineRule="exact"/>
        <w:rPr>
          <w:sz w:val="20"/>
          <w:szCs w:val="20"/>
          <w:color w:val="auto"/>
        </w:rPr>
      </w:pPr>
    </w:p>
    <w:p>
      <w:pPr>
        <w:jc w:val="both"/>
        <w:ind w:firstLine="471"/>
        <w:spacing w:after="0" w:line="283" w:lineRule="auto"/>
        <w:rPr>
          <w:sz w:val="20"/>
          <w:szCs w:val="20"/>
          <w:color w:val="auto"/>
        </w:rPr>
      </w:pPr>
      <w:r>
        <w:rPr>
          <w:rFonts w:ascii="Arial" w:cs="Arial" w:eastAsia="Arial" w:hAnsi="Arial"/>
          <w:sz w:val="19"/>
          <w:szCs w:val="19"/>
          <w:color w:val="auto"/>
        </w:rPr>
        <w:t>During the third quarter of 2018, M&amp;T repurchased 2,844,159 common shares for $498 million and in 2017’s third quarter M&amp;T repurchased 1,382,746 common shares for $225 million. In total, M&amp;T repurchased 9,235,817 common shares during the first nine months of 2018 for an aggregate cost of $1.7 billion and in the year-earlier period M&amp;T repurchased 6,025,749 shares of common stock at a total cost of $982 million. During October 2018, M&amp;T repurchased 1,108,508 common shares for $176 million.</w:t>
      </w:r>
    </w:p>
    <w:p>
      <w:pPr>
        <w:spacing w:after="0" w:line="184"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20"/>
          <w:szCs w:val="20"/>
          <w:color w:val="auto"/>
        </w:rPr>
        <w:t xml:space="preserve">Also during the recent quarter, M&amp;T’s Board of Directors authorized an increase in the quarterly common stock dividend to $1.00 per share in that quarter from $.80 per common share in the prior quarter. In accordance with the 2017 Capital Plan, during the second quarter of 2018, M&amp;T’s Board of Directors authorized an increase in the quarterly common stock dividend to $.80 per common share in that quarter from the previous rate of $.75 per common share. Cash dividends declared on M&amp;T’s common stock aggregated $143 million in the recent quarter, compared with $114 million and $116 million in the quarters ended September 30, 2017 and June 30, 2018, respectively. Common stock cash dividends during the nine-month periods ended September 30, 2018 and 2017 were $371 million and $344 million, respectively. Cash dividends declared on preferred stock aggregated $18 million in each of the third quarters of 2018 and 2017 and </w:t>
      </w:r>
      <w:r>
        <w:rPr>
          <w:rFonts w:ascii="Arial" w:cs="Arial" w:eastAsia="Arial" w:hAnsi="Arial"/>
          <w:sz w:val="16"/>
          <w:szCs w:val="16"/>
          <w:color w:val="auto"/>
        </w:rPr>
        <w:t>the</w:t>
      </w:r>
      <w:r>
        <w:rPr>
          <w:rFonts w:ascii="Arial" w:cs="Arial" w:eastAsia="Arial" w:hAnsi="Arial"/>
          <w:sz w:val="20"/>
          <w:szCs w:val="20"/>
          <w:color w:val="auto"/>
        </w:rPr>
        <w:t xml:space="preserve"> second quarter of 2018. Preferred stock dividends were $54 million and $55 million for the nine-month periods ended September 30, 2018 and 2017, respectively.</w:t>
      </w:r>
    </w:p>
    <w:p>
      <w:pPr>
        <w:spacing w:after="0" w:line="185"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37"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68" w:lineRule="exact"/>
        <w:rPr>
          <w:rFonts w:ascii="Arial" w:cs="Arial" w:eastAsia="Arial" w:hAnsi="Arial"/>
          <w:sz w:val="21"/>
          <w:szCs w:val="21"/>
          <w:color w:val="auto"/>
        </w:rPr>
      </w:pPr>
    </w:p>
    <w:p>
      <w:pPr>
        <w:ind w:left="760" w:hanging="374"/>
        <w:spacing w:after="0" w:line="263"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4" w:lineRule="exact"/>
        <w:rPr>
          <w:rFonts w:ascii="Arial" w:cs="Arial" w:eastAsia="Arial" w:hAnsi="Arial"/>
          <w:sz w:val="21"/>
          <w:szCs w:val="21"/>
          <w:color w:val="auto"/>
        </w:rPr>
      </w:pPr>
    </w:p>
    <w:p>
      <w:pPr>
        <w:ind w:left="760" w:right="20" w:hanging="374"/>
        <w:spacing w:after="0" w:line="263"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4" w:lineRule="exact"/>
        <w:rPr>
          <w:rFonts w:ascii="Arial" w:cs="Arial" w:eastAsia="Arial" w:hAnsi="Arial"/>
          <w:sz w:val="21"/>
          <w:szCs w:val="21"/>
          <w:color w:val="auto"/>
        </w:rPr>
      </w:pPr>
    </w:p>
    <w:p>
      <w:pPr>
        <w:ind w:left="760" w:hanging="374"/>
        <w:spacing w:after="0" w:line="263"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171" w:lineRule="exact"/>
        <w:rPr>
          <w:rFonts w:ascii="Arial" w:cs="Arial" w:eastAsia="Arial" w:hAnsi="Arial"/>
          <w:sz w:val="21"/>
          <w:szCs w:val="21"/>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8" w:name="page79"/>
    <w:bookmarkEnd w:id="78"/>
    <w:p>
      <w:pPr>
        <w:jc w:val="both"/>
        <w:ind w:firstLine="518"/>
        <w:spacing w:after="0" w:line="252" w:lineRule="auto"/>
        <w:rPr>
          <w:sz w:val="20"/>
          <w:szCs w:val="20"/>
          <w:color w:val="auto"/>
        </w:rPr>
      </w:pPr>
      <w:r>
        <w:rPr>
          <w:rFonts w:ascii="Arial" w:cs="Arial" w:eastAsia="Arial" w:hAnsi="Arial"/>
          <w:sz w:val="21"/>
          <w:szCs w:val="21"/>
          <w:color w:val="auto"/>
        </w:rPr>
        <w:t>In addition, capital regulations provide for the phase-in of a “capital conservation buffer” composed entirely of CET1 on top of these minimum risk-weighted asset ratios. When fully phased-in on January 1, 2019 the capital conservation buffer will be 2.5%. For 2018, the phase-in transition portion of that buffer is 1.875%.</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September 30, 2018 are presented in the accompanying table.</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M&amp;T</w:t>
            </w: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Wilmington</w:t>
            </w:r>
          </w:p>
        </w:tc>
      </w:tr>
      <w:tr>
        <w:trPr>
          <w:trHeight w:val="167"/>
        </w:trPr>
        <w:tc>
          <w:tcPr>
            <w:tcW w:w="53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(Consolidated)</w:t>
            </w:r>
          </w:p>
        </w:tc>
        <w:tc>
          <w:tcPr>
            <w:tcW w:w="1300" w:type="dxa"/>
            <w:vAlign w:val="bottom"/>
            <w:gridSpan w:val="2"/>
          </w:tcPr>
          <w:p>
            <w:pPr>
              <w:ind w:left="360"/>
              <w:spacing w:after="0"/>
              <w:rPr>
                <w:sz w:val="20"/>
                <w:szCs w:val="20"/>
                <w:color w:val="auto"/>
              </w:rPr>
            </w:pPr>
            <w:r>
              <w:rPr>
                <w:rFonts w:ascii="Arial" w:cs="Arial" w:eastAsia="Arial" w:hAnsi="Arial"/>
                <w:sz w:val="14"/>
                <w:szCs w:val="14"/>
                <w:color w:val="auto"/>
              </w:rPr>
              <w:t>Bank</w:t>
            </w: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Trust, N.A.</w:t>
            </w:r>
          </w:p>
        </w:tc>
      </w:tr>
      <w:tr>
        <w:trPr>
          <w:trHeight w:val="452"/>
        </w:trPr>
        <w:tc>
          <w:tcPr>
            <w:tcW w:w="53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11.07%</w:t>
            </w:r>
          </w:p>
        </w:tc>
        <w:tc>
          <w:tcPr>
            <w:tcW w:w="260" w:type="dxa"/>
            <w:vAlign w:val="bottom"/>
          </w:tcPr>
          <w:p>
            <w:pPr>
              <w:spacing w:after="0"/>
              <w:rPr>
                <w:sz w:val="24"/>
                <w:szCs w:val="24"/>
                <w:color w:val="auto"/>
              </w:rPr>
            </w:pPr>
          </w:p>
        </w:tc>
        <w:tc>
          <w:tcPr>
            <w:tcW w:w="10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68.27%</w:t>
            </w:r>
          </w:p>
        </w:tc>
        <w:tc>
          <w:tcPr>
            <w:tcW w:w="80" w:type="dxa"/>
            <w:vAlign w:val="bottom"/>
          </w:tcPr>
          <w:p>
            <w:pPr>
              <w:spacing w:after="0"/>
              <w:rPr>
                <w:sz w:val="24"/>
                <w:szCs w:val="24"/>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11.75%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11.07%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68.27%</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14.10%</w:t>
            </w:r>
          </w:p>
        </w:tc>
        <w:tc>
          <w:tcPr>
            <w:tcW w:w="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26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68.74%</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10.11%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9.55%</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14.52%</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13 of Notes to Financial Statements. Each reportable segment benefited from a lower corporate Federal income tax rate in the first three quarters of 2018 due to the enactment of the Tax Act, as compared with the 2017 periods.</w:t>
      </w:r>
    </w:p>
    <w:p>
      <w:pPr>
        <w:spacing w:after="0" w:line="189" w:lineRule="exact"/>
        <w:rPr>
          <w:sz w:val="20"/>
          <w:szCs w:val="20"/>
          <w:color w:val="auto"/>
        </w:rPr>
      </w:pPr>
    </w:p>
    <w:p>
      <w:pPr>
        <w:jc w:val="both"/>
        <w:ind w:firstLine="471"/>
        <w:spacing w:after="0" w:line="271" w:lineRule="auto"/>
        <w:rPr>
          <w:sz w:val="20"/>
          <w:szCs w:val="20"/>
          <w:color w:val="auto"/>
        </w:rPr>
      </w:pPr>
      <w:r>
        <w:rPr>
          <w:rFonts w:ascii="Arial" w:cs="Arial" w:eastAsia="Arial" w:hAnsi="Arial"/>
          <w:sz w:val="19"/>
          <w:szCs w:val="19"/>
          <w:color w:val="auto"/>
        </w:rPr>
        <w:t>The Business Banking segment recorded net income of $44 million in the third quarter of 2018, compared with $31 million in the third quarter of 2017 and $43 million in the second quarter of 2018. As compared with 2017’s third quarter, the recent quarter’s higher net income primarily reflected a $10 million increase in net interest income that resulted largely from a widening of the net interest margin on deposits of 45 basis points and an increase in average outstanding deposit balances of $133 million, and the lower income tax rate. The modest increase from the second quarter of 2018 reflected a $3 million rise in net interest income, resulting largely from a 6 basis point widening of the net interest margin on deposits and one additional day in the recent quarter, and a $2 million decrease in miscellaneous expenses. Those favorable factors were partially offset by a $5 million increase in the provision for credit losses, due to higher net charge-offs. Net income for the Business Banking segment totaled $124 million during the first nine months of 2018, compared with $85 million in the corresponding 2017 period. That 46% year-over-year increase was predominantly attributable to a $28 million rise in net interest income, a $5 million decline in the provision for credit losses, due largely to lower net charge-offs, and the lower income tax rate in 2018. The improvement in net interest income reflected a widening of the net interest margin on deposits of 38 basis points and an increase in average outstanding deposit balances of $128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9" w:name="page80"/>
    <w:bookmarkEnd w:id="79"/>
    <w:p>
      <w:pPr>
        <w:jc w:val="both"/>
        <w:ind w:firstLine="471"/>
        <w:spacing w:after="0" w:line="270" w:lineRule="auto"/>
        <w:rPr>
          <w:sz w:val="20"/>
          <w:szCs w:val="20"/>
          <w:color w:val="auto"/>
        </w:rPr>
      </w:pPr>
      <w:r>
        <w:rPr>
          <w:rFonts w:ascii="Arial" w:cs="Arial" w:eastAsia="Arial" w:hAnsi="Arial"/>
          <w:sz w:val="19"/>
          <w:szCs w:val="19"/>
          <w:color w:val="auto"/>
        </w:rPr>
        <w:t>Net income earned by the Commercial Banking segment totaled $148 million during the recent quarter, up from $110 million in the year-earlier quarter and $126 million in the second quarter of 2018. As compared with the third quarter of 2017, favorable factors in the recent quarter included a $10 million decrease in the provision for credit losses, primarily due to higher recoveries of previously charged-off loans, an $8 million increase in credit-related fees, largely due to higher loan syndication fees, and a $4 million rise in net interest income that reflected a 70 basis point widening of the net interest margin on deposits, offset, in part, by a narrowing of the net interest margin on loans of 4 basis points. Also contributing to the higher net income in the recent quarter was the lower income tax rate. Those favorable factors were partially offset by a $7 million increase in centrally-allocated costs largely associated with data processing, risk management and other support services provided to the Commercial Banking Segment. The 17% rise in net income in the recent quarter as compared with the second quarter of 2018 was driven by a $17 million decrease in the provision for credit losses, largely due to a $13 million recovery of a previously charged-off loan, a $7 million increase in credit-related fees, mainly due to higher loan syndication fees, and higher net interest income of $6 million, reflecting a 6 basis point widening of the net interest margin on loans. Through the first nine months of the year, net income for the Commercial Banking segment totaled $400 million in 2018, compared with $328 million in 2017. That rise in net income was predominantly driven by the lower income tax rate in 2018. Pre-tax income declined year-over-year by $9 million, largely resulting from an $18 million increase in centrally-allocated costs, largely associated with data processing, risk management and other support services provided to the Commercial Banking segment, partially offset by a $9 million decline in the provision for credit losses mainly due to the noted recovery.</w:t>
      </w:r>
    </w:p>
    <w:p>
      <w:pPr>
        <w:spacing w:after="0" w:line="168" w:lineRule="exact"/>
        <w:rPr>
          <w:sz w:val="20"/>
          <w:szCs w:val="20"/>
          <w:color w:val="auto"/>
        </w:rPr>
      </w:pPr>
    </w:p>
    <w:p>
      <w:pPr>
        <w:jc w:val="both"/>
        <w:ind w:firstLine="471"/>
        <w:spacing w:after="0" w:line="271" w:lineRule="auto"/>
        <w:rPr>
          <w:sz w:val="20"/>
          <w:szCs w:val="20"/>
          <w:color w:val="auto"/>
        </w:rPr>
      </w:pPr>
      <w:r>
        <w:rPr>
          <w:rFonts w:ascii="Arial" w:cs="Arial" w:eastAsia="Arial" w:hAnsi="Arial"/>
          <w:sz w:val="19"/>
          <w:szCs w:val="19"/>
          <w:color w:val="auto"/>
        </w:rPr>
        <w:t>The Commercial Real Estate segment contributed net income of $116 million in the third quarter of 2018, compared with $97 million in the similar 2017 period and $113 million in the second quarter of 2018. The 20% improvement in net income as compared with the third quarter of 2017 reflected the lower income tax rate in 2018. Pre-tax income in the 2018’s third quarter was modestly lower than the year-earlier quarter. The $4 million increase in the recent quarter’s net income as compared with the immediately preceding quarter was largely the result of a $6 million rise in net interest income and higher credit-related fees of $4 million. The increase in net interest income resulted from a 3 basis point widening of the net interest margin on loans and one additional day in the current quarter. A $5 million increase in the provision for credit losses partially offset the noted favorable factors. Net income for the Commercial Real Estate segment was $337 million during the nine-month period ended September 30, 2018, up 25% from $269 million in the corresponding 2017 period. That improvement resulted from a rise in net interest income of $12 million, decreased FDIC assessments of $9 million and the lower income tax rate in 2018. The increase in net interest income resulted from a widening of the net interest margin on deposits of 51 basis points, partially offset by a narrowing of the net interest margin on assets of 7 basis points. The favorable factors were offset, in part, by a $5 million increase in personnel-related expenses.</w:t>
      </w:r>
    </w:p>
    <w:p>
      <w:pPr>
        <w:spacing w:after="0" w:line="169" w:lineRule="exact"/>
        <w:rPr>
          <w:sz w:val="20"/>
          <w:szCs w:val="20"/>
          <w:color w:val="auto"/>
        </w:rPr>
      </w:pPr>
    </w:p>
    <w:p>
      <w:pPr>
        <w:jc w:val="both"/>
        <w:ind w:firstLine="471"/>
        <w:spacing w:after="0" w:line="270" w:lineRule="auto"/>
        <w:rPr>
          <w:sz w:val="20"/>
          <w:szCs w:val="20"/>
          <w:color w:val="auto"/>
        </w:rPr>
      </w:pPr>
      <w:r>
        <w:rPr>
          <w:rFonts w:ascii="Arial" w:cs="Arial" w:eastAsia="Arial" w:hAnsi="Arial"/>
          <w:sz w:val="19"/>
          <w:szCs w:val="19"/>
          <w:color w:val="auto"/>
        </w:rPr>
        <w:t>Net income recorded by the Discretionary Portfolio segment aggregated $40 million during the three-month period ended September 30, 2018, compared with $32 million recorded in the year-earlier period and $29 million earned in the second quarter of 2018. The 26% rise in the recent quarter’s net income as compared with the third quarter of 2017 was due to a decline in the provision for credit losses, primarily due to the favorable impact from the Company’s allocation methodologies for the provision for credit losses associated with acquired loans, and the lower income tax rate in 2018. Those favorable factors were offset, in part, by a $9 million decline in net interest income and $3 million of valuation losses on equity securities. The lower net interest income reflected a narrowing of the net interest margin on loans of 5 basis points and lower average loan balances of $2.6 billion, reflecting ongoing repayments of loans obtained in the acquisition of Hudson City. The improvement in net income in the recent quarter as compared with the immediately preceding quarter also reflected the lower provision for credit losses associated with acquired loan performance, partially offset by a $5 million decrease in net interest income, reflecting a narrowing of the net interest margin on loans of 6 basis points, and valuation losses on equity securities of $6 million. Net income for this segment for the first nine months totaled $89 million in 2018 and $95 million in 2017. The unfavorable factors contributing to that decrease included: a $35 million decline in net interest income due largely to lower average loan balances of $2.7 billion, and $10 million of unrealized losses on equity securities, higher personnel-related costs of $7 million and $8 million of valuation losses on interest rate floor contracts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0" w:name="page81"/>
    <w:bookmarkEnd w:id="80"/>
    <w:p>
      <w:pPr>
        <w:jc w:val="both"/>
        <w:spacing w:after="0" w:line="252" w:lineRule="auto"/>
        <w:rPr>
          <w:sz w:val="20"/>
          <w:szCs w:val="20"/>
          <w:color w:val="auto"/>
        </w:rPr>
      </w:pPr>
      <w:r>
        <w:rPr>
          <w:rFonts w:ascii="Arial" w:cs="Arial" w:eastAsia="Arial" w:hAnsi="Arial"/>
          <w:sz w:val="21"/>
          <w:szCs w:val="21"/>
          <w:color w:val="auto"/>
        </w:rPr>
        <w:t>2018. Partially offsetting the above factors were an $18 million decline in the provision for credit losses, largely due to the favorable impact from the Company’s allocation methodologies and lower net charge-offs, an $8 million decrease in costs associated with foreclosed properties, and a $5 million decline in FDIC assessments and the lower income tax rate.</w:t>
      </w:r>
    </w:p>
    <w:p>
      <w:pPr>
        <w:spacing w:after="0" w:line="184" w:lineRule="exact"/>
        <w:rPr>
          <w:sz w:val="20"/>
          <w:szCs w:val="20"/>
          <w:color w:val="auto"/>
        </w:rPr>
      </w:pPr>
    </w:p>
    <w:p>
      <w:pPr>
        <w:jc w:val="both"/>
        <w:ind w:firstLine="471"/>
        <w:spacing w:after="0" w:line="271" w:lineRule="auto"/>
        <w:rPr>
          <w:sz w:val="20"/>
          <w:szCs w:val="20"/>
          <w:color w:val="auto"/>
        </w:rPr>
      </w:pPr>
      <w:r>
        <w:rPr>
          <w:rFonts w:ascii="Arial" w:cs="Arial" w:eastAsia="Arial" w:hAnsi="Arial"/>
          <w:sz w:val="19"/>
          <w:szCs w:val="19"/>
          <w:color w:val="auto"/>
        </w:rPr>
        <w:t>The Residential Mortgage Banking segment contributed net income of $13 million in the recent quarter, compared with $14 million in the third quarter of 2017 and $15 million in the second quarter of 2018. The modest recent quarter decline from the third quarter of 2017 was largely driven by a $6 million decrease in revenues associated with mortgage origination and sales activities (including intersegment revenues) and a $3 million decrease in net interest income that reflected a 28 basis point narrowing of the net interest margin on loans. Factors offsetting the unfavorable factors included lower servicing-related costs (including intersegment costs) of $4 million and the lower income tax rate in 2018. As compared with the second quarter of 2018, the lower net income in the recent quarter reflected lower revenues from servicing residential real estate loans (including intersegment revenues) of $2 million. The Residential Mortgage Banking segment earned $44 million in the first nine months of 2018, compared with $37 million in the similar period of 2017. The most significant factor contributing to that improvement was the lower income tax rate in 2018. Lower revenues associated with mortgage origination and sales activities (including intersegment revenues) of $14 million and an $11 million decline in net interest income, reflecting lower average deposit balances of $2.1 billion and a narrowing of the net interest margin on loans of 42 basis points, were partially offset by higher revenues from loan servicing activities.</w:t>
      </w:r>
    </w:p>
    <w:p>
      <w:pPr>
        <w:spacing w:after="0" w:line="169" w:lineRule="exact"/>
        <w:rPr>
          <w:sz w:val="20"/>
          <w:szCs w:val="20"/>
          <w:color w:val="auto"/>
        </w:rPr>
      </w:pPr>
    </w:p>
    <w:p>
      <w:pPr>
        <w:jc w:val="both"/>
        <w:ind w:firstLine="471"/>
        <w:spacing w:after="0" w:line="270" w:lineRule="auto"/>
        <w:rPr>
          <w:sz w:val="20"/>
          <w:szCs w:val="20"/>
          <w:color w:val="auto"/>
        </w:rPr>
      </w:pPr>
      <w:r>
        <w:rPr>
          <w:rFonts w:ascii="Arial" w:cs="Arial" w:eastAsia="Arial" w:hAnsi="Arial"/>
          <w:sz w:val="19"/>
          <w:szCs w:val="19"/>
          <w:color w:val="auto"/>
        </w:rPr>
        <w:t>Net income for the Retail Banking segment totaled $142 million in the third quarter of 2018, compared with $96 million in the corresponding quarter of 2017 and $143 million in the second quarter of 2018. As compared with the third quarter of 2017, a $37 million rise in net interest income, and the impact of the lower income tax rate in 2018 were partially offset by an $8 million increase in centrally-allocated costs, largely associated with data processing, risk management and other support services provided to the Retail Banking segment. The higher net interest income reflected a 52 basis point widening of the net interest margin on deposits partially offset by lower average deposit balances of $2.7 billion. The modest decline in net income in the recent quarter as compared with the second quarter of 2018 reflected increased equipment and net occupancy costs of $5 million and a $4 million increase in advertising and promotional expenses that were offset by an increase in net interest income of $5 million. That increase reflected a widening of the net interest margin on deposits of 6 basis points and one additional day in the recent quarter, partially offset by lower average deposit balances of $980 million. The Retail Banking segment recorded net income of $408 million and $283 million in the first nine months of 2018 and 2017, respectively. An increase in net interest income of $101 million, lower credit card and merchant expenses of $10 million and the lower income tax rate in 2018 were partially offset by a $21 million increase in centrally-allocated costs, associated with data processing, risk management and other support services provided to the Retail Banking Segment and higher personnel-related expenses of $7 million. The increase in net interest income reflected a 47 basis point widening of the net interest margin on deposits, offset by lower average deposit balances of $3.1 billion.</w:t>
      </w:r>
    </w:p>
    <w:p>
      <w:pPr>
        <w:spacing w:after="0" w:line="171" w:lineRule="exact"/>
        <w:rPr>
          <w:sz w:val="20"/>
          <w:szCs w:val="20"/>
          <w:color w:val="auto"/>
        </w:rPr>
      </w:pPr>
    </w:p>
    <w:p>
      <w:pPr>
        <w:jc w:val="both"/>
        <w:ind w:firstLine="471"/>
        <w:spacing w:after="0" w:line="271"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results and distributions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includes the ICS and WAS business activities. The various components of the “All Other” category resulted in net income of $23 million in each of the two most recent quarters of 2018 and a net loss totaling $24 million in the third quarter of 2017. As compared with the third quarter of 2017, the higher net income in the recent quarter resulted from decreased legal-related and professional services costs of $58 million, reflecting an addition to the reserve for legal matters of $50 million in the 2017 quarter, higher trust income of $9 million, and the favorable impact from the Company’s allocation methodologies for internal transfers for funding charges and credits associated with earning assets and interest-bearing liabilities of the Company’s reportable segments. Those favorable factors were partially offset by higher personnel-related costs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20"/>
          <w:szCs w:val="20"/>
          <w:color w:val="auto"/>
        </w:rPr>
        <w:t>$22 million and the impact from the Company’s allocation methodologies for the provision for credit losses. As compared with the second quarter of 2018, higher personnel-related costs of $8 million were offset by the favorable impact from the Company’s allocation methodologies for internal transfers for funding charges and credits associated with earning assets and interest-bearing liabilities of the Company’s reportable segments. The “All Other” category had net losses of $30 million and $12 million for the nine-month periods ended September 30, 2018 and 2017, respectively. The increased net loss in the current year reflected a $135 million addition to the reserve for legal matters in 2018, higher personnel-related costs of $41 million, a $16 million increase in technology-related expenses and a $17 million increase in professional services costs. Partially offsetting those factors was the favorable impact from the Company’s allocation methodologies for internal transfers for funding charges and credits associated with earning assets and interest-bearing liabilities of the Company’s reportable segments, a $50 million addition to the reserve for legal matters in 2017, higher trust income of $31 million and $23 million of earnings from BLG in 2018</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8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71"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Table 1</w:t>
            </w:r>
          </w:p>
        </w:tc>
        <w:tc>
          <w:tcPr>
            <w:tcW w:w="0" w:type="dxa"/>
            <w:vAlign w:val="bottom"/>
          </w:tcPr>
          <w:p>
            <w:pPr>
              <w:spacing w:after="0"/>
              <w:rPr>
                <w:sz w:val="1"/>
                <w:szCs w:val="1"/>
                <w:color w:val="auto"/>
              </w:rPr>
            </w:pPr>
          </w:p>
        </w:tc>
      </w:tr>
      <w:tr>
        <w:trPr>
          <w:trHeight w:val="337"/>
        </w:trPr>
        <w:tc>
          <w:tcPr>
            <w:tcW w:w="4680" w:type="dxa"/>
            <w:vAlign w:val="bottom"/>
          </w:tcPr>
          <w:p>
            <w:pPr>
              <w:spacing w:after="0"/>
              <w:rPr>
                <w:sz w:val="20"/>
                <w:szCs w:val="20"/>
                <w:color w:val="auto"/>
              </w:rPr>
            </w:pPr>
            <w:r>
              <w:rPr>
                <w:rFonts w:ascii="Arial" w:cs="Arial" w:eastAsia="Arial" w:hAnsi="Arial"/>
                <w:sz w:val="20"/>
                <w:szCs w:val="20"/>
                <w:color w:val="auto"/>
              </w:rPr>
              <w:t>QUARTERLY TRENDS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86"/>
              </w:rPr>
              <w:t>2018 Quarters</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6"/>
              </w:rPr>
              <w:t>2017 Quarters</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color w:val="auto"/>
              </w:rPr>
              <w:t>Third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Second</w:t>
            </w:r>
          </w:p>
        </w:tc>
        <w:tc>
          <w:tcPr>
            <w:tcW w:w="22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Fourth</w:t>
            </w:r>
          </w:p>
        </w:tc>
        <w:tc>
          <w:tcPr>
            <w:tcW w:w="30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Third</w:t>
            </w:r>
          </w:p>
        </w:tc>
        <w:tc>
          <w:tcPr>
            <w:tcW w:w="30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Second</w:t>
            </w:r>
          </w:p>
        </w:tc>
        <w:tc>
          <w:tcPr>
            <w:tcW w:w="300" w:type="dxa"/>
            <w:vAlign w:val="bottom"/>
          </w:tcPr>
          <w:p>
            <w:pPr>
              <w:spacing w:after="0"/>
              <w:rPr>
                <w:sz w:val="13"/>
                <w:szCs w:val="13"/>
                <w:color w:val="auto"/>
              </w:rPr>
            </w:pPr>
          </w:p>
        </w:tc>
        <w:tc>
          <w:tcPr>
            <w:tcW w:w="680" w:type="dxa"/>
            <w:vAlign w:val="bottom"/>
          </w:tcPr>
          <w:p>
            <w:pPr>
              <w:jc w:val="right"/>
              <w:ind w:right="156"/>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i w:val="1"/>
                <w:iCs w:val="1"/>
                <w:color w:val="auto"/>
              </w:rPr>
              <w:t>Amounts in thousands, except per share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Interest income (taxable-equivalent basis)</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9"/>
              </w:rPr>
              <w:t>1,173,108</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1,134,302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1,086,959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1,083,146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1,066,038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1,039,149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1,014,032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138,337</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120,118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106,633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102,689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100,076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92,213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91,773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1,034,771</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1,014,184</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980,326</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980,457</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965,962</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946,936</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922,259</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Less: provision for credit losses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16,000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43,000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31,000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30,000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52,000</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55,000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459,294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457,414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458,696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484,053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459,429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460,816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446,845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Less: other expense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775,979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776,577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933,344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795,813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806,025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750,635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787,852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702,086</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660,021</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462,678</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637,697</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589,366</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605,117</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526,252</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Applicable income taxes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170,262</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161,464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105,259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306,287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224,615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215,328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169,326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Taxable-equivalent adjustment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5,733</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5,397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4,809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9,007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8,828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8,736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7,999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526,091</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493,160</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352,610</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322,403</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355,923</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381,053</w:t>
            </w:r>
          </w:p>
        </w:tc>
        <w:tc>
          <w:tcPr>
            <w:tcW w:w="30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348,927</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505,365</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472,600</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332,749</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302,486</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335,804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360,662</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328,567</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Per common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 earnings</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3.26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2.01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2.36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2.13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Diluted earnings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3.53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2.23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2.01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2.21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2.35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2.12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Cash dividends</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.80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Average common shares outstanding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142,822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144,825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148,688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150,063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151,347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152,857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154,427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6"/>
                <w:szCs w:val="16"/>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142,976</w:t>
            </w:r>
          </w:p>
        </w:tc>
        <w:tc>
          <w:tcPr>
            <w:tcW w:w="240" w:type="dxa"/>
            <w:vAlign w:val="bottom"/>
          </w:tcPr>
          <w:p>
            <w:pPr>
              <w:spacing w:after="0"/>
              <w:rPr>
                <w:sz w:val="16"/>
                <w:szCs w:val="16"/>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144,998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148,905</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150,348</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151,691</w:t>
            </w:r>
          </w:p>
        </w:tc>
        <w:tc>
          <w:tcPr>
            <w:tcW w:w="30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153,276</w:t>
            </w:r>
          </w:p>
        </w:tc>
        <w:tc>
          <w:tcPr>
            <w:tcW w:w="300" w:type="dxa"/>
            <w:vAlign w:val="bottom"/>
          </w:tcPr>
          <w:p>
            <w:pPr>
              <w:spacing w:after="0"/>
              <w:rPr>
                <w:sz w:val="16"/>
                <w:szCs w:val="16"/>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154,949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6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1.80</w:t>
            </w:r>
          </w:p>
        </w:tc>
        <w:tc>
          <w:tcPr>
            <w:tcW w:w="2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1.70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w:t>
            </w:r>
          </w:p>
        </w:tc>
        <w:tc>
          <w:tcPr>
            <w:tcW w:w="30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1.18</w:t>
            </w:r>
          </w:p>
        </w:tc>
        <w:tc>
          <w:tcPr>
            <w:tcW w:w="30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1.27</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w:t>
            </w:r>
          </w:p>
        </w:tc>
        <w:tc>
          <w:tcPr>
            <w:tcW w:w="32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Average common shareholders’ equity</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14.08</w:t>
            </w:r>
          </w:p>
        </w:tc>
        <w:tc>
          <w:tcPr>
            <w:tcW w:w="2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13.32</w:t>
            </w:r>
          </w:p>
        </w:tc>
        <w:tc>
          <w:tcPr>
            <w:tcW w:w="80" w:type="dxa"/>
            <w:vAlign w:val="bottom"/>
          </w:tcPr>
          <w:p>
            <w:pPr>
              <w:spacing w:after="0"/>
              <w:rPr>
                <w:sz w:val="12"/>
                <w:szCs w:val="12"/>
                <w:color w:val="auto"/>
              </w:rPr>
            </w:pPr>
          </w:p>
        </w:tc>
        <w:tc>
          <w:tcPr>
            <w:tcW w:w="22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9.15</w:t>
            </w:r>
          </w:p>
        </w:tc>
        <w:tc>
          <w:tcPr>
            <w:tcW w:w="30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8.03</w:t>
            </w:r>
          </w:p>
        </w:tc>
        <w:tc>
          <w:tcPr>
            <w:tcW w:w="300" w:type="dxa"/>
            <w:vAlign w:val="bottom"/>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8.89</w:t>
            </w:r>
          </w:p>
        </w:tc>
        <w:tc>
          <w:tcPr>
            <w:tcW w:w="30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9.67</w:t>
            </w:r>
          </w:p>
        </w:tc>
        <w:tc>
          <w:tcPr>
            <w:tcW w:w="30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8.89</w:t>
            </w:r>
          </w:p>
        </w:tc>
        <w:tc>
          <w:tcPr>
            <w:tcW w:w="320" w:type="dxa"/>
            <w:vAlign w:val="bottom"/>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equivalent basis)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3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68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00"/>
              <w:spacing w:after="0"/>
              <w:rPr>
                <w:sz w:val="20"/>
                <w:szCs w:val="20"/>
                <w:color w:val="auto"/>
              </w:rPr>
            </w:pPr>
            <w:r>
              <w:rPr>
                <w:rFonts w:ascii="Arial" w:cs="Arial" w:eastAsia="Arial" w:hAnsi="Arial"/>
                <w:sz w:val="13"/>
                <w:szCs w:val="13"/>
                <w:color w:val="auto"/>
              </w:rPr>
              <w:t>unearned discount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6"/>
                <w:szCs w:val="16"/>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.99</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.99</w:t>
            </w:r>
          </w:p>
        </w:tc>
        <w:tc>
          <w:tcPr>
            <w:tcW w:w="3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.98</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6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Net operating income (in thousands)</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530,619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497,869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357,498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326,664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360,658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385,974</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354,035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net operating income per common share</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3.56</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3.29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2.04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2.38</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2.15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Annualized 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tangible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1.89</w:t>
            </w:r>
          </w:p>
        </w:tc>
        <w:tc>
          <w:tcPr>
            <w:tcW w:w="2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1.79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1.28</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1.12</w:t>
            </w:r>
          </w:p>
        </w:tc>
        <w:tc>
          <w:tcPr>
            <w:tcW w:w="30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1.25</w:t>
            </w:r>
          </w:p>
        </w:tc>
        <w:tc>
          <w:tcPr>
            <w:tcW w:w="30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1.33</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1.21</w:t>
            </w:r>
          </w:p>
        </w:tc>
        <w:tc>
          <w:tcPr>
            <w:tcW w:w="32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Average tangible common shareholders’ equity</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21.00</w:t>
            </w:r>
          </w:p>
        </w:tc>
        <w:tc>
          <w:tcPr>
            <w:tcW w:w="2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19.91</w:t>
            </w:r>
          </w:p>
        </w:tc>
        <w:tc>
          <w:tcPr>
            <w:tcW w:w="80" w:type="dxa"/>
            <w:vAlign w:val="bottom"/>
          </w:tcPr>
          <w:p>
            <w:pPr>
              <w:spacing w:after="0"/>
              <w:rPr>
                <w:sz w:val="12"/>
                <w:szCs w:val="12"/>
                <w:color w:val="auto"/>
              </w:rPr>
            </w:pPr>
          </w:p>
        </w:tc>
        <w:tc>
          <w:tcPr>
            <w:tcW w:w="22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13.51</w:t>
            </w:r>
          </w:p>
        </w:tc>
        <w:tc>
          <w:tcPr>
            <w:tcW w:w="30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11.77</w:t>
            </w:r>
          </w:p>
        </w:tc>
        <w:tc>
          <w:tcPr>
            <w:tcW w:w="300" w:type="dxa"/>
            <w:vAlign w:val="bottom"/>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13.03</w:t>
            </w:r>
          </w:p>
        </w:tc>
        <w:tc>
          <w:tcPr>
            <w:tcW w:w="30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14.18</w:t>
            </w:r>
          </w:p>
        </w:tc>
        <w:tc>
          <w:tcPr>
            <w:tcW w:w="300" w:type="dxa"/>
            <w:vAlign w:val="bottom"/>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13.05</w:t>
            </w:r>
          </w:p>
        </w:tc>
        <w:tc>
          <w:tcPr>
            <w:tcW w:w="320" w:type="dxa"/>
            <w:vAlign w:val="bottom"/>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Efficiency ratio (b)</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51.41</w:t>
            </w:r>
          </w:p>
        </w:tc>
        <w:tc>
          <w:tcPr>
            <w:tcW w:w="2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52.42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63.98</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54.65</w:t>
            </w:r>
          </w:p>
        </w:tc>
        <w:tc>
          <w:tcPr>
            <w:tcW w:w="30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56.00</w:t>
            </w:r>
          </w:p>
        </w:tc>
        <w:tc>
          <w:tcPr>
            <w:tcW w:w="30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52.74</w:t>
            </w:r>
          </w:p>
        </w:tc>
        <w:tc>
          <w:tcPr>
            <w:tcW w:w="30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56.93</w:t>
            </w:r>
          </w:p>
        </w:tc>
        <w:tc>
          <w:tcPr>
            <w:tcW w:w="320" w:type="dxa"/>
            <w:vAlign w:val="bottom"/>
            <w:shd w:val="clear" w:color="auto" w:fill="CFF0FC"/>
          </w:tcPr>
          <w:p>
            <w:pPr>
              <w:jc w:val="right"/>
              <w:ind w:right="37"/>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i w:val="1"/>
                <w:iCs w:val="1"/>
                <w:color w:val="auto"/>
              </w:rPr>
              <w:t>In millions, except per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3"/>
                <w:szCs w:val="13"/>
                <w:color w:val="auto"/>
              </w:rPr>
              <w:t>Average balances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115,997</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116,413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117,684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120,226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119,515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120,765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122,978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111,363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111,775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113,041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115,584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114,872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116,117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118,326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105,835</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106,210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107,231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109,412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108,642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109,987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112,008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13,431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13,856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14,467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14,808</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15,443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15,913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15,999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87,132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87,406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87,766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87,837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88,386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89,268</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89,797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Deposits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89,252</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90,195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91,119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93,469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93,134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94,201</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96,300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14,317</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14,301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14,827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15,039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15,069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15,053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15,091</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9,683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9,663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10,184</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10,397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10,426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10,405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10,439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At end of quarter</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116,828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118,426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118,623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118,593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120,402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120,897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123,223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112,197</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113,790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113,982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113,947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115,761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116,251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118,573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106,331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107,819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107,976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107,786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109,365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109,976</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112,287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13,074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13,283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14,067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14,665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15,074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15,816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15,968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86,680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87,797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87,711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87,989</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87,925</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89,081</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89,313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Deposits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89,140</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89,273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90,947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92,432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93,513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93,541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97,043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8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ind w:left="420"/>
              <w:spacing w:after="0"/>
              <w:rPr>
                <w:sz w:val="20"/>
                <w:szCs w:val="20"/>
                <w:color w:val="auto"/>
              </w:rPr>
            </w:pPr>
            <w:r>
              <w:rPr>
                <w:rFonts w:ascii="Arial" w:cs="Arial" w:eastAsia="Arial" w:hAnsi="Arial"/>
                <w:sz w:val="13"/>
                <w:szCs w:val="13"/>
                <w:color w:val="auto"/>
              </w:rPr>
              <w:t>cumulative preferred dividends (c)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14,201</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14,343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14,475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15,016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15,083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15,049</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9,570</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9,707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9,834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10,370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10,442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10,403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10,328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Equity per common share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100.38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99.43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98.60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100.03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99.70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98.66</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97.40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equity per common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67.64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67.29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66.99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69.08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69.02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68.20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67.16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Market price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High</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180.77</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188.80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197.37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176.62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166.85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164.03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173.72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60"/>
              <w:spacing w:after="0" w:line="149" w:lineRule="exact"/>
              <w:rPr>
                <w:sz w:val="20"/>
                <w:szCs w:val="20"/>
                <w:color w:val="auto"/>
              </w:rPr>
            </w:pPr>
            <w:r>
              <w:rPr>
                <w:rFonts w:ascii="Arial" w:cs="Arial" w:eastAsia="Arial" w:hAnsi="Arial"/>
                <w:sz w:val="13"/>
                <w:szCs w:val="13"/>
                <w:color w:val="auto"/>
              </w:rPr>
              <w:t>Low</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164.28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167.32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170.00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155.77</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141.12</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147.55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149.51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Closing</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164.54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170.15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184.36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170.99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161.04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161.95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154.73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right="20" w:hanging="512"/>
        <w:spacing w:after="0" w:line="235"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20" w:hanging="512"/>
        <w:spacing w:after="0" w:line="228"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Table 2</w:t>
            </w:r>
          </w:p>
        </w:tc>
        <w:tc>
          <w:tcPr>
            <w:tcW w:w="0" w:type="dxa"/>
            <w:vAlign w:val="bottom"/>
          </w:tcPr>
          <w:p>
            <w:pPr>
              <w:spacing w:after="0"/>
              <w:rPr>
                <w:sz w:val="1"/>
                <w:szCs w:val="1"/>
                <w:color w:val="auto"/>
              </w:rPr>
            </w:pPr>
          </w:p>
        </w:tc>
      </w:tr>
      <w:tr>
        <w:trPr>
          <w:trHeight w:val="337"/>
        </w:trPr>
        <w:tc>
          <w:tcPr>
            <w:tcW w:w="7000" w:type="dxa"/>
            <w:vAlign w:val="bottom"/>
            <w:gridSpan w:val="8"/>
          </w:tcPr>
          <w:p>
            <w:pPr>
              <w:spacing w:after="0"/>
              <w:rPr>
                <w:sz w:val="20"/>
                <w:szCs w:val="20"/>
                <w:color w:val="auto"/>
              </w:rPr>
            </w:pPr>
            <w:r>
              <w:rPr>
                <w:rFonts w:ascii="Arial" w:cs="Arial" w:eastAsia="Arial" w:hAnsi="Arial"/>
                <w:sz w:val="20"/>
                <w:szCs w:val="20"/>
                <w:color w:val="auto"/>
              </w:rPr>
              <w:t>RECONCILIATION OF QUARTERLY GAAP TO NON-GAAP MEASURES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w w:val="86"/>
              </w:rPr>
              <w:t>2018 Quarters</w:t>
            </w:r>
          </w:p>
        </w:tc>
        <w:tc>
          <w:tcPr>
            <w:tcW w:w="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color w:val="auto"/>
                <w:w w:val="84"/>
              </w:rPr>
              <w:t>2017 Quarters</w:t>
            </w: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2" w:lineRule="exact"/>
              <w:rPr>
                <w:sz w:val="20"/>
                <w:szCs w:val="20"/>
                <w:color w:val="auto"/>
              </w:rPr>
            </w:pPr>
            <w:r>
              <w:rPr>
                <w:rFonts w:ascii="Arial" w:cs="Arial" w:eastAsia="Arial" w:hAnsi="Arial"/>
                <w:sz w:val="13"/>
                <w:szCs w:val="13"/>
                <w:color w:val="auto"/>
              </w:rPr>
              <w:t>Third</w:t>
            </w:r>
          </w:p>
        </w:tc>
        <w:tc>
          <w:tcPr>
            <w:tcW w:w="1140" w:type="dxa"/>
            <w:vAlign w:val="bottom"/>
            <w:gridSpan w:val="2"/>
          </w:tcPr>
          <w:p>
            <w:pPr>
              <w:jc w:val="right"/>
              <w:ind w:right="560"/>
              <w:spacing w:after="0" w:line="142" w:lineRule="exact"/>
              <w:rPr>
                <w:sz w:val="20"/>
                <w:szCs w:val="20"/>
                <w:color w:val="auto"/>
              </w:rPr>
            </w:pPr>
            <w:r>
              <w:rPr>
                <w:rFonts w:ascii="Arial" w:cs="Arial" w:eastAsia="Arial" w:hAnsi="Arial"/>
                <w:sz w:val="13"/>
                <w:szCs w:val="13"/>
                <w:color w:val="auto"/>
              </w:rPr>
              <w:t>Second</w:t>
            </w:r>
          </w:p>
        </w:tc>
        <w:tc>
          <w:tcPr>
            <w:tcW w:w="800" w:type="dxa"/>
            <w:vAlign w:val="bottom"/>
          </w:tcPr>
          <w:p>
            <w:pPr>
              <w:jc w:val="right"/>
              <w:ind w:right="237"/>
              <w:spacing w:after="0" w:line="142" w:lineRule="exact"/>
              <w:rPr>
                <w:sz w:val="20"/>
                <w:szCs w:val="20"/>
                <w:color w:val="auto"/>
              </w:rPr>
            </w:pPr>
            <w:r>
              <w:rPr>
                <w:rFonts w:ascii="Arial" w:cs="Arial" w:eastAsia="Arial" w:hAnsi="Arial"/>
                <w:sz w:val="13"/>
                <w:szCs w:val="13"/>
                <w:color w:val="auto"/>
              </w:rPr>
              <w:t>First</w:t>
            </w:r>
          </w:p>
        </w:tc>
        <w:tc>
          <w:tcPr>
            <w:tcW w:w="340" w:type="dxa"/>
            <w:vAlign w:val="bottom"/>
          </w:tcPr>
          <w:p>
            <w:pPr>
              <w:spacing w:after="0"/>
              <w:rPr>
                <w:sz w:val="12"/>
                <w:szCs w:val="12"/>
                <w:color w:val="auto"/>
              </w:rPr>
            </w:pPr>
          </w:p>
        </w:tc>
        <w:tc>
          <w:tcPr>
            <w:tcW w:w="1160" w:type="dxa"/>
            <w:vAlign w:val="bottom"/>
            <w:gridSpan w:val="2"/>
          </w:tcPr>
          <w:p>
            <w:pPr>
              <w:jc w:val="right"/>
              <w:ind w:right="600"/>
              <w:spacing w:after="0" w:line="142" w:lineRule="exact"/>
              <w:rPr>
                <w:sz w:val="20"/>
                <w:szCs w:val="20"/>
                <w:color w:val="auto"/>
              </w:rPr>
            </w:pPr>
            <w:r>
              <w:rPr>
                <w:rFonts w:ascii="Arial" w:cs="Arial" w:eastAsia="Arial" w:hAnsi="Arial"/>
                <w:sz w:val="13"/>
                <w:szCs w:val="13"/>
                <w:color w:val="auto"/>
              </w:rPr>
              <w:t>Fourth</w:t>
            </w:r>
          </w:p>
        </w:tc>
        <w:tc>
          <w:tcPr>
            <w:tcW w:w="1340" w:type="dxa"/>
            <w:vAlign w:val="bottom"/>
            <w:gridSpan w:val="3"/>
          </w:tcPr>
          <w:p>
            <w:pPr>
              <w:ind w:left="240"/>
              <w:spacing w:after="0" w:line="142" w:lineRule="exact"/>
              <w:rPr>
                <w:sz w:val="20"/>
                <w:szCs w:val="20"/>
                <w:color w:val="auto"/>
              </w:rPr>
            </w:pPr>
            <w:r>
              <w:rPr>
                <w:rFonts w:ascii="Arial" w:cs="Arial" w:eastAsia="Arial" w:hAnsi="Arial"/>
                <w:sz w:val="13"/>
                <w:szCs w:val="13"/>
                <w:color w:val="auto"/>
              </w:rPr>
              <w:t>Third</w:t>
            </w:r>
          </w:p>
        </w:tc>
        <w:tc>
          <w:tcPr>
            <w:tcW w:w="960" w:type="dxa"/>
            <w:vAlign w:val="bottom"/>
            <w:gridSpan w:val="2"/>
          </w:tcPr>
          <w:p>
            <w:pPr>
              <w:jc w:val="right"/>
              <w:ind w:right="580"/>
              <w:spacing w:after="0" w:line="142" w:lineRule="exact"/>
              <w:rPr>
                <w:sz w:val="20"/>
                <w:szCs w:val="20"/>
                <w:color w:val="auto"/>
              </w:rPr>
            </w:pPr>
            <w:r>
              <w:rPr>
                <w:rFonts w:ascii="Arial" w:cs="Arial" w:eastAsia="Arial" w:hAnsi="Arial"/>
                <w:sz w:val="13"/>
                <w:szCs w:val="13"/>
                <w:color w:val="auto"/>
                <w:w w:val="81"/>
              </w:rPr>
              <w:t>Second</w:t>
            </w:r>
          </w:p>
        </w:tc>
        <w:tc>
          <w:tcPr>
            <w:tcW w:w="820" w:type="dxa"/>
            <w:vAlign w:val="bottom"/>
          </w:tcPr>
          <w:p>
            <w:pPr>
              <w:jc w:val="right"/>
              <w:ind w:right="236"/>
              <w:spacing w:after="0" w:line="142" w:lineRule="exact"/>
              <w:rPr>
                <w:sz w:val="20"/>
                <w:szCs w:val="20"/>
                <w:color w:val="auto"/>
              </w:rPr>
            </w:pPr>
            <w:r>
              <w:rPr>
                <w:rFonts w:ascii="Arial" w:cs="Arial" w:eastAsia="Arial" w:hAnsi="Arial"/>
                <w:sz w:val="13"/>
                <w:szCs w:val="13"/>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526,091</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493,160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352,610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322,403</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355,923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381,053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348,927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Amortization of core deposit and other intangible assets (a)</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4,528</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4,709</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4,888</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4,261</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4,735</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4,921</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5,108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530,619</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497,869</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357,498</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326,664</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360,658</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385,974</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354,035</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common share</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earnings per common share</w:t>
            </w:r>
          </w:p>
        </w:tc>
        <w:tc>
          <w:tcPr>
            <w:tcW w:w="16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3.53</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3.26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2.01</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2.21</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2.35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2.12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Amortization of core deposit and other intangible assets (a)</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.03</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Diluted net operating earnings per common share</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3.56</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3.29</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2.26</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2.04</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2.24</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2.38</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2.15</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expense</w:t>
            </w:r>
          </w:p>
        </w:tc>
        <w:tc>
          <w:tcPr>
            <w:tcW w:w="16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775,979</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776,577</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933,344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795,813</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806,025</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750,635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787,852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Amortization of core deposit and other intangible assets</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(6,143)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(6,388)</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(6,632)</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(7,025)</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(7,808)</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(8,113)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(8,420)</w:t>
            </w:r>
          </w:p>
        </w:tc>
        <w:tc>
          <w:tcPr>
            <w:tcW w:w="0" w:type="dxa"/>
            <w:vAlign w:val="bottom"/>
          </w:tcPr>
          <w:p>
            <w:pPr>
              <w:spacing w:after="0"/>
              <w:rPr>
                <w:sz w:val="1"/>
                <w:szCs w:val="1"/>
                <w:color w:val="auto"/>
              </w:rPr>
            </w:pPr>
          </w:p>
        </w:tc>
      </w:tr>
      <w:tr>
        <w:trPr>
          <w:trHeight w:val="142"/>
        </w:trPr>
        <w:tc>
          <w:tcPr>
            <w:tcW w:w="356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769,836</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770,189</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926,712</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788,788</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798,217</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742,522</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779,432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shd w:val="clear" w:color="auto" w:fill="CFF0FC"/>
          </w:tcPr>
          <w:p>
            <w:pPr>
              <w:spacing w:after="0" w:line="149" w:lineRule="exact"/>
              <w:rPr>
                <w:sz w:val="20"/>
                <w:szCs w:val="20"/>
                <w:color w:val="auto"/>
              </w:rPr>
            </w:pPr>
            <w:r>
              <w:rPr>
                <w:rFonts w:ascii="Arial" w:cs="Arial" w:eastAsia="Arial" w:hAnsi="Arial"/>
                <w:sz w:val="13"/>
                <w:szCs w:val="13"/>
                <w:color w:val="auto"/>
              </w:rPr>
              <w:t>Noninterest operating expense (numerator)</w:t>
            </w:r>
          </w:p>
        </w:tc>
        <w:tc>
          <w:tcPr>
            <w:tcW w:w="160" w:type="dxa"/>
            <w:vAlign w:val="bottom"/>
            <w:tcBorders>
              <w:bottom w:val="single" w:sz="8" w:color="auto"/>
            </w:tcBorders>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769,836</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770,189</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926,712</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788,788</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798,217</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742,522</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779,432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color w:val="auto"/>
              </w:rPr>
              <w:t>Taxable-equivalent net interest income</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1,034,771</w:t>
            </w: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1,014,184</w:t>
            </w:r>
          </w:p>
        </w:tc>
        <w:tc>
          <w:tcPr>
            <w:tcW w:w="3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980,326</w:t>
            </w:r>
          </w:p>
        </w:tc>
        <w:tc>
          <w:tcPr>
            <w:tcW w:w="3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980,457</w:t>
            </w: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965,962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946,936</w:t>
            </w:r>
          </w:p>
        </w:tc>
        <w:tc>
          <w:tcPr>
            <w:tcW w:w="3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922,259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459,294</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457,414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458,696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484,053</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459,429</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460,816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446,845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Less: Gain (loss) on bank investment securities</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(3,415)</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2,326</w:t>
            </w:r>
          </w:p>
        </w:tc>
        <w:tc>
          <w:tcPr>
            <w:tcW w:w="34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(9,431)</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21,296</w:t>
            </w:r>
          </w:p>
        </w:tc>
        <w:tc>
          <w:tcPr>
            <w:tcW w:w="36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(17)</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5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Denominator</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1,497,480</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1,469,272</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1,448,453</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1,443,214</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1,425,391</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1,407,769</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1,369,104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rPr>
              <w:t>51.41%</w:t>
            </w:r>
          </w:p>
        </w:tc>
        <w:tc>
          <w:tcPr>
            <w:tcW w:w="114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52.42%</w:t>
            </w:r>
          </w:p>
        </w:tc>
        <w:tc>
          <w:tcPr>
            <w:tcW w:w="114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63.98%</w:t>
            </w:r>
          </w:p>
        </w:tc>
        <w:tc>
          <w:tcPr>
            <w:tcW w:w="116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rPr>
              <w:t>54.65%</w:t>
            </w:r>
          </w:p>
        </w:tc>
        <w:tc>
          <w:tcPr>
            <w:tcW w:w="114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56.00%</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52.74%</w:t>
            </w:r>
          </w:p>
        </w:tc>
        <w:tc>
          <w:tcPr>
            <w:tcW w:w="9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56.93%</w:t>
            </w:r>
          </w:p>
        </w:tc>
        <w:tc>
          <w:tcPr>
            <w:tcW w:w="0" w:type="dxa"/>
            <w:vAlign w:val="bottom"/>
          </w:tcPr>
          <w:p>
            <w:pPr>
              <w:spacing w:after="0"/>
              <w:rPr>
                <w:sz w:val="1"/>
                <w:szCs w:val="1"/>
                <w:color w:val="auto"/>
              </w:rPr>
            </w:pPr>
          </w:p>
        </w:tc>
      </w:tr>
      <w:tr>
        <w:trPr>
          <w:trHeight w:val="129"/>
        </w:trPr>
        <w:tc>
          <w:tcPr>
            <w:tcW w:w="356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b w:val="1"/>
                <w:bCs w:val="1"/>
                <w:color w:val="auto"/>
              </w:rPr>
              <w:t>Average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assets</w:t>
            </w:r>
          </w:p>
        </w:tc>
        <w:tc>
          <w:tcPr>
            <w:tcW w:w="16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115,997</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116,413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117,684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120,226</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119,515</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120,765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122,978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(55)</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(62)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(68)</w:t>
            </w:r>
          </w:p>
        </w:tc>
        <w:tc>
          <w:tcPr>
            <w:tcW w:w="116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(75)</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(82)</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(90)</w:t>
            </w:r>
          </w:p>
        </w:tc>
        <w:tc>
          <w:tcPr>
            <w:tcW w:w="9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18</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26</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32</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35</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39</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111,363</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111,775</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113,041</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115,584</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114,872</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116,117</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118,326</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Average common equity</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total equity</w:t>
            </w:r>
          </w:p>
        </w:tc>
        <w:tc>
          <w:tcPr>
            <w:tcW w:w="160" w:type="dxa"/>
            <w:vAlign w:val="bottom"/>
            <w:shd w:val="clear" w:color="auto" w:fill="CFF0FC"/>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15,549</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15,533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16,059</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16,271</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16,301</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16,285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16,323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35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1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14,317</w:t>
            </w:r>
          </w:p>
        </w:tc>
        <w:tc>
          <w:tcPr>
            <w:tcW w:w="3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14,301</w:t>
            </w:r>
          </w:p>
        </w:tc>
        <w:tc>
          <w:tcPr>
            <w:tcW w:w="3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14,827</w:t>
            </w:r>
          </w:p>
        </w:tc>
        <w:tc>
          <w:tcPr>
            <w:tcW w:w="3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15,039</w:t>
            </w:r>
          </w:p>
        </w:tc>
        <w:tc>
          <w:tcPr>
            <w:tcW w:w="3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15,069</w:t>
            </w:r>
          </w:p>
        </w:tc>
        <w:tc>
          <w:tcPr>
            <w:tcW w:w="3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15,053</w:t>
            </w:r>
          </w:p>
        </w:tc>
        <w:tc>
          <w:tcPr>
            <w:tcW w:w="3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15,091</w:t>
            </w: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(55)</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(62)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(68)</w:t>
            </w:r>
          </w:p>
        </w:tc>
        <w:tc>
          <w:tcPr>
            <w:tcW w:w="116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(75)</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(82)</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(90)</w:t>
            </w:r>
          </w:p>
        </w:tc>
        <w:tc>
          <w:tcPr>
            <w:tcW w:w="9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18</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26</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32</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35</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39</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9,683</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9,663</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10,184</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10,397</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10,426</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10,405</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10,439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At end of quarter</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Total assets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116,828</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118,426</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118,623</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118,593</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120,402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120,897</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123,223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116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(4,593)</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(4,593)</w:t>
            </w:r>
          </w:p>
        </w:tc>
        <w:tc>
          <w:tcPr>
            <w:tcW w:w="9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(52)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(59)</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(65)</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(72)</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(79)</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(86)</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14</w:t>
            </w:r>
          </w:p>
        </w:tc>
        <w:tc>
          <w:tcPr>
            <w:tcW w:w="36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16</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17</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19</w:t>
            </w:r>
          </w:p>
        </w:tc>
        <w:tc>
          <w:tcPr>
            <w:tcW w:w="36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31</w:t>
            </w:r>
          </w:p>
        </w:tc>
        <w:tc>
          <w:tcPr>
            <w:tcW w:w="3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33</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38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112,197</w:t>
            </w:r>
          </w:p>
        </w:tc>
        <w:tc>
          <w:tcPr>
            <w:tcW w:w="36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113,790</w:t>
            </w:r>
          </w:p>
        </w:tc>
        <w:tc>
          <w:tcPr>
            <w:tcW w:w="3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113,982</w:t>
            </w:r>
          </w:p>
        </w:tc>
        <w:tc>
          <w:tcPr>
            <w:tcW w:w="3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113,947</w:t>
            </w:r>
          </w:p>
        </w:tc>
        <w:tc>
          <w:tcPr>
            <w:tcW w:w="36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115,761</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116,251</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118,573</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Total equity</w:t>
            </w:r>
          </w:p>
        </w:tc>
        <w:tc>
          <w:tcPr>
            <w:tcW w:w="160" w:type="dxa"/>
            <w:vAlign w:val="bottom"/>
          </w:tcPr>
          <w:p>
            <w:pPr>
              <w:jc w:val="right"/>
              <w:ind w:right="17"/>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15,436</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15,578</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15,710</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16,251</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16,318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16,284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16,213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Preferred stock</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116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(1,232)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(1,232)</w:t>
            </w:r>
          </w:p>
        </w:tc>
        <w:tc>
          <w:tcPr>
            <w:tcW w:w="9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3"/>
                <w:szCs w:val="13"/>
                <w:color w:val="auto"/>
              </w:rPr>
              <w:t>Undeclared dividends - cumulative preferred stock</w:t>
            </w: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(3)</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(3)</w:t>
            </w: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356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Common equity, net of undeclared cumulative</w:t>
            </w: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preferred dividends</w:t>
            </w: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14,201</w:t>
            </w:r>
          </w:p>
        </w:tc>
        <w:tc>
          <w:tcPr>
            <w:tcW w:w="36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14,343</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14,475</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15,016</w:t>
            </w:r>
          </w:p>
        </w:tc>
        <w:tc>
          <w:tcPr>
            <w:tcW w:w="36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15,083</w:t>
            </w:r>
          </w:p>
        </w:tc>
        <w:tc>
          <w:tcPr>
            <w:tcW w:w="3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15,049</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14,978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line="142" w:lineRule="exact"/>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3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(4,593)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(52)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(59)</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(65)</w:t>
            </w:r>
          </w:p>
        </w:tc>
        <w:tc>
          <w:tcPr>
            <w:tcW w:w="1160" w:type="dxa"/>
            <w:vAlign w:val="bottom"/>
            <w:gridSpan w:val="2"/>
            <w:shd w:val="clear" w:color="auto" w:fill="CFF0FC"/>
          </w:tcPr>
          <w:p>
            <w:pPr>
              <w:jc w:val="right"/>
              <w:ind w:right="320"/>
              <w:spacing w:after="0" w:line="149" w:lineRule="exact"/>
              <w:rPr>
                <w:sz w:val="20"/>
                <w:szCs w:val="20"/>
                <w:color w:val="auto"/>
              </w:rPr>
            </w:pPr>
            <w:r>
              <w:rPr>
                <w:rFonts w:ascii="Arial" w:cs="Arial" w:eastAsia="Arial" w:hAnsi="Arial"/>
                <w:sz w:val="13"/>
                <w:szCs w:val="13"/>
                <w:color w:val="auto"/>
              </w:rPr>
              <w:t>(72)</w:t>
            </w:r>
          </w:p>
        </w:tc>
        <w:tc>
          <w:tcPr>
            <w:tcW w:w="11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(79)</w:t>
            </w:r>
          </w:p>
        </w:tc>
        <w:tc>
          <w:tcPr>
            <w:tcW w:w="2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3"/>
                <w:szCs w:val="13"/>
                <w:color w:val="auto"/>
              </w:rPr>
              <w:t>(86)</w:t>
            </w:r>
          </w:p>
        </w:tc>
        <w:tc>
          <w:tcPr>
            <w:tcW w:w="9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16</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19</w:t>
            </w:r>
          </w:p>
        </w:tc>
        <w:tc>
          <w:tcPr>
            <w:tcW w:w="3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31</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33</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38</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9,570</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9,707</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9,834</w:t>
            </w:r>
          </w:p>
        </w:tc>
        <w:tc>
          <w:tcPr>
            <w:tcW w:w="3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10,370</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10,442</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10,403</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10,328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7"/>
        </w:trPr>
        <w:tc>
          <w:tcPr>
            <w:tcW w:w="7740" w:type="dxa"/>
            <w:vAlign w:val="bottom"/>
            <w:gridSpan w:val="14"/>
          </w:tcPr>
          <w:p>
            <w:pPr>
              <w:spacing w:after="0"/>
              <w:rPr>
                <w:sz w:val="20"/>
                <w:szCs w:val="20"/>
                <w:color w:val="auto"/>
              </w:rPr>
            </w:pPr>
            <w:r>
              <w:rPr>
                <w:rFonts w:ascii="Arial" w:cs="Arial" w:eastAsia="Arial" w:hAnsi="Arial"/>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color w:val="auto"/>
                <w:w w:val="94"/>
              </w:rPr>
              <w:t>2018 Third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center"/>
              <w:ind w:left="520"/>
              <w:spacing w:after="0"/>
              <w:rPr>
                <w:sz w:val="20"/>
                <w:szCs w:val="20"/>
                <w:color w:val="auto"/>
              </w:rPr>
            </w:pPr>
            <w:r>
              <w:rPr>
                <w:rFonts w:ascii="Arial" w:cs="Arial" w:eastAsia="Arial" w:hAnsi="Arial"/>
                <w:sz w:val="14"/>
                <w:szCs w:val="14"/>
                <w:color w:val="auto"/>
                <w:w w:val="91"/>
              </w:rPr>
              <w:t>2018 Second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2018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28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Average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9"/>
              </w:rPr>
              <w:t>Average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color w:val="auto"/>
                <w:w w:val="90"/>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120"/>
              <w:spacing w:after="0"/>
              <w:rPr>
                <w:sz w:val="20"/>
                <w:szCs w:val="20"/>
                <w:color w:val="auto"/>
              </w:rPr>
            </w:pPr>
            <w:r>
              <w:rPr>
                <w:rFonts w:ascii="Arial" w:cs="Arial" w:eastAsia="Arial" w:hAnsi="Arial"/>
                <w:sz w:val="14"/>
                <w:szCs w:val="14"/>
                <w:color w:val="auto"/>
              </w:rPr>
              <w:t>Rate</w:t>
            </w:r>
          </w:p>
        </w:tc>
        <w:tc>
          <w:tcPr>
            <w:tcW w:w="2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Balance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Interest</w:t>
            </w:r>
          </w:p>
        </w:tc>
        <w:tc>
          <w:tcPr>
            <w:tcW w:w="620" w:type="dxa"/>
            <w:vAlign w:val="bottom"/>
          </w:tcPr>
          <w:p>
            <w:pPr>
              <w:jc w:val="right"/>
              <w:ind w:right="10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99"/>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7"/>
              </w:rPr>
              <w:t>Average balance in millions; interest in thousands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160"/>
              <w:spacing w:after="0"/>
              <w:rPr>
                <w:sz w:val="20"/>
                <w:szCs w:val="20"/>
                <w:color w:val="auto"/>
              </w:rPr>
            </w:pPr>
            <w:r>
              <w:rPr>
                <w:rFonts w:ascii="Arial" w:cs="Arial" w:eastAsia="Arial" w:hAnsi="Arial"/>
                <w:sz w:val="16"/>
                <w:szCs w:val="16"/>
                <w:color w:val="auto"/>
              </w:rPr>
              <w:t>discount*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255,735</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243,081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227,296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440,381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33,687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421,705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33,652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397,713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189,634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193,547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195,701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180,764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171,441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163,991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87,132</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1,066,514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87,406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1,029,774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87,766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984,701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26,001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21,869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4,941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18,677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72,548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13,066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76,704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13,689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78,017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13,431</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80,304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13,856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82,239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14,467</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83,160</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105,835</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1,173,108</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106,210</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1,134,302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107,231</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1,086,959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(1,018)</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(1,020)</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115,997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116,413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117,684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380"/>
              <w:spacing w:after="0"/>
              <w:rPr>
                <w:sz w:val="20"/>
                <w:szCs w:val="20"/>
                <w:color w:val="auto"/>
              </w:rPr>
            </w:pPr>
            <w:r>
              <w:rPr>
                <w:rFonts w:ascii="Arial" w:cs="Arial" w:eastAsia="Arial" w:hAnsi="Arial"/>
                <w:sz w:val="16"/>
                <w:szCs w:val="16"/>
                <w:color w:val="auto"/>
              </w:rPr>
              <w:t>deposits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51,552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56,156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52,547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48,738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52,504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40,527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10,936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57,785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70,688</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58,769</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59,072</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51,844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9,047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66,049</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8,480</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58,093</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8,606</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53,906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67,206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138,337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67,602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120,118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67,958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106,633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31,467</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31,426</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32,047</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100,448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100,880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101,625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115,997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116,413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117,684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3.58</w:t>
            </w: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3.57</w:t>
            </w: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3.47</w:t>
            </w: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20" w:type="dxa"/>
            <w:vAlign w:val="bottom"/>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16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1,034,771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1,014,184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980,326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4"/>
          </w:tcPr>
          <w:p>
            <w:pPr>
              <w:jc w:val="right"/>
              <w:spacing w:after="0"/>
              <w:rPr>
                <w:sz w:val="20"/>
                <w:szCs w:val="20"/>
                <w:color w:val="auto"/>
              </w:rPr>
            </w:pPr>
            <w:r>
              <w:rPr>
                <w:rFonts w:ascii="Arial" w:cs="Arial" w:eastAsia="Arial" w:hAnsi="Arial"/>
                <w:sz w:val="20"/>
                <w:szCs w:val="20"/>
                <w:color w:val="auto"/>
              </w:rPr>
              <w:t>Table 3 (continued)</w:t>
            </w:r>
          </w:p>
        </w:tc>
        <w:tc>
          <w:tcPr>
            <w:tcW w:w="0" w:type="dxa"/>
            <w:vAlign w:val="bottom"/>
          </w:tcPr>
          <w:p>
            <w:pPr>
              <w:spacing w:after="0"/>
              <w:rPr>
                <w:sz w:val="1"/>
                <w:szCs w:val="1"/>
                <w:color w:val="auto"/>
              </w:rPr>
            </w:pPr>
          </w:p>
        </w:tc>
      </w:tr>
      <w:tr>
        <w:trPr>
          <w:trHeight w:val="337"/>
        </w:trPr>
        <w:tc>
          <w:tcPr>
            <w:tcW w:w="9040" w:type="dxa"/>
            <w:vAlign w:val="bottom"/>
            <w:gridSpan w:val="13"/>
          </w:tcPr>
          <w:p>
            <w:pPr>
              <w:spacing w:after="0"/>
              <w:rPr>
                <w:sz w:val="20"/>
                <w:szCs w:val="20"/>
                <w:color w:val="auto"/>
              </w:rPr>
            </w:pPr>
            <w:r>
              <w:rPr>
                <w:rFonts w:ascii="Arial" w:cs="Arial" w:eastAsia="Arial" w:hAnsi="Arial"/>
                <w:sz w:val="20"/>
                <w:szCs w:val="20"/>
                <w:color w:val="auto"/>
              </w:rPr>
              <w:t>AVERAGE BALANCE SHEETS AND ANNUALIZED TAXABLE-EQUIVALENT RATES (continued)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1"/>
              </w:rPr>
              <w:t>Average</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2017 Fourth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24"/>
                <w:szCs w:val="2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Average</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2017 Third Quarter</w:t>
            </w:r>
          </w:p>
        </w:tc>
        <w:tc>
          <w:tcPr>
            <w:tcW w:w="74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Interest</w:t>
            </w:r>
          </w:p>
        </w:tc>
        <w:tc>
          <w:tcPr>
            <w:tcW w:w="72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w:t>
            </w:r>
          </w:p>
        </w:tc>
        <w:tc>
          <w:tcPr>
            <w:tcW w:w="74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160"/>
              <w:spacing w:after="0"/>
              <w:rPr>
                <w:sz w:val="20"/>
                <w:szCs w:val="20"/>
                <w:color w:val="auto"/>
              </w:rPr>
            </w:pPr>
            <w:r>
              <w:rPr>
                <w:rFonts w:ascii="Arial" w:cs="Arial" w:eastAsia="Arial" w:hAnsi="Arial"/>
                <w:sz w:val="16"/>
                <w:szCs w:val="16"/>
                <w:color w:val="auto"/>
              </w:rPr>
              <w:t>discount*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21,562</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220,470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21,734</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217,953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390,752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33,257</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382,352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201,151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204,008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162,765</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12,786</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157,721</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87,837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975,138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88,386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962,034</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21,981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14,970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78,995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14,632</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81,707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6,369</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14,808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85,742</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88,682</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109,412</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1,083,146</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108,642</w:t>
            </w: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1,066,038</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(1,019)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120,226</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119,515</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Arial" w:cs="Arial" w:eastAsia="Arial" w:hAnsi="Arial"/>
                <w:sz w:val="16"/>
                <w:szCs w:val="16"/>
                <w:color w:val="auto"/>
              </w:rPr>
              <w:t>Savings and interest-checking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53,436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39,286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53,287</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37,714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7,673</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13,992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60,539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51,828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61,129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52,016</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50,498</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47,506</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69,181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102,689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69,406</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100,076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32,930</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32,005</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103,955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103,214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16,271</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16,301</w:t>
            </w: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120,226</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119,515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3.32</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980,457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965,962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6" w:name="page87"/>
    <w:bookmarkEnd w:id="86"/>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09"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09" w:lineRule="exact"/>
        <w:rPr>
          <w:sz w:val="20"/>
          <w:szCs w:val="20"/>
          <w:color w:val="auto"/>
        </w:rPr>
      </w:pPr>
    </w:p>
    <w:p>
      <w:pPr>
        <w:jc w:val="both"/>
        <w:ind w:firstLine="526"/>
        <w:spacing w:after="0" w:line="248" w:lineRule="auto"/>
        <w:tabs>
          <w:tab w:leader="none" w:pos="799" w:val="left"/>
        </w:tabs>
        <w:numPr>
          <w:ilvl w:val="0"/>
          <w:numId w:val="29"/>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September 30, 2018.</w:t>
      </w:r>
    </w:p>
    <w:p>
      <w:pPr>
        <w:spacing w:after="0" w:line="81" w:lineRule="exact"/>
        <w:rPr>
          <w:rFonts w:ascii="Arial" w:cs="Arial" w:eastAsia="Arial" w:hAnsi="Arial"/>
          <w:sz w:val="21"/>
          <w:szCs w:val="21"/>
          <w:color w:val="auto"/>
        </w:rPr>
      </w:pPr>
    </w:p>
    <w:p>
      <w:pPr>
        <w:jc w:val="both"/>
        <w:ind w:firstLine="526"/>
        <w:spacing w:after="0" w:line="246" w:lineRule="auto"/>
        <w:tabs>
          <w:tab w:leader="none" w:pos="818" w:val="left"/>
        </w:tabs>
        <w:numPr>
          <w:ilvl w:val="0"/>
          <w:numId w:val="29"/>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2018 that have materially affected, or are reasonably likely to materially affect, M&amp;T’s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0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Wilmington Trust Corporation Investigative and Litigation Matters</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M&amp;T’s Wilmington Trust Corporation subsidiary is the subject of certain litigation arising from actions undertaken by Wilmington Trust Corporation prior to M&amp;T’s acquisition of Wilmington Trust Corporation and its subsidiaries, as set forth below.</w:t>
      </w:r>
    </w:p>
    <w:p>
      <w:pPr>
        <w:spacing w:after="0" w:line="148" w:lineRule="exact"/>
        <w:rPr>
          <w:sz w:val="20"/>
          <w:szCs w:val="20"/>
          <w:color w:val="auto"/>
        </w:rPr>
      </w:pPr>
    </w:p>
    <w:p>
      <w:pPr>
        <w:jc w:val="both"/>
        <w:ind w:firstLine="570"/>
        <w:spacing w:after="0" w:line="257" w:lineRule="auto"/>
        <w:rPr>
          <w:sz w:val="20"/>
          <w:szCs w:val="20"/>
          <w:color w:val="auto"/>
        </w:rPr>
      </w:pPr>
      <w:r>
        <w:rPr>
          <w:rFonts w:ascii="Arial" w:cs="Arial" w:eastAsia="Arial" w:hAnsi="Arial"/>
          <w:sz w:val="20"/>
          <w:szCs w:val="20"/>
          <w:i w:val="1"/>
          <w:iCs w:val="1"/>
          <w:color w:val="auto"/>
        </w:rPr>
        <w:t xml:space="preserve">In Re Wilmington Trust Securities Litigation (U.S. District Court, District of Delaware, Case No. 10-CV-0990-SLR): </w:t>
      </w:r>
      <w:r>
        <w:rPr>
          <w:rFonts w:ascii="Arial" w:cs="Arial" w:eastAsia="Arial" w:hAnsi="Arial"/>
          <w:sz w:val="20"/>
          <w:szCs w:val="20"/>
          <w:color w:val="auto"/>
        </w:rPr>
        <w:t>Beginning on</w:t>
      </w:r>
      <w:r>
        <w:rPr>
          <w:rFonts w:ascii="Arial" w:cs="Arial" w:eastAsia="Arial" w:hAnsi="Arial"/>
          <w:sz w:val="20"/>
          <w:szCs w:val="20"/>
          <w:i w:val="1"/>
          <w:iCs w:val="1"/>
          <w:color w:val="auto"/>
        </w:rPr>
        <w:t xml:space="preserve"> </w:t>
      </w:r>
      <w:r>
        <w:rPr>
          <w:rFonts w:ascii="Arial" w:cs="Arial" w:eastAsia="Arial" w:hAnsi="Arial"/>
          <w:sz w:val="20"/>
          <w:szCs w:val="20"/>
          <w:color w:val="auto"/>
        </w:rPr>
        <w:t>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Wilmington Trust Corporation moved to dismiss. The Court issued an order denying Wilmington Trust Corporation’s motion to dismiss on March 20, 2014. Plaintiffs’ motion for class certification was granted on September 3, 2015. Fact discovery was stayed by Court order during extended periods of this litigation. On December 19, 2016, the Court issued an order lifting the existing stay in its entirety. Fact discovery was completed on or about August 15, 2017. On December 12, 2017, the Court issued an order extending certain pre-trial deadlines, pushing all dates off until after the completion of the criminal trial involving certain individual witnesses. Expert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7" w:name="page88"/>
    <w:bookmarkEnd w:id="87"/>
    <w:p>
      <w:pPr>
        <w:spacing w:after="0"/>
        <w:rPr>
          <w:sz w:val="20"/>
          <w:szCs w:val="20"/>
          <w:color w:val="auto"/>
        </w:rPr>
      </w:pPr>
      <w:r>
        <w:rPr>
          <w:rFonts w:ascii="Arial" w:cs="Arial" w:eastAsia="Arial" w:hAnsi="Arial"/>
          <w:sz w:val="21"/>
          <w:szCs w:val="21"/>
          <w:color w:val="auto"/>
        </w:rPr>
        <w:t>discovery was ordered to be completed by July 31, 2018 and summary judgment motions briefed by October 31, 2018.</w:t>
      </w:r>
    </w:p>
    <w:p>
      <w:pPr>
        <w:spacing w:after="0" w:line="217"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In April 2018, the parties reached an agreement in principle and a settlement agreement was executed and filed with the court for approval during the second quarter of 2018. The proposed settlement was preliminarily approved by the court in July 2018. The settlement amount of $200 million was paid, pursuant to the settlement agreement, during the third quarter of 2018. The settlement agreement is subject to the final approval of the court which is expected to occur in the fourth quarter of 2018.</w:t>
      </w:r>
    </w:p>
    <w:p>
      <w:pPr>
        <w:spacing w:after="0" w:line="17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Due to their complex nature, it is difficult to estimate when litigation or investigatory matters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8" w:name="page89"/>
    <w:bookmarkEnd w:id="88"/>
    <w:p>
      <w:pPr>
        <w:spacing w:after="0"/>
        <w:tabs>
          <w:tab w:leader="none" w:pos="102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09" w:lineRule="exact"/>
        <w:rPr>
          <w:sz w:val="20"/>
          <w:szCs w:val="20"/>
          <w:color w:val="auto"/>
        </w:rPr>
      </w:pPr>
    </w:p>
    <w:p>
      <w:pPr>
        <w:ind w:firstLine="518"/>
        <w:spacing w:after="0" w:line="263"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2017.</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09" w:lineRule="exact"/>
        <w:rPr>
          <w:sz w:val="20"/>
          <w:szCs w:val="20"/>
          <w:color w:val="auto"/>
        </w:rPr>
      </w:pPr>
    </w:p>
    <w:p>
      <w:pPr>
        <w:ind w:left="800" w:hanging="274"/>
        <w:spacing w:after="0"/>
        <w:tabs>
          <w:tab w:leader="none" w:pos="8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1"/>
        </w:numPr>
        <w:rPr>
          <w:rFonts w:ascii="Arial" w:cs="Arial" w:eastAsia="Arial" w:hAnsi="Arial"/>
          <w:sz w:val="21"/>
          <w:szCs w:val="21"/>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w w:val="91"/>
              </w:rPr>
              <w:t>Issuer Purchases of Equity Securities</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3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spacing w:after="0" w:line="137" w:lineRule="exact"/>
              <w:rPr>
                <w:sz w:val="20"/>
                <w:szCs w:val="20"/>
                <w:color w:val="auto"/>
              </w:rPr>
            </w:pPr>
            <w:r>
              <w:rPr>
                <w:rFonts w:ascii="Arial" w:cs="Arial" w:eastAsia="Arial" w:hAnsi="Arial"/>
                <w:sz w:val="14"/>
                <w:szCs w:val="14"/>
                <w:color w:val="auto"/>
                <w:w w:val="97"/>
              </w:rPr>
              <w:t>(d)Maximum</w:t>
            </w:r>
          </w:p>
        </w:tc>
        <w:tc>
          <w:tcPr>
            <w:tcW w:w="80" w:type="dxa"/>
            <w:vAlign w:val="bottom"/>
          </w:tcPr>
          <w:p>
            <w:pPr>
              <w:spacing w:after="0"/>
              <w:rPr>
                <w:sz w:val="11"/>
                <w:szCs w:val="11"/>
                <w:color w:val="auto"/>
              </w:rPr>
            </w:pP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(c)Total</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Shares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Dollar Value)</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Purchased</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as Part of</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28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(b)Average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Publicly</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Price Paid</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Announced</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Under the</w:t>
            </w: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per Share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Plans or</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Plans or</w:t>
            </w:r>
          </w:p>
        </w:tc>
      </w:tr>
      <w:tr>
        <w:trPr>
          <w:trHeight w:val="161"/>
        </w:trPr>
        <w:tc>
          <w:tcPr>
            <w:tcW w:w="4580" w:type="dxa"/>
            <w:vAlign w:val="bottom"/>
            <w:gridSpan w:val="3"/>
          </w:tcPr>
          <w:p>
            <w:pPr>
              <w:spacing w:after="0" w:line="153" w:lineRule="exact"/>
              <w:rPr>
                <w:sz w:val="20"/>
                <w:szCs w:val="20"/>
                <w:color w:val="auto"/>
              </w:rPr>
            </w:pPr>
            <w:r>
              <w:rPr>
                <w:rFonts w:ascii="Arial" w:cs="Arial" w:eastAsia="Arial" w:hAnsi="Arial"/>
                <w:sz w:val="14"/>
                <w:szCs w:val="14"/>
                <w:color w:val="auto"/>
              </w:rPr>
              <w:t>Period</w:t>
            </w:r>
          </w:p>
        </w:tc>
        <w:tc>
          <w:tcPr>
            <w:tcW w:w="820" w:type="dxa"/>
            <w:vAlign w:val="bottom"/>
          </w:tcPr>
          <w:p>
            <w:pPr>
              <w:jc w:val="center"/>
              <w:spacing w:after="0" w:line="153" w:lineRule="exact"/>
              <w:rPr>
                <w:sz w:val="20"/>
                <w:szCs w:val="20"/>
                <w:color w:val="auto"/>
              </w:rPr>
            </w:pPr>
            <w:r>
              <w:rPr>
                <w:rFonts w:ascii="Arial" w:cs="Arial" w:eastAsia="Arial" w:hAnsi="Arial"/>
                <w:sz w:val="14"/>
                <w:szCs w:val="14"/>
                <w:color w:val="auto"/>
                <w:w w:val="90"/>
              </w:rPr>
              <w:t>Purchased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80"/>
              <w:spacing w:after="0" w:line="153" w:lineRule="exact"/>
              <w:rPr>
                <w:sz w:val="20"/>
                <w:szCs w:val="20"/>
                <w:color w:val="auto"/>
              </w:rPr>
            </w:pPr>
            <w:r>
              <w:rPr>
                <w:rFonts w:ascii="Arial" w:cs="Arial" w:eastAsia="Arial" w:hAnsi="Arial"/>
                <w:sz w:val="14"/>
                <w:szCs w:val="14"/>
                <w:color w:val="auto"/>
                <w:w w:val="98"/>
              </w:rPr>
              <w:t>(or Unit)</w:t>
            </w: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w w:val="92"/>
              </w:rPr>
              <w:t>Programs</w:t>
            </w:r>
          </w:p>
        </w:tc>
        <w:tc>
          <w:tcPr>
            <w:tcW w:w="124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w w:val="92"/>
              </w:rPr>
              <w:t>Programs (2)</w:t>
            </w:r>
          </w:p>
        </w:tc>
      </w:tr>
      <w:tr>
        <w:trPr>
          <w:trHeight w:val="229"/>
        </w:trPr>
        <w:tc>
          <w:tcPr>
            <w:tcW w:w="380" w:type="dxa"/>
            <w:vAlign w:val="bottom"/>
            <w:tcBorders>
              <w:top w:val="single" w:sz="8" w:color="auto"/>
            </w:tcBorders>
            <w:shd w:val="clear" w:color="auto" w:fill="CFF0FC"/>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80" w:type="dxa"/>
            <w:vAlign w:val="bottom"/>
            <w:gridSpan w:val="3"/>
          </w:tcPr>
          <w:p>
            <w:pPr>
              <w:spacing w:after="0"/>
              <w:rPr>
                <w:sz w:val="20"/>
                <w:szCs w:val="20"/>
                <w:color w:val="auto"/>
              </w:rPr>
            </w:pPr>
            <w:r>
              <w:rPr>
                <w:rFonts w:ascii="Arial" w:cs="Arial" w:eastAsia="Arial" w:hAnsi="Arial"/>
                <w:sz w:val="18"/>
                <w:szCs w:val="18"/>
                <w:color w:val="auto"/>
              </w:rPr>
              <w:t>July 1 - July 31, 2018</w:t>
            </w:r>
          </w:p>
        </w:tc>
        <w:tc>
          <w:tcPr>
            <w:tcW w:w="820" w:type="dxa"/>
            <w:vAlign w:val="bottom"/>
          </w:tcPr>
          <w:p>
            <w:pPr>
              <w:jc w:val="right"/>
              <w:spacing w:after="0"/>
              <w:rPr>
                <w:sz w:val="20"/>
                <w:szCs w:val="20"/>
                <w:color w:val="auto"/>
              </w:rPr>
            </w:pPr>
            <w:r>
              <w:rPr>
                <w:rFonts w:ascii="Arial" w:cs="Arial" w:eastAsia="Arial" w:hAnsi="Arial"/>
                <w:sz w:val="18"/>
                <w:szCs w:val="18"/>
                <w:color w:val="auto"/>
              </w:rPr>
              <w:t>450,301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172.92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450,000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87"/>
              </w:rPr>
              <w:t>$ 1,722,188,000</w:t>
            </w:r>
          </w:p>
        </w:tc>
        <w:tc>
          <w:tcPr>
            <w:tcW w:w="80" w:type="dxa"/>
            <w:vAlign w:val="bottom"/>
          </w:tcPr>
          <w:p>
            <w:pPr>
              <w:spacing w:after="0"/>
              <w:rPr>
                <w:sz w:val="19"/>
                <w:szCs w:val="19"/>
                <w:color w:val="auto"/>
              </w:rPr>
            </w:pPr>
          </w:p>
        </w:tc>
      </w:tr>
      <w:tr>
        <w:trPr>
          <w:trHeight w:val="229"/>
        </w:trPr>
        <w:tc>
          <w:tcPr>
            <w:tcW w:w="4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August 1 - August 31, 2018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1,275,240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1,275,000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1,499,473,000</w:t>
            </w:r>
          </w:p>
        </w:tc>
        <w:tc>
          <w:tcPr>
            <w:tcW w:w="8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September 1 - September 30, 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1,119,159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1,119,159</w:t>
            </w: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1,301,500,000</w:t>
            </w:r>
          </w:p>
        </w:tc>
        <w:tc>
          <w:tcPr>
            <w:tcW w:w="80" w:type="dxa"/>
            <w:vAlign w:val="bottom"/>
            <w:tcBorders>
              <w:bottom w:val="single" w:sz="8" w:color="CFF0FC"/>
            </w:tcBorders>
          </w:tcPr>
          <w:p>
            <w:pPr>
              <w:spacing w:after="0"/>
              <w:rPr>
                <w:sz w:val="19"/>
                <w:szCs w:val="19"/>
                <w:color w:val="auto"/>
              </w:rPr>
            </w:pPr>
          </w:p>
        </w:tc>
      </w:tr>
      <w:tr>
        <w:trPr>
          <w:trHeight w:val="223"/>
        </w:trPr>
        <w:tc>
          <w:tcPr>
            <w:tcW w:w="45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2,844,700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175.27</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2,844,159</w:t>
            </w:r>
          </w:p>
        </w:tc>
        <w:tc>
          <w:tcPr>
            <w:tcW w:w="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54" w:lineRule="auto"/>
        <w:tabs>
          <w:tab w:leader="none" w:pos="5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On July 17, 2018, M&amp;T announced a program to purchase up to $1.8 billion of its common stock through June 30, 2019.</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460" w:type="dxa"/>
            <w:vAlign w:val="bottom"/>
            <w:gridSpan w:val="5"/>
          </w:tcPr>
          <w:p>
            <w:pPr>
              <w:ind w:left="80"/>
              <w:spacing w:after="0"/>
              <w:rPr>
                <w:sz w:val="20"/>
                <w:szCs w:val="20"/>
                <w:color w:val="auto"/>
              </w:rPr>
            </w:pPr>
            <w:r>
              <w:rPr>
                <w:rFonts w:ascii="Arial" w:cs="Arial" w:eastAsia="Arial" w:hAnsi="Arial"/>
                <w:sz w:val="21"/>
                <w:szCs w:val="21"/>
                <w:color w:val="auto"/>
              </w:rPr>
              <w:t>Exhibits.</w:t>
            </w:r>
          </w:p>
        </w:tc>
      </w:tr>
      <w:tr>
        <w:trPr>
          <w:trHeight w:val="351"/>
        </w:trPr>
        <w:tc>
          <w:tcPr>
            <w:tcW w:w="11420" w:type="dxa"/>
            <w:vAlign w:val="bottom"/>
            <w:gridSpan w:val="6"/>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7"/>
        </w:trPr>
        <w:tc>
          <w:tcPr>
            <w:tcW w:w="960" w:type="dxa"/>
            <w:vAlign w:val="bottom"/>
          </w:tcPr>
          <w:p>
            <w:pPr>
              <w:ind w:left="180"/>
              <w:spacing w:after="0"/>
              <w:rPr>
                <w:sz w:val="20"/>
                <w:szCs w:val="20"/>
                <w:color w:val="auto"/>
              </w:rPr>
            </w:pPr>
            <w:r>
              <w:rPr>
                <w:rFonts w:ascii="Arial" w:cs="Arial" w:eastAsia="Arial" w:hAnsi="Arial"/>
                <w:sz w:val="21"/>
                <w:szCs w:val="21"/>
                <w:color w:val="auto"/>
              </w:rPr>
              <w:t>Exhibit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21"/>
                <w:szCs w:val="21"/>
                <w:color w:val="auto"/>
              </w:rPr>
              <w:t>No.</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681"/>
        </w:trPr>
        <w:tc>
          <w:tcPr>
            <w:tcW w:w="960" w:type="dxa"/>
            <w:vAlign w:val="bottom"/>
          </w:tcPr>
          <w:p>
            <w:pPr>
              <w:ind w:left="120"/>
              <w:spacing w:after="0"/>
              <w:rPr>
                <w:sz w:val="20"/>
                <w:szCs w:val="20"/>
                <w:color w:val="auto"/>
              </w:rPr>
            </w:pPr>
            <w:r>
              <w:rPr>
                <w:rFonts w:ascii="Arial" w:cs="Arial" w:eastAsia="Arial" w:hAnsi="Arial"/>
                <w:sz w:val="21"/>
                <w:szCs w:val="21"/>
                <w:color w:val="auto"/>
              </w:rPr>
              <w:t>31.1</w:t>
            </w:r>
          </w:p>
        </w:tc>
        <w:tc>
          <w:tcPr>
            <w:tcW w:w="20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21"/>
                <w:szCs w:val="21"/>
                <w:color w:val="0000EE"/>
              </w:rPr>
            </w:pPr>
            <w:hyperlink w:anchor="page91">
              <w:r>
                <w:rPr>
                  <w:rFonts w:ascii="Arial" w:cs="Arial" w:eastAsia="Arial" w:hAnsi="Arial"/>
                  <w:sz w:val="21"/>
                  <w:szCs w:val="21"/>
                  <w:color w:val="0000EE"/>
                </w:rPr>
                <w:t>Certification of Chief Executive Officer under Section 302 of the Sarbanes-Oxley Act of 2002. Filed herewith.</w:t>
              </w:r>
            </w:hyperlink>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31.2</w:t>
            </w:r>
          </w:p>
        </w:tc>
        <w:tc>
          <w:tcPr>
            <w:tcW w:w="20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2"/>
          </w:tcPr>
          <w:p>
            <w:pPr>
              <w:spacing w:after="0"/>
              <w:rPr>
                <w:rFonts w:ascii="Arial" w:cs="Arial" w:eastAsia="Arial" w:hAnsi="Arial"/>
                <w:sz w:val="21"/>
                <w:szCs w:val="21"/>
                <w:color w:val="0000EE"/>
                <w:w w:val="90"/>
              </w:rPr>
            </w:pPr>
            <w:hyperlink w:anchor="page92">
              <w:r>
                <w:rPr>
                  <w:rFonts w:ascii="Arial" w:cs="Arial" w:eastAsia="Arial" w:hAnsi="Arial"/>
                  <w:sz w:val="21"/>
                  <w:szCs w:val="21"/>
                  <w:color w:val="0000EE"/>
                  <w:w w:val="90"/>
                </w:rPr>
                <w:t>Certification of Chief Financial Officer under Section 302 of the Sarbanes-Oxley Act of 2002. Filed herewith.</w:t>
              </w:r>
            </w:hyperlink>
          </w:p>
        </w:tc>
        <w:tc>
          <w:tcPr>
            <w:tcW w:w="4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32.1</w:t>
            </w:r>
          </w:p>
        </w:tc>
        <w:tc>
          <w:tcPr>
            <w:tcW w:w="200" w:type="dxa"/>
            <w:vAlign w:val="bottom"/>
          </w:tcPr>
          <w:p>
            <w:pPr>
              <w:spacing w:after="0"/>
              <w:rPr>
                <w:sz w:val="24"/>
                <w:szCs w:val="24"/>
                <w:color w:val="auto"/>
              </w:rPr>
            </w:pPr>
          </w:p>
        </w:tc>
        <w:tc>
          <w:tcPr>
            <w:tcW w:w="10260" w:type="dxa"/>
            <w:vAlign w:val="bottom"/>
            <w:tcBorders>
              <w:bottom w:val="single" w:sz="8" w:color="0000EE"/>
            </w:tcBorders>
            <w:gridSpan w:val="4"/>
          </w:tcPr>
          <w:p>
            <w:pPr>
              <w:spacing w:after="0"/>
              <w:rPr>
                <w:rFonts w:ascii="Arial" w:cs="Arial" w:eastAsia="Arial" w:hAnsi="Arial"/>
                <w:sz w:val="21"/>
                <w:szCs w:val="21"/>
                <w:color w:val="0000EE"/>
                <w:w w:val="90"/>
              </w:rPr>
            </w:pPr>
            <w:hyperlink w:anchor="page93">
              <w:r>
                <w:rPr>
                  <w:rFonts w:ascii="Arial" w:cs="Arial" w:eastAsia="Arial" w:hAnsi="Arial"/>
                  <w:sz w:val="21"/>
                  <w:szCs w:val="21"/>
                  <w:color w:val="0000EE"/>
                  <w:w w:val="90"/>
                </w:rPr>
                <w:t>Certification of Chief Executive Officer under 18 U.S.C. §1350 pursuant to Section 906 of the Sarbanes-Oxley Act of 2002.</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4"/>
          </w:tcPr>
          <w:p>
            <w:pPr>
              <w:spacing w:after="0" w:line="223" w:lineRule="exact"/>
              <w:rPr>
                <w:rFonts w:ascii="Arial" w:cs="Arial" w:eastAsia="Arial" w:hAnsi="Arial"/>
                <w:sz w:val="21"/>
                <w:szCs w:val="21"/>
                <w:color w:val="0000EE"/>
              </w:rPr>
            </w:pPr>
            <w:hyperlink w:anchor="page93">
              <w:r>
                <w:rPr>
                  <w:rFonts w:ascii="Arial" w:cs="Arial" w:eastAsia="Arial" w:hAnsi="Arial"/>
                  <w:sz w:val="21"/>
                  <w:szCs w:val="21"/>
                  <w:color w:val="0000EE"/>
                </w:rPr>
                <w:t>Filed herewith.</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20" w:type="dxa"/>
            <w:vAlign w:val="bottom"/>
            <w:gridSpan w:val="3"/>
          </w:tcPr>
          <w:p>
            <w:pPr>
              <w:spacing w:after="0" w:line="20" w:lineRule="exact"/>
              <w:rPr>
                <w:sz w:val="1"/>
                <w:szCs w:val="1"/>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32.2</w:t>
            </w:r>
          </w:p>
        </w:tc>
        <w:tc>
          <w:tcPr>
            <w:tcW w:w="200" w:type="dxa"/>
            <w:vAlign w:val="bottom"/>
          </w:tcPr>
          <w:p>
            <w:pPr>
              <w:spacing w:after="0"/>
              <w:rPr>
                <w:sz w:val="24"/>
                <w:szCs w:val="24"/>
                <w:color w:val="auto"/>
              </w:rPr>
            </w:pPr>
          </w:p>
        </w:tc>
        <w:tc>
          <w:tcPr>
            <w:tcW w:w="10260" w:type="dxa"/>
            <w:vAlign w:val="bottom"/>
            <w:tcBorders>
              <w:bottom w:val="single" w:sz="8" w:color="0000EE"/>
            </w:tcBorders>
            <w:gridSpan w:val="4"/>
          </w:tcPr>
          <w:p>
            <w:pPr>
              <w:spacing w:after="0"/>
              <w:rPr>
                <w:rFonts w:ascii="Arial" w:cs="Arial" w:eastAsia="Arial" w:hAnsi="Arial"/>
                <w:sz w:val="21"/>
                <w:szCs w:val="21"/>
                <w:color w:val="0000EE"/>
                <w:w w:val="90"/>
              </w:rPr>
            </w:pPr>
            <w:hyperlink w:anchor="page94">
              <w:r>
                <w:rPr>
                  <w:rFonts w:ascii="Arial" w:cs="Arial" w:eastAsia="Arial" w:hAnsi="Arial"/>
                  <w:sz w:val="21"/>
                  <w:szCs w:val="21"/>
                  <w:color w:val="0000EE"/>
                  <w:w w:val="90"/>
                </w:rPr>
                <w:t>Certification of Chief Financial Officer under 18 U.S.C. §1350 pursuant to Section 906 of the Sarbanes-Oxley Act of 2002.</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4"/>
          </w:tcPr>
          <w:p>
            <w:pPr>
              <w:spacing w:after="0" w:line="223" w:lineRule="exact"/>
              <w:rPr>
                <w:rFonts w:ascii="Arial" w:cs="Arial" w:eastAsia="Arial" w:hAnsi="Arial"/>
                <w:sz w:val="21"/>
                <w:szCs w:val="21"/>
                <w:color w:val="0000EE"/>
              </w:rPr>
            </w:pPr>
            <w:hyperlink w:anchor="page94">
              <w:r>
                <w:rPr>
                  <w:rFonts w:ascii="Arial" w:cs="Arial" w:eastAsia="Arial" w:hAnsi="Arial"/>
                  <w:sz w:val="21"/>
                  <w:szCs w:val="21"/>
                  <w:color w:val="0000EE"/>
                </w:rPr>
                <w:t>Filed herewith.</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20" w:type="dxa"/>
            <w:vAlign w:val="bottom"/>
            <w:gridSpan w:val="3"/>
          </w:tcPr>
          <w:p>
            <w:pPr>
              <w:spacing w:after="0" w:line="20" w:lineRule="exact"/>
              <w:rPr>
                <w:sz w:val="1"/>
                <w:szCs w:val="1"/>
                <w:color w:val="auto"/>
              </w:rPr>
            </w:pPr>
          </w:p>
        </w:tc>
      </w:tr>
      <w:tr>
        <w:trPr>
          <w:trHeight w:val="514"/>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20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21"/>
                <w:szCs w:val="21"/>
                <w:color w:val="auto"/>
              </w:rPr>
              <w:t>XBRL Taxonomy Definition Linkbase. Filed herewith.</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672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700" w:val="left"/>
          <w:tab w:leader="none" w:pos="7160" w:val="left"/>
        </w:tabs>
        <w:rPr>
          <w:sz w:val="20"/>
          <w:szCs w:val="20"/>
          <w:color w:val="auto"/>
        </w:rPr>
      </w:pPr>
      <w:r>
        <w:rPr>
          <w:rFonts w:ascii="Arial" w:cs="Arial" w:eastAsia="Arial" w:hAnsi="Arial"/>
          <w:sz w:val="20"/>
          <w:szCs w:val="20"/>
          <w:color w:val="auto"/>
        </w:rPr>
        <w:t>Date: November 5,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10160</wp:posOffset>
            </wp:positionV>
            <wp:extent cx="2698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20"/>
          <w:szCs w:val="20"/>
          <w:color w:val="auto"/>
        </w:rPr>
        <w:t>Darren J. King</w:t>
      </w:r>
    </w:p>
    <w:p>
      <w:pPr>
        <w:spacing w:after="0" w:line="7"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Executive Vice President</w:t>
      </w:r>
    </w:p>
    <w:p>
      <w:pPr>
        <w:ind w:left="718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34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2"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40" w:hanging="432"/>
        <w:spacing w:after="0" w:line="204" w:lineRule="auto"/>
        <w:tabs>
          <w:tab w:leader="none" w:pos="4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40" w:hanging="432"/>
        <w:spacing w:after="0" w:line="194"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440" w:hanging="432"/>
        <w:spacing w:after="0" w:line="234"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November 5, 2018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9525</wp:posOffset>
            </wp:positionV>
            <wp:extent cx="2560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1"/>
          <w:szCs w:val="21"/>
          <w:color w:val="auto"/>
        </w:rPr>
        <w:t>EXHIBIT 31.2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2"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40" w:hanging="432"/>
        <w:spacing w:after="0" w:line="204" w:lineRule="auto"/>
        <w:tabs>
          <w:tab w:leader="none" w:pos="4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40" w:hanging="432"/>
        <w:spacing w:after="0" w:line="194"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440" w:hanging="432"/>
        <w:spacing w:after="0" w:line="234" w:lineRule="auto"/>
        <w:tabs>
          <w:tab w:leader="none" w:pos="4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November 5, 2018</w:t>
      </w:r>
    </w:p>
    <w:p>
      <w:pPr>
        <w:spacing w:after="0" w:line="200" w:lineRule="exact"/>
        <w:rPr>
          <w:sz w:val="20"/>
          <w:szCs w:val="20"/>
          <w:color w:val="auto"/>
        </w:rPr>
      </w:pPr>
    </w:p>
    <w:p>
      <w:pPr>
        <w:spacing w:after="0" w:line="273"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952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420"/>
          </w:cols>
          <w:pgMar w:left="240" w:top="85" w:right="239" w:bottom="1440" w:gutter="0" w:footer="0" w:header="0"/>
        </w:sectPr>
      </w:pPr>
    </w:p>
    <w:bookmarkStart w:id="92" w:name="page93"/>
    <w:bookmarkEnd w:id="92"/>
    <w:p>
      <w:pPr>
        <w:ind w:left="1018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2" w:lineRule="exact"/>
        <w:rPr>
          <w:sz w:val="20"/>
          <w:szCs w:val="20"/>
          <w:color w:val="auto"/>
        </w:rPr>
      </w:pPr>
    </w:p>
    <w:p>
      <w:pPr>
        <w:jc w:val="both"/>
        <w:ind w:left="1900" w:right="1920" w:hanging="948"/>
        <w:spacing w:after="0" w:line="262" w:lineRule="auto"/>
        <w:tabs>
          <w:tab w:leader="none" w:pos="19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2018 (the "Report") fully complies with the requirements of Section 13(a) or 15(d) of the Securities Exchange Act of 1934 (15 U.S.C. 78m or 78o(d)); and</w:t>
      </w:r>
    </w:p>
    <w:p>
      <w:pPr>
        <w:spacing w:after="0" w:line="147" w:lineRule="exact"/>
        <w:rPr>
          <w:rFonts w:ascii="Arial" w:cs="Arial" w:eastAsia="Arial" w:hAnsi="Arial"/>
          <w:sz w:val="19"/>
          <w:szCs w:val="19"/>
          <w:color w:val="auto"/>
        </w:rPr>
      </w:pPr>
    </w:p>
    <w:p>
      <w:pPr>
        <w:ind w:left="1900" w:right="1920" w:hanging="948"/>
        <w:spacing w:after="0" w:line="238" w:lineRule="auto"/>
        <w:tabs>
          <w:tab w:leader="none" w:pos="19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503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November 5,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93" w:name="page94"/>
    <w:bookmarkEnd w:id="93"/>
    <w:p>
      <w:pPr>
        <w:ind w:left="1018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 Darren J. King, Executive Vice President and Chief Financial Officer of M&amp;T Bank Corporation, certify, pursuant to Section 906 of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2" w:lineRule="exact"/>
        <w:rPr>
          <w:sz w:val="20"/>
          <w:szCs w:val="20"/>
          <w:color w:val="auto"/>
        </w:rPr>
      </w:pPr>
    </w:p>
    <w:p>
      <w:pPr>
        <w:jc w:val="both"/>
        <w:ind w:left="1900" w:right="1920" w:hanging="948"/>
        <w:spacing w:after="0" w:line="262" w:lineRule="auto"/>
        <w:tabs>
          <w:tab w:leader="none" w:pos="19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2018 (the "Report") fully complies with the requirements of Section 13(a) or 15(d) of the Securities Exchange Act of 1934 (15 U.S.C. 78m or 78o(d)); and</w:t>
      </w:r>
    </w:p>
    <w:p>
      <w:pPr>
        <w:spacing w:after="0" w:line="147" w:lineRule="exact"/>
        <w:rPr>
          <w:rFonts w:ascii="Arial" w:cs="Arial" w:eastAsia="Arial" w:hAnsi="Arial"/>
          <w:sz w:val="19"/>
          <w:szCs w:val="19"/>
          <w:color w:val="auto"/>
        </w:rPr>
      </w:pPr>
    </w:p>
    <w:p>
      <w:pPr>
        <w:ind w:left="1900" w:right="1920" w:hanging="948"/>
        <w:spacing w:after="0" w:line="238" w:lineRule="auto"/>
        <w:tabs>
          <w:tab w:leader="none" w:pos="19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503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November 5,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lvl w:ilvl="1">
      <w:lvlJc w:val="left"/>
      <w:lvlText w:val="-"/>
      <w:numFmt w:val="bullet"/>
      <w:start w:val="1"/>
    </w:lvl>
  </w:abstractNum>
  <w:abstractNum w:abstractNumId="3">
    <w:nsid w:val="2D1D5AE9"/>
    <w:multiLevelType w:val="hybridMultilevel"/>
    <w:lvl w:ilvl="0">
      <w:lvlJc w:val="left"/>
      <w:lvlText w:val="(%1)"/>
      <w:numFmt w:val="lowerLetter"/>
      <w:start w:val="1"/>
    </w:lvl>
    <w:lvl w:ilvl="1">
      <w:lvlJc w:val="left"/>
      <w:lvlText w:val="-"/>
      <w:numFmt w:val="bullet"/>
      <w:start w:val="1"/>
    </w:lvl>
  </w:abstractNum>
  <w:abstractNum w:abstractNumId="4">
    <w:nsid w:val="6763845E"/>
    <w:multiLevelType w:val="hybridMultilevel"/>
    <w:lvl w:ilvl="0">
      <w:lvlJc w:val="left"/>
      <w:lvlText w:val="(%1)"/>
      <w:numFmt w:val="lowerLetter"/>
      <w:start w:val="1"/>
    </w:lvl>
    <w:lvl w:ilvl="1">
      <w:lvlJc w:val="left"/>
      <w:lvlText w:val="-"/>
      <w:numFmt w:val="bullet"/>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lvl w:ilvl="1">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lvl w:ilvl="1">
      <w:lvlJc w:val="left"/>
      <w:lvlText w:val="-"/>
      <w:numFmt w:val="bullet"/>
      <w:start w:val="1"/>
    </w:lvl>
  </w:abstractNum>
  <w:abstractNum w:abstractNumId="14">
    <w:nsid w:val="836C40E"/>
    <w:multiLevelType w:val="hybridMultilevel"/>
    <w:lvl w:ilvl="0">
      <w:lvlJc w:val="left"/>
      <w:lvlText w:val="(%1)"/>
      <w:numFmt w:val="lowerLetter"/>
      <w:start w:val="1"/>
    </w:lvl>
    <w:lvl w:ilvl="1">
      <w:lvlJc w:val="left"/>
      <w:lvlText w:val="-"/>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1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lvl w:ilvl="1">
      <w:lvlJc w:val="left"/>
      <w:lvlText w:val="-"/>
      <w:numFmt w:val="bullet"/>
      <w:start w:val="1"/>
    </w:lvl>
  </w:abstractNum>
  <w:abstractNum w:abstractNumId="20">
    <w:nsid w:val="737B8DDC"/>
    <w:multiLevelType w:val="hybridMultilevel"/>
    <w:lvl w:ilvl="0">
      <w:lvlJc w:val="left"/>
      <w:lvlText w:val="(%1)"/>
      <w:numFmt w:val="lowerLetter"/>
      <w:start w:val="1"/>
    </w:lvl>
    <w:lvl w:ilvl="1">
      <w:lvlJc w:val="left"/>
      <w:lvlText w:val="(%2)"/>
      <w:numFmt w:val="lowerLetter"/>
      <w:start w:val="3"/>
    </w:lvl>
  </w:abstractNum>
  <w:abstractNum w:abstractNumId="21">
    <w:nsid w:val="6CEAF087"/>
    <w:multiLevelType w:val="hybridMultilevel"/>
    <w:lvl w:ilvl="0">
      <w:lvlJc w:val="left"/>
      <w:lvlText w:val="(%1)"/>
      <w:numFmt w:val="lowerRoman"/>
      <w:start w:val="5"/>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1)"/>
      <w:numFmt w:val="lowerLetter"/>
      <w:start w:val="1"/>
    </w:lvl>
    <w:lvl w:ilvl="1">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2019-12-28T18:36:35Z</dcterms:created>
  <dcterms:modified xsi:type="dcterms:W3CDTF">2019-12-28T18:36:35Z</dcterms:modified>
</cp:coreProperties>
</file>