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2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7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40"/>
          </w:cols>
          <w:pgMar w:left="240" w:top="122" w:right="419" w:bottom="1440" w:gutter="0" w:footer="0" w:header="0"/>
        </w:sectPr>
      </w:pPr>
    </w:p>
    <w:p>
      <w:pPr>
        <w:spacing w:after="0" w:line="91"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100"/>
          </w:cols>
          <w:pgMar w:left="240" w:top="122" w:right="41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29, 2008: 110,285,959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80" w:type="dxa"/>
            <w:vAlign w:val="bottom"/>
            <w:tcBorders>
              <w:bottom w:val="single" w:sz="8" w:color="auto"/>
            </w:tcBorders>
            <w:gridSpan w:val="27"/>
          </w:tcPr>
          <w:p>
            <w:pPr>
              <w:spacing w:after="0"/>
              <w:rPr>
                <w:sz w:val="20"/>
                <w:szCs w:val="20"/>
                <w:color w:val="auto"/>
              </w:rPr>
            </w:pPr>
            <w:r>
              <w:rPr>
                <w:rFonts w:ascii="Arial" w:cs="Arial" w:eastAsia="Arial" w:hAnsi="Arial"/>
                <w:sz w:val="14"/>
                <w:szCs w:val="14"/>
                <w:color w:val="auto"/>
              </w:rPr>
              <w:t>Table of Contents of Information Required in Report</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Page</w:t>
            </w:r>
          </w:p>
        </w:tc>
      </w:tr>
      <w:tr>
        <w:trPr>
          <w:trHeight w:val="169"/>
        </w:trPr>
        <w:tc>
          <w:tcPr>
            <w:tcW w:w="10280" w:type="dxa"/>
            <w:vAlign w:val="bottom"/>
            <w:gridSpan w:val="27"/>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54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September 30, 2008 and December 31, 2007</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nine months ended September 30, 2008 and 2007</w:t>
              </w:r>
            </w:hyperlink>
          </w:p>
        </w:tc>
        <w:tc>
          <w:tcPr>
            <w:tcW w:w="1780" w:type="dxa"/>
            <w:vAlign w:val="bottom"/>
            <w:gridSpan w:val="3"/>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Nine months ended September 30, 2008 and 2007</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 OF CHANGES IN STOCKHOLDERS’ EQUITY — Nine months ended September 30, 2008 and</w:t>
              </w:r>
            </w:hyperlink>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420" w:type="dxa"/>
            <w:vAlign w:val="bottom"/>
            <w:gridSpan w:val="2"/>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2007</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SUMMARY OF CHANGES IN ALLOWANCE FOR CREDIT LOSSES — Nine months ended September 30, 2008</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2007</w:t>
              </w:r>
            </w:hyperlink>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800" w:type="dxa"/>
            <w:vAlign w:val="bottom"/>
            <w:gridSpan w:val="10"/>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2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Part II. OTHER INFORMATION</w:t>
              </w:r>
            </w:hyperlink>
          </w:p>
        </w:tc>
        <w:tc>
          <w:tcPr>
            <w:tcW w:w="7840" w:type="dxa"/>
            <w:vAlign w:val="bottom"/>
            <w:gridSpan w:val="14"/>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 Legal Proceedings.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1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1A. Risk Factors.</w:t>
              </w:r>
            </w:hyperlink>
          </w:p>
        </w:tc>
        <w:tc>
          <w:tcPr>
            <w:tcW w:w="8140" w:type="dxa"/>
            <w:vAlign w:val="bottom"/>
            <w:gridSpan w:val="1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2. Unregistered Sales of Equity Securities and Use of Proceeds.</w:t>
              </w:r>
            </w:hyperlink>
          </w:p>
        </w:tc>
        <w:tc>
          <w:tcPr>
            <w:tcW w:w="5120" w:type="dxa"/>
            <w:vAlign w:val="bottom"/>
            <w:gridSpan w:val="8"/>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Item 3. Defaults Upon Senior Securities.</w:t>
              </w:r>
            </w:hyperlink>
          </w:p>
        </w:tc>
        <w:tc>
          <w:tcPr>
            <w:tcW w:w="7140" w:type="dxa"/>
            <w:vAlign w:val="bottom"/>
            <w:gridSpan w:val="11"/>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22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Item 4. Submission of Matters to a Vote of Security Holders.</w:t>
              </w:r>
            </w:hyperlink>
          </w:p>
        </w:tc>
        <w:tc>
          <w:tcPr>
            <w:tcW w:w="5700" w:type="dxa"/>
            <w:vAlign w:val="bottom"/>
            <w:gridSpan w:val="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2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5. Other Information.</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8160" w:type="dxa"/>
            <w:vAlign w:val="bottom"/>
            <w:gridSpan w:val="17"/>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1028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40" w:type="dxa"/>
            <w:vAlign w:val="bottom"/>
            <w:gridSpan w:val="2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 INDEX</w:t>
              </w:r>
            </w:hyperlink>
          </w:p>
        </w:tc>
        <w:tc>
          <w:tcPr>
            <w:tcW w:w="8940" w:type="dxa"/>
            <w:vAlign w:val="bottom"/>
            <w:gridSpan w:val="20"/>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EWX-32.2</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880" w:type="dxa"/>
            <w:vAlign w:val="bottom"/>
            <w:gridSpan w:val="2"/>
          </w:tcPr>
          <w:p>
            <w:pPr>
              <w:jc w:val="right"/>
              <w:ind w:right="470"/>
              <w:spacing w:after="0"/>
              <w:rPr>
                <w:sz w:val="20"/>
                <w:szCs w:val="20"/>
                <w:color w:val="auto"/>
              </w:rPr>
            </w:pPr>
            <w:r>
              <w:rPr>
                <w:rFonts w:ascii="Arial" w:cs="Arial" w:eastAsia="Arial" w:hAnsi="Arial"/>
                <w:sz w:val="14"/>
                <w:szCs w:val="14"/>
                <w:color w:val="auto"/>
              </w:rPr>
              <w:t>September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79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500" w:type="dxa"/>
            <w:vAlign w:val="bottom"/>
          </w:tcPr>
          <w:p>
            <w:pPr>
              <w:spacing w:after="0"/>
              <w:rPr>
                <w:sz w:val="14"/>
                <w:szCs w:val="14"/>
                <w:color w:val="auto"/>
              </w:rPr>
            </w:pPr>
          </w:p>
        </w:tc>
        <w:tc>
          <w:tcPr>
            <w:tcW w:w="1380" w:type="dxa"/>
            <w:vAlign w:val="bottom"/>
          </w:tcPr>
          <w:p>
            <w:pPr>
              <w:jc w:val="right"/>
              <w:ind w:right="750"/>
              <w:spacing w:after="0"/>
              <w:rPr>
                <w:sz w:val="20"/>
                <w:szCs w:val="20"/>
                <w:color w:val="auto"/>
              </w:rPr>
            </w:pPr>
            <w:r>
              <w:rPr>
                <w:rFonts w:ascii="Arial" w:cs="Arial" w:eastAsia="Arial" w:hAnsi="Arial"/>
                <w:sz w:val="14"/>
                <w:szCs w:val="14"/>
                <w:color w:val="auto"/>
              </w:rPr>
              <w:t>2008</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1,368,917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1,719,509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13,604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18,600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90,000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370,420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281,244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Investment securities (includes pledged securities that can be sold or repledged of $1,899,690 at</w:t>
            </w: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2008; $1,988,128 at December 31, 2007)</w:t>
            </w:r>
          </w:p>
        </w:tc>
        <w:tc>
          <w:tcPr>
            <w:tcW w:w="5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w w:val="98"/>
              </w:rPr>
              <w:t>Available for sale (cost: $7,906,127 at September 30, 2008; $8,451,411 at December 31, 2007)</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7,348,424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8,379,169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 (fair value: $456,546 at September 30, 2008; $78,250 at December 31, 2007)</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492,417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76,441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$592,600 at September 30, 2008; $506,388 at December 31, 2007)</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592,600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8,433,441</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8,961,998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5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49,044,502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48,352,262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(350,959)</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(330,700)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Allowance for credit losses</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(780,683)</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(759,439)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47,912,860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47,262,123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5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374,181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370,765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3,192,128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198,554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248,556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Accrued interest and other assets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3,274,510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2,768,542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65,247,215</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64,875,639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8,332,060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8,131,662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972,962</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1,190,161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18,229,152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15,419,357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9,206,371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10,668,581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5,760,748</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5,856,427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deposits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42,501,293</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41,266,188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5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1,712,859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4,351,313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borrowings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1,216,383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1,470,584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918,029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984,353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12,481,967</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10,317,945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58,830,531</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58,390,383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Preferred stock, $1 par, 1,000,000 shares authorized, none outstanding</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$.50 par, 250,000,000 shares authorized, 120,396,611 shares issued at September 30,</w:t>
            </w: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and at December 31, 2007</w:t>
            </w:r>
          </w:p>
        </w:tc>
        <w:tc>
          <w:tcPr>
            <w:tcW w:w="5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w w:val="94"/>
              </w:rPr>
              <w:t>Common stock issuable, 78,418 shares at September 30, 2008; 82,912 shares at December 31, 2007</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4,626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2,861,495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2,848,752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5,037,799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4,815,585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(462,050)</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200"/>
              <w:spacing w:after="0" w:line="201" w:lineRule="exact"/>
              <w:rPr>
                <w:sz w:val="20"/>
                <w:szCs w:val="20"/>
                <w:color w:val="auto"/>
              </w:rPr>
            </w:pPr>
            <w:r>
              <w:rPr>
                <w:rFonts w:ascii="Arial" w:cs="Arial" w:eastAsia="Arial" w:hAnsi="Arial"/>
                <w:sz w:val="18"/>
                <w:szCs w:val="18"/>
                <w:color w:val="auto"/>
                <w:w w:val="94"/>
              </w:rPr>
              <w:t>Treasury stock — common, at cost - 10,161,571 shares at September 30, 2008; 10,544,259 shares at</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2007</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3"/>
              </w:rPr>
              <w:t>(1,085,384)</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(1,129,233)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6,416,684</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6,485,256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65,247,215</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64,875,639</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STATEMENT OF INCOME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00" w:type="dxa"/>
            <w:vAlign w:val="bottom"/>
            <w:gridSpan w:val="2"/>
          </w:tcPr>
          <w:p>
            <w:pPr>
              <w:jc w:val="right"/>
              <w:ind w:right="93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2700" w:type="dxa"/>
            <w:vAlign w:val="bottom"/>
            <w:gridSpan w:val="2"/>
          </w:tcPr>
          <w:p>
            <w:pPr>
              <w:jc w:val="right"/>
              <w:ind w:right="851"/>
              <w:spacing w:after="0"/>
              <w:rPr>
                <w:sz w:val="20"/>
                <w:szCs w:val="20"/>
                <w:color w:val="auto"/>
              </w:rPr>
            </w:pPr>
            <w:r>
              <w:rPr>
                <w:rFonts w:ascii="Arial" w:cs="Arial" w:eastAsia="Arial" w:hAnsi="Arial"/>
                <w:sz w:val="14"/>
                <w:szCs w:val="14"/>
                <w:color w:val="auto"/>
              </w:rPr>
              <w:t>Nine months ended</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September 30</w:t>
            </w: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right"/>
              <w:ind w:right="1011"/>
              <w:spacing w:after="0" w:line="149" w:lineRule="exact"/>
              <w:rPr>
                <w:sz w:val="20"/>
                <w:szCs w:val="20"/>
                <w:color w:val="auto"/>
              </w:rPr>
            </w:pPr>
            <w:r>
              <w:rPr>
                <w:rFonts w:ascii="Arial" w:cs="Arial" w:eastAsia="Arial" w:hAnsi="Arial"/>
                <w:sz w:val="14"/>
                <w:szCs w:val="14"/>
                <w:color w:val="auto"/>
                <w:w w:val="88"/>
              </w:rPr>
              <w:t>September 30</w:t>
            </w:r>
          </w:p>
        </w:tc>
      </w:tr>
      <w:tr>
        <w:trPr>
          <w:trHeight w:val="167"/>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011"/>
              <w:spacing w:after="0"/>
              <w:rPr>
                <w:sz w:val="20"/>
                <w:szCs w:val="20"/>
                <w:color w:val="auto"/>
              </w:rPr>
            </w:pPr>
            <w:r>
              <w:rPr>
                <w:rFonts w:ascii="Arial" w:cs="Arial" w:eastAsia="Arial" w:hAnsi="Arial"/>
                <w:sz w:val="14"/>
                <w:szCs w:val="14"/>
                <w:color w:val="auto"/>
              </w:rPr>
              <w:t>2008</w:t>
            </w: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color w:val="auto"/>
              </w:rPr>
              <w:t>2007</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2008</w:t>
            </w:r>
          </w:p>
        </w:tc>
        <w:tc>
          <w:tcPr>
            <w:tcW w:w="1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2007</w:t>
            </w: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including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5"/>
              </w:rPr>
              <w:t>684,281</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798,572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2,160,755</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2,353,114</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Deposits at banks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25</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sold</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74</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710</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Agreements to resell securities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441</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3,249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14,254</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359</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491</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Fully taxable</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5"/>
              </w:rPr>
              <w:t>114,146</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88,280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255,083</w:t>
            </w: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Exempt from federal taxes</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rPr>
              <w:t>2,028</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2,524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8,390</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interest income</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5"/>
              </w:rPr>
              <w:t>801,354</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8"/>
              </w:rPr>
              <w:t>893,014</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2,503,090</w:t>
            </w:r>
          </w:p>
        </w:tc>
        <w:tc>
          <w:tcPr>
            <w:tcW w:w="1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2,632,239</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655</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982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3,173</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58,917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62,883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185,856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184,678</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72,100</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117,064</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258,210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377,766</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Deposits at foreign office</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18,709</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55,666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79,157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151,316</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28,155</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68,376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132,388</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205,440</w:t>
            </w: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borrowings</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95"/>
              </w:rPr>
              <w:t>134,579</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120,355</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391,456</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329,839</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interest expense</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5"/>
              </w:rPr>
              <w:t>313,115</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8"/>
              </w:rPr>
              <w:t>425,326</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1,049,369</w:t>
            </w:r>
          </w:p>
        </w:tc>
        <w:tc>
          <w:tcPr>
            <w:tcW w:w="1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1,252,212</w:t>
            </w: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680" w:type="dxa"/>
            <w:vAlign w:val="bottom"/>
          </w:tcPr>
          <w:p>
            <w:pPr>
              <w:spacing w:after="0"/>
              <w:rPr>
                <w:sz w:val="19"/>
                <w:szCs w:val="19"/>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w w:val="95"/>
              </w:rPr>
              <w:t>488,239</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w w:val="98"/>
              </w:rPr>
              <w:t>467,688</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1,453,721</w:t>
            </w:r>
          </w:p>
        </w:tc>
        <w:tc>
          <w:tcPr>
            <w:tcW w:w="1900" w:type="dxa"/>
            <w:vAlign w:val="bottom"/>
          </w:tcPr>
          <w:p>
            <w:pPr>
              <w:jc w:val="right"/>
              <w:ind w:right="191"/>
              <w:spacing w:after="0"/>
              <w:rPr>
                <w:sz w:val="20"/>
                <w:szCs w:val="20"/>
                <w:color w:val="auto"/>
              </w:rPr>
            </w:pPr>
            <w:r>
              <w:rPr>
                <w:rFonts w:ascii="Arial" w:cs="Arial" w:eastAsia="Arial" w:hAnsi="Arial"/>
                <w:sz w:val="18"/>
                <w:szCs w:val="18"/>
                <w:color w:val="auto"/>
              </w:rPr>
              <w:t>1,380,027</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5"/>
              </w:rPr>
              <w:t>101,000</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34,000</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261,000</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91,000</w:t>
            </w:r>
          </w:p>
        </w:tc>
      </w:tr>
      <w:tr>
        <w:trPr>
          <w:trHeight w:val="230"/>
        </w:trPr>
        <w:tc>
          <w:tcPr>
            <w:tcW w:w="20" w:type="dxa"/>
            <w:vAlign w:val="bottom"/>
          </w:tcPr>
          <w:p>
            <w:pPr>
              <w:spacing w:after="0"/>
              <w:rPr>
                <w:sz w:val="20"/>
                <w:szCs w:val="20"/>
                <w:color w:val="auto"/>
              </w:rPr>
            </w:pPr>
          </w:p>
        </w:tc>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95"/>
              </w:rPr>
              <w:t>387,239</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433,688</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1,192,721</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1,289,027</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Mortgage banking revenues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38,002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31,643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116,291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81,062</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5"/>
              </w:rPr>
              <w:t>110,371</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104,402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324,165</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303,615</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Trust income</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38,789</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38,168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119,519</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112,691</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Brokerage services income</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16,218</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14,978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48,902</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46,844</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4,278</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7,279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20,465</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bank investment securities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88"/>
              </w:rPr>
              <w:t>(152,273)</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(124,247)</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1,185</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680" w:type="dxa"/>
            <w:vAlign w:val="bottom"/>
          </w:tcPr>
          <w:p>
            <w:pPr>
              <w:spacing w:after="0"/>
              <w:rPr>
                <w:sz w:val="18"/>
                <w:szCs w:val="18"/>
                <w:color w:val="auto"/>
              </w:rPr>
            </w:pPr>
          </w:p>
        </w:tc>
        <w:tc>
          <w:tcPr>
            <w:tcW w:w="1560" w:type="dxa"/>
            <w:vAlign w:val="bottom"/>
          </w:tcPr>
          <w:p>
            <w:pPr>
              <w:jc w:val="right"/>
              <w:ind w:right="771"/>
              <w:spacing w:after="0"/>
              <w:rPr>
                <w:sz w:val="20"/>
                <w:szCs w:val="20"/>
                <w:color w:val="auto"/>
              </w:rPr>
            </w:pPr>
            <w:r>
              <w:rPr>
                <w:rFonts w:ascii="Arial" w:cs="Arial" w:eastAsia="Arial" w:hAnsi="Arial"/>
                <w:sz w:val="18"/>
                <w:szCs w:val="18"/>
                <w:color w:val="auto"/>
              </w:rPr>
              <w:t>(14,480)</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(11,294)</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(28,766)</w:t>
            </w:r>
          </w:p>
        </w:tc>
        <w:tc>
          <w:tcPr>
            <w:tcW w:w="1900" w:type="dxa"/>
            <w:vAlign w:val="bottom"/>
          </w:tcPr>
          <w:p>
            <w:pPr>
              <w:jc w:val="right"/>
              <w:ind w:right="131"/>
              <w:spacing w:after="0"/>
              <w:rPr>
                <w:sz w:val="20"/>
                <w:szCs w:val="20"/>
                <w:color w:val="auto"/>
              </w:rPr>
            </w:pPr>
            <w:r>
              <w:rPr>
                <w:rFonts w:ascii="Arial" w:cs="Arial" w:eastAsia="Arial" w:hAnsi="Arial"/>
                <w:sz w:val="18"/>
                <w:szCs w:val="18"/>
                <w:color w:val="auto"/>
              </w:rPr>
              <w:t>(5,594)</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rPr>
              <w:t>72,812</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67,861</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226,071</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212,231</w:t>
            </w:r>
          </w:p>
        </w:tc>
      </w:tr>
      <w:tr>
        <w:trPr>
          <w:trHeight w:val="230"/>
        </w:trPr>
        <w:tc>
          <w:tcPr>
            <w:tcW w:w="20" w:type="dxa"/>
            <w:vAlign w:val="bottom"/>
          </w:tcPr>
          <w:p>
            <w:pPr>
              <w:spacing w:after="0"/>
              <w:rPr>
                <w:sz w:val="20"/>
                <w:szCs w:val="20"/>
                <w:color w:val="auto"/>
              </w:rPr>
            </w:pPr>
          </w:p>
        </w:tc>
        <w:tc>
          <w:tcPr>
            <w:tcW w:w="4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95"/>
              </w:rPr>
              <w:t>113,717</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252,899</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697,562</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772,499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w w:val="95"/>
              </w:rPr>
              <w:t>236,678</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w w:val="98"/>
              </w:rPr>
              <w:t>220,750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724,676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682,204</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47,033</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42,091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126,036</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8,443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7,996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27,459</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25,886</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15,840</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15,702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50,938</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50,515</w:t>
            </w: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costs of operations</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95"/>
              </w:rPr>
              <w:t>126,769</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103,989</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336,054</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297,575</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other expense</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5"/>
              </w:rPr>
              <w:t>434,763</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8"/>
              </w:rPr>
              <w:t>390,528</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1,280,177</w:t>
            </w:r>
          </w:p>
        </w:tc>
        <w:tc>
          <w:tcPr>
            <w:tcW w:w="1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1,182,216</w:t>
            </w: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Income before taxes</w:t>
            </w:r>
          </w:p>
        </w:tc>
        <w:tc>
          <w:tcPr>
            <w:tcW w:w="680" w:type="dxa"/>
            <w:vAlign w:val="bottom"/>
          </w:tcPr>
          <w:p>
            <w:pPr>
              <w:spacing w:after="0"/>
              <w:rPr>
                <w:sz w:val="19"/>
                <w:szCs w:val="19"/>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66,193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w w:val="98"/>
              </w:rPr>
              <w:t>296,059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610,106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879,310</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(benefit)</w:t>
            </w:r>
          </w:p>
        </w:tc>
        <w:tc>
          <w:tcPr>
            <w:tcW w:w="6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(24,992)</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96,872</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156,460</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289,981</w:t>
            </w:r>
          </w:p>
        </w:tc>
      </w:tr>
      <w:tr>
        <w:trPr>
          <w:trHeight w:val="230"/>
        </w:trPr>
        <w:tc>
          <w:tcPr>
            <w:tcW w:w="20" w:type="dxa"/>
            <w:vAlign w:val="bottom"/>
          </w:tcPr>
          <w:p>
            <w:pPr>
              <w:spacing w:after="0"/>
              <w:rPr>
                <w:sz w:val="20"/>
                <w:szCs w:val="20"/>
                <w:color w:val="auto"/>
              </w:rPr>
            </w:pPr>
          </w:p>
        </w:tc>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Net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rPr>
              <w:t>91,185</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199,187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453,646</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589,329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1.86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.82</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5.34</w:t>
            </w:r>
          </w:p>
        </w:tc>
      </w:tr>
      <w:tr>
        <w:trPr>
          <w:trHeight w:val="432"/>
        </w:trPr>
        <w:tc>
          <w:tcPr>
            <w:tcW w:w="2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dividends per common share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31"/>
              <w:spacing w:after="0"/>
              <w:rPr>
                <w:sz w:val="20"/>
                <w:szCs w:val="20"/>
                <w:color w:val="auto"/>
              </w:rPr>
            </w:pPr>
            <w:r>
              <w:rPr>
                <w:rFonts w:ascii="Arial" w:cs="Arial" w:eastAsia="Arial" w:hAnsi="Arial"/>
                <w:sz w:val="18"/>
                <w:szCs w:val="18"/>
                <w:color w:val="auto"/>
              </w:rPr>
              <w:t>.70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shares outstanding</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1560" w:type="dxa"/>
            <w:vAlign w:val="bottom"/>
          </w:tcPr>
          <w:p>
            <w:pPr>
              <w:jc w:val="right"/>
              <w:ind w:right="831"/>
              <w:spacing w:after="0"/>
              <w:rPr>
                <w:sz w:val="20"/>
                <w:szCs w:val="20"/>
                <w:color w:val="auto"/>
              </w:rPr>
            </w:pPr>
            <w:r>
              <w:rPr>
                <w:rFonts w:ascii="Arial" w:cs="Arial" w:eastAsia="Arial" w:hAnsi="Arial"/>
                <w:sz w:val="18"/>
                <w:szCs w:val="18"/>
                <w:color w:val="auto"/>
                <w:w w:val="95"/>
              </w:rPr>
              <w:t>110,265</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w w:val="98"/>
              </w:rPr>
              <w:t>107,056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110,158</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108,220</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5"/>
              </w:rPr>
              <w:t>110,807</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108,957</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110,342</w:t>
            </w: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jc w:val="right"/>
              <w:ind w:right="1191"/>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STATEMENT OF CASH FLOWS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40" w:type="dxa"/>
            <w:vAlign w:val="bottom"/>
            <w:gridSpan w:val="2"/>
          </w:tcPr>
          <w:p>
            <w:pPr>
              <w:jc w:val="right"/>
              <w:ind w:right="670"/>
              <w:spacing w:after="0"/>
              <w:rPr>
                <w:sz w:val="20"/>
                <w:szCs w:val="20"/>
                <w:color w:val="auto"/>
              </w:rPr>
            </w:pPr>
            <w:r>
              <w:rPr>
                <w:rFonts w:ascii="Arial" w:cs="Arial" w:eastAsia="Arial" w:hAnsi="Arial"/>
                <w:sz w:val="14"/>
                <w:szCs w:val="14"/>
                <w:color w:val="auto"/>
              </w:rPr>
              <w:t>Nine months ended September 30</w:t>
            </w:r>
          </w:p>
        </w:tc>
      </w:tr>
      <w:tr>
        <w:trPr>
          <w:trHeight w:val="167"/>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4"/>
                <w:szCs w:val="14"/>
                <w:color w:val="auto"/>
              </w:rPr>
            </w:pPr>
          </w:p>
        </w:tc>
        <w:tc>
          <w:tcPr>
            <w:tcW w:w="1420" w:type="dxa"/>
            <w:vAlign w:val="bottom"/>
          </w:tcPr>
          <w:p>
            <w:pPr>
              <w:jc w:val="right"/>
              <w:ind w:right="811"/>
              <w:spacing w:after="0"/>
              <w:rPr>
                <w:sz w:val="20"/>
                <w:szCs w:val="20"/>
                <w:color w:val="auto"/>
              </w:rPr>
            </w:pPr>
            <w:r>
              <w:rPr>
                <w:rFonts w:ascii="Arial" w:cs="Arial" w:eastAsia="Arial" w:hAnsi="Arial"/>
                <w:sz w:val="14"/>
                <w:szCs w:val="14"/>
                <w:color w:val="auto"/>
              </w:rPr>
              <w:t>2008</w:t>
            </w:r>
          </w:p>
        </w:tc>
        <w:tc>
          <w:tcPr>
            <w:tcW w:w="1720" w:type="dxa"/>
            <w:vAlign w:val="bottom"/>
          </w:tcPr>
          <w:p>
            <w:pPr>
              <w:jc w:val="right"/>
              <w:ind w:right="490"/>
              <w:spacing w:after="0"/>
              <w:rPr>
                <w:sz w:val="20"/>
                <w:szCs w:val="20"/>
                <w:color w:val="auto"/>
              </w:rPr>
            </w:pPr>
            <w:r>
              <w:rPr>
                <w:rFonts w:ascii="Arial" w:cs="Arial" w:eastAsia="Arial" w:hAnsi="Arial"/>
                <w:sz w:val="14"/>
                <w:szCs w:val="14"/>
                <w:color w:val="auto"/>
              </w:rPr>
              <w:t>2007</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453,646</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589,329</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261,000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91,000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39,918</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37,053</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49,322</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46,731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50,938</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50,515</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Provision for deferred income taxes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(56,157)</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(15,351)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write-downs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161,763</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12,227</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Net gain on sales of assets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(26,202)</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(5,416)</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1,302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5,184</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(1,111)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(23,185)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433,929</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136,517</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(74,583)</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(26,865)</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1,293,765</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897,739</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57,350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39,374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87,782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1,881</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1,608,085</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1,357,036</w:t>
            </w: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60,922</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34,568</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(761,381)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(2,087,581)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(176,673)</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(29,769)</w:t>
            </w: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(173,994)</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(117,009)</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agreements to resell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(89,974)</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(267,797)</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increase in loans and leases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w w:val="89"/>
              </w:rPr>
              <w:t>(2,350,539)</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(2,077,630)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net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(13,557)</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(305,975)</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(22,261)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(45,159)</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(43,854)</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(35,119)</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(141,435)</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(27,319)</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89"/>
              </w:rPr>
              <w:t>(1,959,529)</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(3,560,499)</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deposits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1,239,933</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(1,438,598)</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increase (decrease) in short-term borrowings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w w:val="89"/>
              </w:rPr>
              <w:t>(2,892,263)</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1,826,687</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borrowings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3,850,010</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2,849,895</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w w:val="89"/>
              </w:rPr>
              <w:t>(1,676,725)</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(228,086)</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(496,057)</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Dividends paid — common</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(231,269)</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(205,028)</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(3,952)</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56,560</w:t>
            </w:r>
          </w:p>
        </w:tc>
      </w:tr>
      <w:tr>
        <w:trPr>
          <w:trHeight w:val="230"/>
        </w:trPr>
        <w:tc>
          <w:tcPr>
            <w:tcW w:w="20" w:type="dxa"/>
            <w:vAlign w:val="bottom"/>
          </w:tcPr>
          <w:p>
            <w:pPr>
              <w:spacing w:after="0"/>
              <w:rPr>
                <w:sz w:val="20"/>
                <w:szCs w:val="20"/>
                <w:color w:val="auto"/>
              </w:rPr>
            </w:pPr>
          </w:p>
        </w:tc>
        <w:tc>
          <w:tcPr>
            <w:tcW w:w="7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285,734</w:t>
            </w: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2,365,373</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(380,030)</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(297,387)</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94"/>
              </w:rPr>
              <w:t>1,767,547</w:t>
            </w: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1,624,964</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1,387,517</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1,327,577</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2,570,574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2,643,940</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w w:val="94"/>
              </w:rPr>
              <w:t>1,071,672</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1,243,915</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paid during the period</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200,749</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279,045</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92,814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25,347</w:t>
            </w:r>
          </w:p>
        </w:tc>
      </w:tr>
      <w:tr>
        <w:trPr>
          <w:trHeight w:val="202"/>
        </w:trPr>
        <w:tc>
          <w:tcPr>
            <w:tcW w:w="20" w:type="dxa"/>
            <w:vAlign w:val="bottom"/>
          </w:tcPr>
          <w:p>
            <w:pPr>
              <w:spacing w:after="0"/>
              <w:rPr>
                <w:sz w:val="17"/>
                <w:szCs w:val="17"/>
                <w:color w:val="auto"/>
              </w:rPr>
            </w:pPr>
          </w:p>
        </w:tc>
        <w:tc>
          <w:tcPr>
            <w:tcW w:w="7060" w:type="dxa"/>
            <w:vAlign w:val="bottom"/>
          </w:tcPr>
          <w:p>
            <w:pPr>
              <w:ind w:left="200"/>
              <w:spacing w:after="0" w:line="201" w:lineRule="exact"/>
              <w:rPr>
                <w:sz w:val="20"/>
                <w:szCs w:val="20"/>
                <w:color w:val="auto"/>
              </w:rPr>
            </w:pPr>
            <w:r>
              <w:rPr>
                <w:rFonts w:ascii="Arial" w:cs="Arial" w:eastAsia="Arial" w:hAnsi="Arial"/>
                <w:sz w:val="18"/>
                <w:szCs w:val="18"/>
                <w:color w:val="auto"/>
              </w:rPr>
              <w:t>Securitization of residential mortgage loans allocated to</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00" w:type="dxa"/>
            <w:vAlign w:val="bottom"/>
          </w:tcPr>
          <w:p>
            <w:pPr>
              <w:spacing w:after="0"/>
              <w:rPr>
                <w:sz w:val="20"/>
                <w:szCs w:val="20"/>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869,115</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servicing rights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8,455</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Investment securities available for sale transferred to held to maturity</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298,108</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held for sale transferred to loans held for investment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870,759</w:t>
            </w:r>
          </w:p>
        </w:tc>
      </w:tr>
      <w:tr>
        <w:trPr>
          <w:trHeight w:val="405"/>
        </w:trPr>
        <w:tc>
          <w:tcPr>
            <w:tcW w:w="7080" w:type="dxa"/>
            <w:vAlign w:val="bottom"/>
            <w:gridSpan w:val="2"/>
          </w:tcPr>
          <w:p>
            <w:pPr>
              <w:jc w:val="right"/>
              <w:ind w:right="1190"/>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line="1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40" w:lineRule="auto"/>
        <w:rPr>
          <w:sz w:val="20"/>
          <w:szCs w:val="20"/>
          <w:color w:val="auto"/>
        </w:rPr>
      </w:pPr>
      <w:r>
        <w:rPr>
          <w:rFonts w:ascii="Arial" w:cs="Arial" w:eastAsia="Arial" w:hAnsi="Arial"/>
          <w:sz w:val="17"/>
          <w:szCs w:val="17"/>
          <w:color w:val="auto"/>
        </w:rPr>
        <w:t>M&amp;T BANK CORPORATION AND SUBSIDIARIES CONSOLIDATED STATEMENT OF CHANGES IN STOCKHOLDERS’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Accumulated</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Common</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Additional</w:t>
            </w: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comprehensive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51"/>
              <w:spacing w:after="0" w:line="149" w:lineRule="exact"/>
              <w:rPr>
                <w:sz w:val="20"/>
                <w:szCs w:val="20"/>
                <w:color w:val="auto"/>
              </w:rPr>
            </w:pPr>
            <w:r>
              <w:rPr>
                <w:rFonts w:ascii="Arial" w:cs="Arial" w:eastAsia="Arial" w:hAnsi="Arial"/>
                <w:sz w:val="14"/>
                <w:szCs w:val="14"/>
                <w:color w:val="auto"/>
                <w:w w:val="89"/>
              </w:rPr>
              <w:t>Preferred</w:t>
            </w:r>
          </w:p>
        </w:tc>
        <w:tc>
          <w:tcPr>
            <w:tcW w:w="102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Common</w:t>
            </w: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stock</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paid-in</w:t>
            </w:r>
          </w:p>
        </w:tc>
        <w:tc>
          <w:tcPr>
            <w:tcW w:w="11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income (loss),</w:t>
            </w:r>
          </w:p>
        </w:tc>
        <w:tc>
          <w:tcPr>
            <w:tcW w:w="140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260" w:type="dxa"/>
            <w:vAlign w:val="bottom"/>
            <w:gridSpan w:val="2"/>
          </w:tcPr>
          <w:p>
            <w:pPr>
              <w:spacing w:after="0"/>
              <w:rPr>
                <w:sz w:val="20"/>
                <w:szCs w:val="20"/>
                <w:color w:val="auto"/>
              </w:rPr>
            </w:pPr>
            <w:r>
              <w:rPr>
                <w:rFonts w:ascii="Arial" w:cs="Arial" w:eastAsia="Arial" w:hAnsi="Arial"/>
                <w:sz w:val="14"/>
                <w:szCs w:val="14"/>
                <w:color w:val="auto"/>
              </w:rPr>
              <w:t>In thousands, except per share</w:t>
            </w:r>
          </w:p>
        </w:tc>
        <w:tc>
          <w:tcPr>
            <w:tcW w:w="24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80" w:type="dxa"/>
            <w:vAlign w:val="bottom"/>
          </w:tcPr>
          <w:p>
            <w:pPr>
              <w:jc w:val="right"/>
              <w:ind w:right="212"/>
              <w:spacing w:after="0"/>
              <w:rPr>
                <w:sz w:val="20"/>
                <w:szCs w:val="20"/>
                <w:color w:val="auto"/>
              </w:rPr>
            </w:pPr>
            <w:r>
              <w:rPr>
                <w:rFonts w:ascii="Arial" w:cs="Arial" w:eastAsia="Arial" w:hAnsi="Arial"/>
                <w:sz w:val="14"/>
                <w:szCs w:val="14"/>
                <w:color w:val="auto"/>
              </w:rPr>
              <w:t>issuable</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capital</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earnings</w:t>
            </w: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net</w:t>
            </w:r>
          </w:p>
        </w:tc>
        <w:tc>
          <w:tcPr>
            <w:tcW w:w="1400" w:type="dxa"/>
            <w:vAlign w:val="bottom"/>
          </w:tcPr>
          <w:p>
            <w:pPr>
              <w:jc w:val="right"/>
              <w:ind w:right="311"/>
              <w:spacing w:after="0"/>
              <w:rPr>
                <w:sz w:val="20"/>
                <w:szCs w:val="20"/>
                <w:color w:val="auto"/>
              </w:rPr>
            </w:pPr>
            <w:r>
              <w:rPr>
                <w:rFonts w:ascii="Arial" w:cs="Arial" w:eastAsia="Arial" w:hAnsi="Arial"/>
                <w:sz w:val="14"/>
                <w:szCs w:val="14"/>
                <w:color w:val="auto"/>
              </w:rPr>
              <w:t>stock</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5,060</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2,889,449</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4,443,441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(53,574)</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(1,063,479)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6,281,095</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589,329</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589,329</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(32,684)</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(32,684)</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(390)</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556,238</w:t>
            </w:r>
          </w:p>
        </w:tc>
        <w:tc>
          <w:tcPr>
            <w:tcW w:w="100" w:type="dxa"/>
            <w:vAlign w:val="bottom"/>
            <w:shd w:val="clear" w:color="auto" w:fill="CCEEFF"/>
          </w:tcPr>
          <w:p>
            <w:pPr>
              <w:spacing w:after="0"/>
              <w:rPr>
                <w:sz w:val="18"/>
                <w:szCs w:val="18"/>
                <w:color w:val="auto"/>
              </w:rPr>
            </w:pP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4"/>
                <w:szCs w:val="24"/>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(496,057)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(496,057)</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39,095</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1,605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w:t>
            </w: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(30,640)</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90,742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60,102</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75</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(250)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(480)</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(159)</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836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$1.90 per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(205,028)</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(205,028)</w:t>
            </w:r>
          </w:p>
        </w:tc>
      </w:tr>
      <w:tr>
        <w:trPr>
          <w:trHeight w:val="209"/>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Balance — September 30,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2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4,810</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2,897,499</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4,827,583</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(86,665)</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(1,465,421)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6,238,004</w:t>
            </w: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4,776</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2,848,752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4,815,585</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(114,822)</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(1,129,233)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6,485,256</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453,646</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453,646</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(345,758)</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(345,758)</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(1,011)</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(459)</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9"/>
              </w:rPr>
              <w:t>Repayment of management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stock ownership program</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72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35,356</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3,913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39,269</w:t>
            </w: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(21,893)</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37,756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15,863</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(384)</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(150)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(408)</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$2.10 per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(231,269)</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(231,269)</w:t>
            </w:r>
          </w:p>
        </w:tc>
      </w:tr>
    </w:tbl>
    <w:p>
      <w:pPr>
        <w:sectPr>
          <w:pgSz w:w="11900" w:h="16857" w:orient="portrait"/>
          <w:cols w:equalWidth="0" w:num="1">
            <w:col w:w="11420"/>
          </w:cols>
          <w:pgMar w:left="240" w:top="41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Balance — September 30,</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60,198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4,626</w:t>
            </w:r>
          </w:p>
        </w:tc>
        <w:tc>
          <w:tcPr>
            <w:tcW w:w="1220" w:type="dxa"/>
            <w:vAlign w:val="bottom"/>
          </w:tcPr>
          <w:p>
            <w:pPr>
              <w:ind w:left="260"/>
              <w:spacing w:after="0"/>
              <w:rPr>
                <w:sz w:val="20"/>
                <w:szCs w:val="20"/>
                <w:color w:val="auto"/>
              </w:rPr>
            </w:pPr>
            <w:r>
              <w:rPr>
                <w:rFonts w:ascii="Arial" w:cs="Arial" w:eastAsia="Arial" w:hAnsi="Arial"/>
                <w:sz w:val="18"/>
                <w:szCs w:val="18"/>
                <w:color w:val="auto"/>
              </w:rPr>
              <w:t>2,861,495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5,037,799</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(462,050)</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(1,085,384)</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6,416,684</w:t>
            </w:r>
          </w:p>
        </w:tc>
      </w:tr>
      <w:tr>
        <w:trPr>
          <w:trHeight w:val="230"/>
        </w:trPr>
        <w:tc>
          <w:tcPr>
            <w:tcW w:w="20" w:type="dxa"/>
            <w:vAlign w:val="bottom"/>
          </w:tcPr>
          <w:p>
            <w:pPr>
              <w:spacing w:after="0"/>
              <w:rPr>
                <w:sz w:val="20"/>
                <w:szCs w:val="20"/>
                <w:color w:val="auto"/>
              </w:rPr>
            </w:pP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331"/>
        </w:trPr>
        <w:tc>
          <w:tcPr>
            <w:tcW w:w="7880" w:type="dxa"/>
            <w:vAlign w:val="bottom"/>
            <w:gridSpan w:val="8"/>
          </w:tcPr>
          <w:p>
            <w:pPr>
              <w:spacing w:after="0"/>
              <w:rPr>
                <w:sz w:val="20"/>
                <w:szCs w:val="20"/>
                <w:color w:val="auto"/>
              </w:rPr>
            </w:pPr>
            <w:r>
              <w:rPr>
                <w:rFonts w:ascii="Arial" w:cs="Arial" w:eastAsia="Arial" w:hAnsi="Arial"/>
                <w:sz w:val="18"/>
                <w:szCs w:val="18"/>
                <w:color w:val="auto"/>
                <w:w w:val="98"/>
              </w:rPr>
              <w:t>CONSOLIDATED SUMMARY OF CHANGES IN ALLOWANCE FOR CREDIT LOSSES (Unaudited)</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gridSpan w:val="2"/>
          </w:tcPr>
          <w:p>
            <w:pPr>
              <w:jc w:val="right"/>
              <w:ind w:right="112"/>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2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color w:val="auto"/>
              </w:rPr>
              <w:t>2008</w:t>
            </w:r>
          </w:p>
        </w:tc>
        <w:tc>
          <w:tcPr>
            <w:tcW w:w="1060" w:type="dxa"/>
            <w:vAlign w:val="bottom"/>
          </w:tcPr>
          <w:p>
            <w:pPr>
              <w:jc w:val="right"/>
              <w:ind w:right="232"/>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$ 759,439</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649,948</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261,000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91,000</w:t>
            </w: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Allowance related to loans sold or securitized</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(525)</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Net charge-offs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(267,912)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28,681</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22,009</w:t>
            </w:r>
          </w:p>
        </w:tc>
      </w:tr>
      <w:tr>
        <w:trPr>
          <w:trHeight w:val="216"/>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net charge-offs</w:t>
            </w: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(239,231)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(60,450)</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$ 780,683</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680,498</w:t>
            </w:r>
          </w:p>
        </w:tc>
      </w:tr>
      <w:tr>
        <w:trPr>
          <w:trHeight w:val="41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2007 Annual Report, except as described below. In the opinion of management, all adjustments necessary for a fair presentation have been made and were all of a normal recurring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418"/>
              <w:spacing w:after="0" w:line="149" w:lineRule="exact"/>
              <w:rPr>
                <w:sz w:val="20"/>
                <w:szCs w:val="20"/>
                <w:color w:val="auto"/>
              </w:rPr>
            </w:pPr>
            <w:r>
              <w:rPr>
                <w:rFonts w:ascii="Arial" w:cs="Arial" w:eastAsia="Arial" w:hAnsi="Arial"/>
                <w:sz w:val="14"/>
                <w:szCs w:val="14"/>
                <w:color w:val="auto"/>
                <w:w w:val="90"/>
              </w:rPr>
              <w:t>September 30</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8"/>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91,185</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199,187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453,646</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589,329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(including common stock issuable)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110,265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107,056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110,158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108,220</w:t>
            </w: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1.86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The computations of diluted earnings per share follow:</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418"/>
              <w:spacing w:after="0" w:line="149" w:lineRule="exact"/>
              <w:rPr>
                <w:sz w:val="20"/>
                <w:szCs w:val="20"/>
                <w:color w:val="auto"/>
              </w:rPr>
            </w:pPr>
            <w:r>
              <w:rPr>
                <w:rFonts w:ascii="Arial" w:cs="Arial" w:eastAsia="Arial" w:hAnsi="Arial"/>
                <w:sz w:val="14"/>
                <w:szCs w:val="14"/>
                <w:color w:val="auto"/>
                <w:w w:val="90"/>
              </w:rPr>
              <w:t>September 30</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8"/>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91,185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199,187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453,646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589,329</w:t>
            </w: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110,265</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107,056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110,158</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108,220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Plus: incremental shares from assumed conversion of stock-based compensation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6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5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110,807</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108,957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110,342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40" w:firstLine="225"/>
        <w:spacing w:after="0" w:line="286" w:lineRule="auto"/>
        <w:rPr>
          <w:sz w:val="20"/>
          <w:szCs w:val="20"/>
          <w:color w:val="auto"/>
        </w:rPr>
      </w:pPr>
      <w:r>
        <w:rPr>
          <w:rFonts w:ascii="Arial" w:cs="Arial" w:eastAsia="Arial" w:hAnsi="Arial"/>
          <w:sz w:val="17"/>
          <w:szCs w:val="17"/>
          <w:color w:val="auto"/>
        </w:rPr>
        <w:t>Options to purchase approximately 11.3 million and 3.3 million common shares during the three-month periods ended September 30, 2008 and 2007, respectively, and 9.7 million and 3.3 million common shares during the nine-month periods ended September 30, 2008 and 2007, respectively, were not included in the computations of diluted earnings per share because the effect on those periods would be antidilutive.</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680" w:type="dxa"/>
            <w:vAlign w:val="bottom"/>
            <w:gridSpan w:val="7"/>
          </w:tcPr>
          <w:p>
            <w:pPr>
              <w:jc w:val="center"/>
              <w:ind w:right="100"/>
              <w:spacing w:after="0"/>
              <w:rPr>
                <w:sz w:val="20"/>
                <w:szCs w:val="20"/>
                <w:color w:val="auto"/>
              </w:rPr>
            </w:pPr>
            <w:r>
              <w:rPr>
                <w:rFonts w:ascii="Arial" w:cs="Arial" w:eastAsia="Arial" w:hAnsi="Arial"/>
                <w:sz w:val="14"/>
                <w:szCs w:val="14"/>
                <w:color w:val="auto"/>
                <w:w w:val="91"/>
              </w:rPr>
              <w:t>Nine months ended September 30, 2008</w:t>
            </w:r>
          </w:p>
        </w:tc>
      </w:tr>
      <w:tr>
        <w:trPr>
          <w:trHeight w:val="123"/>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Before-tax</w:t>
            </w:r>
          </w:p>
        </w:tc>
        <w:tc>
          <w:tcPr>
            <w:tcW w:w="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1"/>
              </w:rPr>
              <w:t>Income</w:t>
            </w: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Net .</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Unrealized losses on investment securities available for sale (“AFS”):</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(729,175)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226,923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(502,252)</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Add: transfer of investment securities from AFS to held to maturity (“HTM”)</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86,943</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(20,972)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65,971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(156,771)</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(155,110)</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(485,461)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204,290</w:t>
            </w:r>
          </w:p>
        </w:tc>
        <w:tc>
          <w:tcPr>
            <w:tcW w:w="6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(281,171)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losses on investment securities transferred from AFS to HTM:</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Unrealized holding losses transferred during period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(86,943)</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20,972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(65,971)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amortization of unrealized holding losses to income during period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766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(1,384)</w:t>
            </w: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(84,793)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20,206</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investment securities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(570,254)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224,496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(345,758)</w:t>
            </w: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 cash flow hedges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(20,225)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7,887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(12,338)</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19,483</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(7,604)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11,879</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(1,724)</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713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(572,720)</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225,492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(347,228)</w:t>
            </w: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firstLine="215"/>
        <w:spacing w:after="0" w:line="308" w:lineRule="auto"/>
        <w:rPr>
          <w:sz w:val="20"/>
          <w:szCs w:val="20"/>
          <w:color w:val="auto"/>
        </w:rPr>
      </w:pPr>
      <w:r>
        <w:rPr>
          <w:rFonts w:ascii="Arial" w:cs="Arial" w:eastAsia="Arial" w:hAnsi="Arial"/>
          <w:sz w:val="17"/>
          <w:szCs w:val="17"/>
          <w:color w:val="auto"/>
        </w:rPr>
        <w:t>As described in note 9, during the third quarter of 2008 the Company transferred private collateralized mortgage obligations having a fair value of $298 million and a cost basis of $385 million from its available-for-sale investment securities portfolio to the held-to-maturity portfolio.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gridSpan w:val="11"/>
          </w:tcPr>
          <w:p>
            <w:pPr>
              <w:jc w:val="center"/>
              <w:ind w:right="120"/>
              <w:spacing w:after="0"/>
              <w:rPr>
                <w:sz w:val="20"/>
                <w:szCs w:val="20"/>
                <w:color w:val="auto"/>
              </w:rPr>
            </w:pPr>
            <w:r>
              <w:rPr>
                <w:rFonts w:ascii="Arial" w:cs="Arial" w:eastAsia="Arial" w:hAnsi="Arial"/>
                <w:sz w:val="14"/>
                <w:szCs w:val="14"/>
                <w:color w:val="auto"/>
                <w:w w:val="91"/>
              </w:rPr>
              <w:t>Nine months ended September 30, 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9"/>
              </w:rPr>
              <w:t>Before-tax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ind w:right="680"/>
              <w:spacing w:after="0" w:line="123" w:lineRule="exact"/>
              <w:rPr>
                <w:sz w:val="20"/>
                <w:szCs w:val="20"/>
                <w:color w:val="auto"/>
              </w:rPr>
            </w:pPr>
            <w:r>
              <w:rPr>
                <w:rFonts w:ascii="Arial" w:cs="Arial" w:eastAsia="Arial" w:hAnsi="Arial"/>
                <w:sz w:val="14"/>
                <w:szCs w:val="14"/>
                <w:color w:val="auto"/>
                <w:w w:val="95"/>
              </w:rPr>
              <w:t>Income</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 AFS: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 (50,408)</w:t>
            </w: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18,451</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164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(51,593)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18,909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cash flow hedges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(28)</w:t>
            </w: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 (52,319)</w:t>
            </w: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19,228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4"/>
            <w:vMerge w:val="restart"/>
          </w:tcPr>
          <w:p>
            <w:pPr>
              <w:ind w:left="200"/>
              <w:spacing w:after="0"/>
              <w:rPr>
                <w:sz w:val="20"/>
                <w:szCs w:val="20"/>
                <w:color w:val="auto"/>
              </w:rPr>
            </w:pPr>
            <w:r>
              <w:rPr>
                <w:rFonts w:ascii="Arial" w:cs="Arial" w:eastAsia="Arial" w:hAnsi="Arial"/>
                <w:sz w:val="18"/>
                <w:szCs w:val="18"/>
                <w:color w:val="auto"/>
                <w:w w:val="93"/>
              </w:rPr>
              <w:t>Accumulated other comprehensive income (loss), net consisted of unrealized gains (losses) as follows:</w:t>
            </w: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color w:val="auto"/>
                <w:w w:val="91"/>
              </w:rPr>
              <w:t>Cash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820"/>
              <w:spacing w:after="0"/>
              <w:rPr>
                <w:sz w:val="20"/>
                <w:szCs w:val="20"/>
                <w:color w:val="auto"/>
              </w:rPr>
            </w:pPr>
            <w:r>
              <w:rPr>
                <w:rFonts w:ascii="Arial" w:cs="Arial" w:eastAsia="Arial" w:hAnsi="Arial"/>
                <w:sz w:val="14"/>
                <w:szCs w:val="14"/>
                <w:color w:val="auto"/>
                <w:w w:val="95"/>
              </w:rPr>
              <w:t>Defined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3"/>
              </w:rPr>
              <w:t>Investment</w:t>
            </w:r>
          </w:p>
        </w:tc>
        <w:tc>
          <w:tcPr>
            <w:tcW w:w="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rPr>
              <w:t>flow</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840"/>
              <w:spacing w:after="0" w:line="149" w:lineRule="exact"/>
              <w:rPr>
                <w:sz w:val="20"/>
                <w:szCs w:val="20"/>
                <w:color w:val="auto"/>
              </w:rPr>
            </w:pPr>
            <w:r>
              <w:rPr>
                <w:rFonts w:ascii="Arial" w:cs="Arial" w:eastAsia="Arial" w:hAnsi="Arial"/>
                <w:sz w:val="14"/>
                <w:szCs w:val="14"/>
                <w:color w:val="auto"/>
                <w:w w:val="95"/>
              </w:rPr>
              <w:t>benefit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4"/>
              </w:rPr>
              <w:t>securities</w:t>
            </w:r>
          </w:p>
        </w:tc>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hedges</w:t>
            </w:r>
          </w:p>
        </w:tc>
        <w:tc>
          <w:tcPr>
            <w:tcW w:w="40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plans</w:t>
            </w:r>
          </w:p>
        </w:tc>
        <w:tc>
          <w:tcPr>
            <w:tcW w:w="68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gridSpan w:val="9"/>
          </w:tcPr>
          <w:p>
            <w:pPr>
              <w:ind w:left="560"/>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(59,406)</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(8,931)</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(46,485)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(114,822)</w:t>
            </w: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(345,758)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(347,228)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(405,164)</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(9,390)</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(47,496)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(462,050)</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20" w:type="dxa"/>
            <w:vAlign w:val="bottom"/>
            <w:gridSpan w:val="2"/>
          </w:tcPr>
          <w:p>
            <w:pPr>
              <w:spacing w:after="0"/>
              <w:rPr>
                <w:sz w:val="20"/>
                <w:szCs w:val="20"/>
                <w:color w:val="auto"/>
              </w:rPr>
            </w:pPr>
            <w:r>
              <w:rPr>
                <w:rFonts w:ascii="Arial" w:cs="Arial" w:eastAsia="Arial" w:hAnsi="Arial"/>
                <w:sz w:val="18"/>
                <w:szCs w:val="18"/>
                <w:color w:val="auto"/>
              </w:rPr>
              <w:t>Balance — January 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(25,311)</w:t>
            </w:r>
          </w:p>
        </w:tc>
        <w:tc>
          <w:tcPr>
            <w:tcW w:w="40" w:type="dxa"/>
            <w:vAlign w:val="bottom"/>
          </w:tcPr>
          <w:p>
            <w:pPr>
              <w:spacing w:after="0"/>
              <w:rPr>
                <w:sz w:val="24"/>
                <w:szCs w:val="2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(28,263)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(32,684)</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(33,091)</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20" w:type="dxa"/>
            <w:vAlign w:val="bottom"/>
            <w:gridSpan w:val="2"/>
          </w:tcPr>
          <w:p>
            <w:pPr>
              <w:spacing w:after="0"/>
              <w:rPr>
                <w:sz w:val="20"/>
                <w:szCs w:val="20"/>
                <w:color w:val="auto"/>
              </w:rPr>
            </w:pPr>
            <w:r>
              <w:rPr>
                <w:rFonts w:ascii="Arial" w:cs="Arial" w:eastAsia="Arial" w:hAnsi="Arial"/>
                <w:sz w:val="18"/>
                <w:szCs w:val="18"/>
                <w:color w:val="auto"/>
              </w:rPr>
              <w:t>Balance — September 30,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(57,995)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(28,280)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M&amp;T Capital Trust I (“Trust I”), M&amp;T Capital Trust II (“Trust II”), and M&amp;T Capital Trust III (“Trust III”) have issued fixed rate preferred capital securities aggregating $310 million. On January 31, 2008 M&amp;T Capital Trust IV (“Trust IV”), a Delaware business trust, issued $350 million of 8.50% fixed rate Enhanced Trust Preferred Securities (“8.50% Enhanced Trust Preferred Securities”). First Maryland Capital I (“Trust V”) and First Maryland Capital II (“Trust VI”) have issued floating rate preferred capital securities aggregating $300 million. The distribution rates on the preferred capital securities of Trust V and Trust VI adjust quarterly based on changes in the three-month London Interbank Offered Rate (“LIBOR”) and were 3.79% and 3.65%, respectively, at September 30, 2008 and 6.24% and 5.76%, respectively, at December 31, 2007. As a result of an acquisition in the fourth quarter of 2007, M&amp;T assumed responsibility for $31.5 million of similar preferred capital securities previously issued by special-purpose entities consisting of $16.5 million of fixed rate preferred capital securities issued by BSB Capital Trust I (“Trust VII”) and $15 million of floating rate preferred capital securities issued by BSB Capital Trust III (“Trust VIII”).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distribution rate on the preferred capital securities of Trust VIII adjusts quarterly based on changes in the three-month LIBOR and was 6.14% at September 30, 2008 and 8.59% at December 31, 2007. Trust I, Trust II, Trust III, Trust IV, Trust V, Trust VI, Trust VII and Trust VIII are referred to herein collectively as the “Trusts.”</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Other than the following payment terms (and the redemption and certain other terms described below), the preferred capital securities issued by the Trusts (“Capital Securities”) are substantially identical in all material respects: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7"/>
              </w:rPr>
              <w:t>Distribution</w:t>
            </w:r>
          </w:p>
        </w:tc>
        <w:tc>
          <w:tcPr>
            <w:tcW w:w="580" w:type="dxa"/>
            <w:vAlign w:val="bottom"/>
          </w:tcPr>
          <w:p>
            <w:pPr>
              <w:spacing w:after="0"/>
              <w:rPr>
                <w:sz w:val="14"/>
                <w:szCs w:val="14"/>
                <w:color w:val="auto"/>
              </w:rPr>
            </w:pPr>
          </w:p>
        </w:tc>
        <w:tc>
          <w:tcPr>
            <w:tcW w:w="588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rate</w:t>
            </w:r>
          </w:p>
        </w:tc>
        <w:tc>
          <w:tcPr>
            <w:tcW w:w="580" w:type="dxa"/>
            <w:vAlign w:val="bottom"/>
          </w:tcPr>
          <w:p>
            <w:pPr>
              <w:spacing w:after="0"/>
              <w:rPr>
                <w:sz w:val="14"/>
                <w:szCs w:val="14"/>
                <w:color w:val="auto"/>
              </w:rPr>
            </w:pP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3200" w:type="dxa"/>
            <w:vAlign w:val="bottom"/>
            <w:gridSpan w:val="2"/>
            <w:shd w:val="clear" w:color="auto" w:fill="CCEEFF"/>
          </w:tcPr>
          <w:p>
            <w:pPr>
              <w:jc w:val="right"/>
              <w:ind w:right="937"/>
              <w:spacing w:after="0"/>
              <w:rPr>
                <w:sz w:val="20"/>
                <w:szCs w:val="20"/>
                <w:color w:val="auto"/>
              </w:rPr>
            </w:pPr>
            <w:r>
              <w:rPr>
                <w:rFonts w:ascii="Arial" w:cs="Arial" w:eastAsia="Arial" w:hAnsi="Arial"/>
                <w:sz w:val="18"/>
                <w:szCs w:val="18"/>
                <w:color w:val="auto"/>
              </w:rPr>
              <w:t>8.234%</w:t>
            </w:r>
          </w:p>
        </w:tc>
        <w:tc>
          <w:tcPr>
            <w:tcW w:w="6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3200" w:type="dxa"/>
            <w:vAlign w:val="bottom"/>
            <w:gridSpan w:val="2"/>
          </w:tcPr>
          <w:p>
            <w:pPr>
              <w:jc w:val="right"/>
              <w:ind w:right="937"/>
              <w:spacing w:after="0"/>
              <w:rPr>
                <w:sz w:val="20"/>
                <w:szCs w:val="20"/>
                <w:color w:val="auto"/>
              </w:rPr>
            </w:pPr>
            <w:r>
              <w:rPr>
                <w:rFonts w:ascii="Arial" w:cs="Arial" w:eastAsia="Arial" w:hAnsi="Arial"/>
                <w:sz w:val="18"/>
                <w:szCs w:val="18"/>
                <w:color w:val="auto"/>
              </w:rPr>
              <w:t>8.277%</w:t>
            </w:r>
          </w:p>
        </w:tc>
        <w:tc>
          <w:tcPr>
            <w:tcW w:w="6460" w:type="dxa"/>
            <w:vAlign w:val="bottom"/>
            <w:gridSpan w:val="2"/>
          </w:tcPr>
          <w:p>
            <w:pPr>
              <w:ind w:left="580"/>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3200" w:type="dxa"/>
            <w:vAlign w:val="bottom"/>
            <w:gridSpan w:val="2"/>
            <w:shd w:val="clear" w:color="auto" w:fill="CCEEFF"/>
          </w:tcPr>
          <w:p>
            <w:pPr>
              <w:jc w:val="right"/>
              <w:ind w:right="937"/>
              <w:spacing w:after="0"/>
              <w:rPr>
                <w:sz w:val="20"/>
                <w:szCs w:val="20"/>
                <w:color w:val="auto"/>
              </w:rPr>
            </w:pPr>
            <w:r>
              <w:rPr>
                <w:rFonts w:ascii="Arial" w:cs="Arial" w:eastAsia="Arial" w:hAnsi="Arial"/>
                <w:sz w:val="18"/>
                <w:szCs w:val="18"/>
                <w:color w:val="auto"/>
              </w:rPr>
              <w:t>9.25%</w:t>
            </w:r>
          </w:p>
        </w:tc>
        <w:tc>
          <w:tcPr>
            <w:tcW w:w="6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3200" w:type="dxa"/>
            <w:vAlign w:val="bottom"/>
            <w:gridSpan w:val="2"/>
          </w:tcPr>
          <w:p>
            <w:pPr>
              <w:jc w:val="right"/>
              <w:ind w:right="937"/>
              <w:spacing w:after="0"/>
              <w:rPr>
                <w:sz w:val="20"/>
                <w:szCs w:val="20"/>
                <w:color w:val="auto"/>
              </w:rPr>
            </w:pPr>
            <w:r>
              <w:rPr>
                <w:rFonts w:ascii="Arial" w:cs="Arial" w:eastAsia="Arial" w:hAnsi="Arial"/>
                <w:sz w:val="18"/>
                <w:szCs w:val="18"/>
                <w:color w:val="auto"/>
              </w:rPr>
              <w:t>8.50%</w:t>
            </w:r>
          </w:p>
        </w:tc>
        <w:tc>
          <w:tcPr>
            <w:tcW w:w="6460" w:type="dxa"/>
            <w:vAlign w:val="bottom"/>
            <w:gridSpan w:val="2"/>
          </w:tcPr>
          <w:p>
            <w:pPr>
              <w:ind w:left="580"/>
              <w:spacing w:after="0"/>
              <w:rPr>
                <w:sz w:val="20"/>
                <w:szCs w:val="20"/>
                <w:color w:val="auto"/>
              </w:rPr>
            </w:pPr>
            <w:r>
              <w:rPr>
                <w:rFonts w:ascii="Arial" w:cs="Arial" w:eastAsia="Arial" w:hAnsi="Arial"/>
                <w:sz w:val="18"/>
                <w:szCs w:val="18"/>
                <w:color w:val="auto"/>
              </w:rPr>
              <w:t>March 15, June 15, September 15 and December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58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1.00%</w:t>
            </w:r>
          </w:p>
        </w:tc>
        <w:tc>
          <w:tcPr>
            <w:tcW w:w="6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5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LIBOR plus .85%</w:t>
            </w:r>
          </w:p>
        </w:tc>
        <w:tc>
          <w:tcPr>
            <w:tcW w:w="6460" w:type="dxa"/>
            <w:vAlign w:val="bottom"/>
            <w:gridSpan w:val="2"/>
          </w:tcPr>
          <w:p>
            <w:pPr>
              <w:ind w:left="580"/>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3200" w:type="dxa"/>
            <w:vAlign w:val="bottom"/>
            <w:gridSpan w:val="2"/>
            <w:shd w:val="clear" w:color="auto" w:fill="CCEEFF"/>
          </w:tcPr>
          <w:p>
            <w:pPr>
              <w:jc w:val="right"/>
              <w:ind w:right="937"/>
              <w:spacing w:after="0"/>
              <w:rPr>
                <w:sz w:val="20"/>
                <w:szCs w:val="20"/>
                <w:color w:val="auto"/>
              </w:rPr>
            </w:pPr>
            <w:r>
              <w:rPr>
                <w:rFonts w:ascii="Arial" w:cs="Arial" w:eastAsia="Arial" w:hAnsi="Arial"/>
                <w:sz w:val="18"/>
                <w:szCs w:val="18"/>
                <w:color w:val="auto"/>
              </w:rPr>
              <w:t>8.125%</w:t>
            </w:r>
          </w:p>
        </w:tc>
        <w:tc>
          <w:tcPr>
            <w:tcW w:w="6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January 31 and July 31</w:t>
            </w:r>
          </w:p>
        </w:tc>
        <w:tc>
          <w:tcPr>
            <w:tcW w:w="0" w:type="dxa"/>
            <w:vAlign w:val="bottom"/>
          </w:tcPr>
          <w:p>
            <w:pPr>
              <w:spacing w:after="0"/>
              <w:rPr>
                <w:sz w:val="1"/>
                <w:szCs w:val="1"/>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5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LIBOR plus 3.35%</w:t>
            </w:r>
          </w:p>
        </w:tc>
        <w:tc>
          <w:tcPr>
            <w:tcW w:w="6460" w:type="dxa"/>
            <w:vAlign w:val="bottom"/>
            <w:gridSpan w:val="2"/>
          </w:tcPr>
          <w:p>
            <w:pPr>
              <w:ind w:left="580"/>
              <w:spacing w:after="0"/>
              <w:rPr>
                <w:sz w:val="20"/>
                <w:szCs w:val="20"/>
                <w:color w:val="auto"/>
              </w:rPr>
            </w:pPr>
            <w:r>
              <w:rPr>
                <w:rFonts w:ascii="Arial" w:cs="Arial" w:eastAsia="Arial" w:hAnsi="Arial"/>
                <w:sz w:val="18"/>
                <w:szCs w:val="18"/>
                <w:color w:val="auto"/>
              </w:rPr>
              <w:t>January 7, April 7, July 7 and October 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20" w:firstLine="222"/>
        <w:spacing w:after="0" w:line="286" w:lineRule="auto"/>
        <w:rPr>
          <w:sz w:val="20"/>
          <w:szCs w:val="20"/>
          <w:color w:val="auto"/>
        </w:rPr>
      </w:pPr>
      <w:r>
        <w:rPr>
          <w:rFonts w:ascii="Arial" w:cs="Arial" w:eastAsia="Arial" w:hAnsi="Arial"/>
          <w:sz w:val="17"/>
          <w:szCs w:val="17"/>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5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340" w:type="dxa"/>
            <w:vAlign w:val="bottom"/>
          </w:tcPr>
          <w:p>
            <w:pPr>
              <w:spacing w:after="0"/>
              <w:rPr>
                <w:sz w:val="14"/>
                <w:szCs w:val="14"/>
                <w:color w:val="auto"/>
              </w:rPr>
            </w:pPr>
          </w:p>
        </w:tc>
        <w:tc>
          <w:tcPr>
            <w:tcW w:w="1740" w:type="dxa"/>
            <w:vAlign w:val="bottom"/>
          </w:tcPr>
          <w:p>
            <w:pPr>
              <w:ind w:left="600"/>
              <w:spacing w:after="0"/>
              <w:rPr>
                <w:sz w:val="20"/>
                <w:szCs w:val="20"/>
                <w:color w:val="auto"/>
              </w:rPr>
            </w:pPr>
            <w:r>
              <w:rPr>
                <w:rFonts w:ascii="Arial" w:cs="Arial" w:eastAsia="Arial" w:hAnsi="Arial"/>
                <w:sz w:val="14"/>
                <w:szCs w:val="14"/>
                <w:color w:val="auto"/>
              </w:rPr>
              <w:t>Common</w:t>
            </w:r>
          </w:p>
        </w:tc>
        <w:tc>
          <w:tcPr>
            <w:tcW w:w="340" w:type="dxa"/>
            <w:vAlign w:val="bottom"/>
          </w:tcPr>
          <w:p>
            <w:pPr>
              <w:spacing w:after="0"/>
              <w:rPr>
                <w:sz w:val="14"/>
                <w:szCs w:val="14"/>
                <w:color w:val="auto"/>
              </w:rPr>
            </w:pPr>
          </w:p>
        </w:tc>
        <w:tc>
          <w:tcPr>
            <w:tcW w:w="5800" w:type="dxa"/>
            <w:vAlign w:val="bottom"/>
          </w:tcPr>
          <w:p>
            <w:pPr>
              <w:ind w:left="2320"/>
              <w:spacing w:after="0"/>
              <w:rPr>
                <w:sz w:val="20"/>
                <w:szCs w:val="20"/>
                <w:color w:val="auto"/>
              </w:rPr>
            </w:pPr>
            <w:r>
              <w:rPr>
                <w:rFonts w:ascii="Arial" w:cs="Arial" w:eastAsia="Arial" w:hAnsi="Arial"/>
                <w:sz w:val="14"/>
                <w:szCs w:val="14"/>
                <w:color w:val="auto"/>
              </w:rPr>
              <w:t>Junior Subordinated</w:t>
            </w: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Trust</w:t>
            </w:r>
          </w:p>
        </w:tc>
        <w:tc>
          <w:tcPr>
            <w:tcW w:w="3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Securities</w:t>
            </w:r>
          </w:p>
        </w:tc>
        <w:tc>
          <w:tcPr>
            <w:tcW w:w="340" w:type="dxa"/>
            <w:vAlign w:val="bottom"/>
          </w:tcPr>
          <w:p>
            <w:pPr>
              <w:spacing w:after="0"/>
              <w:rPr>
                <w:sz w:val="14"/>
                <w:szCs w:val="1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580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Debentures</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Trust I</w:t>
            </w:r>
          </w:p>
        </w:tc>
        <w:tc>
          <w:tcPr>
            <w:tcW w:w="34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$150 million</w:t>
            </w:r>
          </w:p>
        </w:tc>
        <w:tc>
          <w:tcPr>
            <w:tcW w:w="34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$4.64 million</w:t>
            </w:r>
          </w:p>
        </w:tc>
        <w:tc>
          <w:tcPr>
            <w:tcW w:w="340" w:type="dxa"/>
            <w:vAlign w:val="bottom"/>
          </w:tcPr>
          <w:p>
            <w:pPr>
              <w:spacing w:after="0"/>
              <w:rPr>
                <w:sz w:val="16"/>
                <w:szCs w:val="16"/>
                <w:color w:val="auto"/>
              </w:rPr>
            </w:pPr>
          </w:p>
        </w:tc>
        <w:tc>
          <w:tcPr>
            <w:tcW w:w="5800" w:type="dxa"/>
            <w:vAlign w:val="bottom"/>
          </w:tcPr>
          <w:p>
            <w:pPr>
              <w:spacing w:after="0" w:line="195" w:lineRule="exact"/>
              <w:rPr>
                <w:sz w:val="20"/>
                <w:szCs w:val="20"/>
                <w:color w:val="auto"/>
              </w:rPr>
            </w:pPr>
            <w:r>
              <w:rPr>
                <w:rFonts w:ascii="Arial" w:cs="Arial" w:eastAsia="Arial" w:hAnsi="Arial"/>
                <w:sz w:val="18"/>
                <w:szCs w:val="18"/>
                <w:color w:val="auto"/>
                <w:w w:val="94"/>
              </w:rPr>
              <w:t>$154.64 million aggregate liquidation amount of 8.234% Junior Subordinated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Debentures due February 1, 2027.</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040" w:type="dxa"/>
            <w:vAlign w:val="bottom"/>
            <w:gridSpan w:val="2"/>
          </w:tcPr>
          <w:p>
            <w:pPr>
              <w:ind w:left="340"/>
              <w:spacing w:after="0"/>
              <w:rPr>
                <w:sz w:val="20"/>
                <w:szCs w:val="20"/>
                <w:color w:val="auto"/>
              </w:rPr>
            </w:pPr>
            <w:r>
              <w:rPr>
                <w:rFonts w:ascii="Arial" w:cs="Arial" w:eastAsia="Arial" w:hAnsi="Arial"/>
                <w:sz w:val="18"/>
                <w:szCs w:val="18"/>
                <w:color w:val="auto"/>
              </w:rPr>
              <w:t>$100 million</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$3.09 million</w:t>
            </w:r>
          </w:p>
        </w:tc>
        <w:tc>
          <w:tcPr>
            <w:tcW w:w="3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4"/>
              </w:rPr>
              <w:t>$103.09 million aggregate liquidation amount of 8.277% Junior Subordinated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Debentures due June 1, 2027.</w:t>
            </w: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140" w:type="dxa"/>
            <w:vAlign w:val="bottom"/>
            <w:gridSpan w:val="2"/>
          </w:tcPr>
          <w:p>
            <w:pPr>
              <w:jc w:val="right"/>
              <w:ind w:right="5476"/>
              <w:spacing w:after="0"/>
              <w:rPr>
                <w:sz w:val="20"/>
                <w:szCs w:val="20"/>
                <w:color w:val="auto"/>
              </w:rPr>
            </w:pPr>
            <w:r>
              <w:rPr>
                <w:rFonts w:ascii="Arial" w:cs="Arial" w:eastAsia="Arial" w:hAnsi="Arial"/>
                <w:sz w:val="18"/>
                <w:szCs w:val="18"/>
                <w:color w:val="auto"/>
              </w:rPr>
              <w:t>-10-</w:t>
            </w:r>
          </w:p>
        </w:tc>
      </w:tr>
      <w:tr>
        <w:trPr>
          <w:trHeight w:val="226"/>
        </w:trPr>
        <w:tc>
          <w:tcPr>
            <w:tcW w:w="20" w:type="dxa"/>
            <w:vAlign w:val="bottom"/>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340" w:type="dxa"/>
            <w:vAlign w:val="bottom"/>
          </w:tcPr>
          <w:p>
            <w:pPr>
              <w:spacing w:after="0"/>
              <w:rPr>
                <w:sz w:val="14"/>
                <w:szCs w:val="14"/>
                <w:color w:val="auto"/>
              </w:rPr>
            </w:pPr>
          </w:p>
        </w:tc>
        <w:tc>
          <w:tcPr>
            <w:tcW w:w="1740" w:type="dxa"/>
            <w:vAlign w:val="bottom"/>
          </w:tcPr>
          <w:p>
            <w:pPr>
              <w:ind w:left="600"/>
              <w:spacing w:after="0"/>
              <w:rPr>
                <w:sz w:val="20"/>
                <w:szCs w:val="20"/>
                <w:color w:val="auto"/>
              </w:rPr>
            </w:pPr>
            <w:r>
              <w:rPr>
                <w:rFonts w:ascii="Arial" w:cs="Arial" w:eastAsia="Arial" w:hAnsi="Arial"/>
                <w:sz w:val="14"/>
                <w:szCs w:val="14"/>
                <w:color w:val="auto"/>
              </w:rPr>
              <w:t>Common</w:t>
            </w:r>
          </w:p>
        </w:tc>
        <w:tc>
          <w:tcPr>
            <w:tcW w:w="340" w:type="dxa"/>
            <w:vAlign w:val="bottom"/>
          </w:tcPr>
          <w:p>
            <w:pPr>
              <w:spacing w:after="0"/>
              <w:rPr>
                <w:sz w:val="14"/>
                <w:szCs w:val="14"/>
                <w:color w:val="auto"/>
              </w:rPr>
            </w:pPr>
          </w:p>
        </w:tc>
        <w:tc>
          <w:tcPr>
            <w:tcW w:w="5800" w:type="dxa"/>
            <w:vAlign w:val="bottom"/>
          </w:tcPr>
          <w:p>
            <w:pPr>
              <w:ind w:left="232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Trust</w:t>
            </w:r>
          </w:p>
        </w:tc>
        <w:tc>
          <w:tcPr>
            <w:tcW w:w="3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Securities</w:t>
            </w:r>
          </w:p>
        </w:tc>
        <w:tc>
          <w:tcPr>
            <w:tcW w:w="340" w:type="dxa"/>
            <w:vAlign w:val="bottom"/>
          </w:tcPr>
          <w:p>
            <w:pPr>
              <w:spacing w:after="0"/>
              <w:rPr>
                <w:sz w:val="14"/>
                <w:szCs w:val="1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580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III</w:t>
            </w:r>
          </w:p>
        </w:tc>
        <w:tc>
          <w:tcPr>
            <w:tcW w:w="204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$60 million</w:t>
            </w:r>
          </w:p>
        </w:tc>
        <w:tc>
          <w:tcPr>
            <w:tcW w:w="208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$1.856 million</w:t>
            </w:r>
          </w:p>
        </w:tc>
        <w:tc>
          <w:tcPr>
            <w:tcW w:w="340" w:type="dxa"/>
            <w:vAlign w:val="bottom"/>
            <w:shd w:val="clear" w:color="auto" w:fill="CCEEFF"/>
          </w:tcPr>
          <w:p>
            <w:pPr>
              <w:spacing w:after="0"/>
              <w:rPr>
                <w:sz w:val="16"/>
                <w:szCs w:val="16"/>
                <w:color w:val="auto"/>
              </w:rPr>
            </w:pPr>
          </w:p>
        </w:tc>
        <w:tc>
          <w:tcPr>
            <w:tcW w:w="5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$61.856 million aggregate liquidation amount of 9.25% Junior Subordinated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Debentures due February 1, 2027.</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2040" w:type="dxa"/>
            <w:vAlign w:val="bottom"/>
            <w:gridSpan w:val="2"/>
          </w:tcPr>
          <w:p>
            <w:pPr>
              <w:ind w:left="340"/>
              <w:spacing w:after="0"/>
              <w:rPr>
                <w:sz w:val="20"/>
                <w:szCs w:val="20"/>
                <w:color w:val="auto"/>
              </w:rPr>
            </w:pPr>
            <w:r>
              <w:rPr>
                <w:rFonts w:ascii="Arial" w:cs="Arial" w:eastAsia="Arial" w:hAnsi="Arial"/>
                <w:sz w:val="18"/>
                <w:szCs w:val="18"/>
                <w:color w:val="auto"/>
              </w:rPr>
              <w:t>$350 million</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$.01 million</w:t>
            </w:r>
          </w:p>
        </w:tc>
        <w:tc>
          <w:tcPr>
            <w:tcW w:w="3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6"/>
              </w:rPr>
              <w:t>$350.01 million aggregate liquidation amount of 8.50% Junior Subordinated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Debentures due January 31, 2068.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2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$150 million</w:t>
            </w:r>
          </w:p>
        </w:tc>
        <w:tc>
          <w:tcPr>
            <w:tcW w:w="20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$4.64 million</w:t>
            </w:r>
          </w:p>
        </w:tc>
        <w:tc>
          <w:tcPr>
            <w:tcW w:w="34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January 15, 2027.</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2040" w:type="dxa"/>
            <w:vAlign w:val="bottom"/>
            <w:gridSpan w:val="2"/>
          </w:tcPr>
          <w:p>
            <w:pPr>
              <w:ind w:left="340"/>
              <w:spacing w:after="0"/>
              <w:rPr>
                <w:sz w:val="20"/>
                <w:szCs w:val="20"/>
                <w:color w:val="auto"/>
              </w:rPr>
            </w:pPr>
            <w:r>
              <w:rPr>
                <w:rFonts w:ascii="Arial" w:cs="Arial" w:eastAsia="Arial" w:hAnsi="Arial"/>
                <w:sz w:val="18"/>
                <w:szCs w:val="18"/>
                <w:color w:val="auto"/>
              </w:rPr>
              <w:t>$150 million</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$4.64 million</w:t>
            </w:r>
          </w:p>
        </w:tc>
        <w:tc>
          <w:tcPr>
            <w:tcW w:w="3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VII</w:t>
            </w:r>
          </w:p>
        </w:tc>
        <w:tc>
          <w:tcPr>
            <w:tcW w:w="2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$16.5 million</w:t>
            </w:r>
          </w:p>
        </w:tc>
        <w:tc>
          <w:tcPr>
            <w:tcW w:w="20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$.928 million</w:t>
            </w:r>
          </w:p>
        </w:tc>
        <w:tc>
          <w:tcPr>
            <w:tcW w:w="34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$17.428 million aggregate liquidation amount of 8.125% Junior Subordinated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Debentures due July 31, 2028.</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2040" w:type="dxa"/>
            <w:vAlign w:val="bottom"/>
            <w:gridSpan w:val="2"/>
          </w:tcPr>
          <w:p>
            <w:pPr>
              <w:ind w:left="340"/>
              <w:spacing w:after="0"/>
              <w:rPr>
                <w:sz w:val="20"/>
                <w:szCs w:val="20"/>
                <w:color w:val="auto"/>
              </w:rPr>
            </w:pPr>
            <w:r>
              <w:rPr>
                <w:rFonts w:ascii="Arial" w:cs="Arial" w:eastAsia="Arial" w:hAnsi="Arial"/>
                <w:sz w:val="18"/>
                <w:szCs w:val="18"/>
                <w:color w:val="auto"/>
              </w:rPr>
              <w:t>$15 million</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$.464 million</w:t>
            </w:r>
          </w:p>
        </w:tc>
        <w:tc>
          <w:tcPr>
            <w:tcW w:w="3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$15.464 million aggregate liquidation amount of floating rate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Subordinated Debentures due January 7, 2033.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Junior Subordinated Debentures represent the sole assets of each Trust and payments under the Junior Subordinated Debentures are the sole source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cash flow for each Trust. The financial statement carrying values of junior subordinated debentures associated with preferred capital securities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and December 31, 2007 of Trust III, Trust V, Trust VI and Trust VII include the unamortized portions of purchase accounting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reflect estimated fair value as of the date of M&amp;T’s acquisition of the common securities of each respective trust. The interest rates payable on the Junior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Debentures of Trust V, Trust VI and Trust VIII were 3.79%, 3.65% and 6.14%, respectively, at September 30, 2008 and were 6.24%, 5.76%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8.59%, respectively, at December 31, 2007.</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VII), twenty quarterly periods (in the case of Trust V, Trust VI and Trust VIII) or, with respect to Trust IV, for up to twenty quarterly periods without being subject to the alternative payment mechanism (as described below), and for up to forty quarterly periods, without giving rise to an event of default, in which case payment of distributions on the respective Capital Securities will be deferred for comparable periods. During an extended interest period, M&amp;T may not pay dividends or distributions on, or repurchase, redeem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or acquire any shares of its capital stock. In the event of an extended interest period exceeding twenty quarterly periods for the Junior Subordinated Debentures due January 31, 2068 held by Trust IV, M&amp;T must fund the payment of accrued and unpaid interest through the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held by Trust IV.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9"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 In connection with the issuance of the 8.50% Enhanced Trust Preferred Securities by Trust IV,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72" w:lineRule="exact"/>
        <w:rPr>
          <w:sz w:val="20"/>
          <w:szCs w:val="20"/>
          <w:color w:val="auto"/>
        </w:rPr>
      </w:pPr>
    </w:p>
    <w:p>
      <w:pPr>
        <w:ind w:firstLine="215"/>
        <w:spacing w:after="0" w:line="284"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July 15, 2029 that are payable to Allfirst Asset Trust. The interest rates payable on such debentures were 4.22% and 6.67% at September 30, 2008 and December 31, 2007, respectively.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7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V, Trust VI, Trust VII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c>
          <w:tcPr>
            <w:tcW w:w="9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ind w:left="64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154,640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103,093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67,815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350,010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144,613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144,201</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142,483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16,921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15,464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Allfirst Asset Trust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102,069</w:t>
            </w:r>
          </w:p>
        </w:tc>
        <w:tc>
          <w:tcPr>
            <w:tcW w:w="6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1,097,108</w:t>
            </w:r>
          </w:p>
        </w:tc>
        <w:tc>
          <w:tcPr>
            <w:tcW w:w="6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customer and the distribution of those products and services are similar. The reportable segments are Business Banking, Commercial Banking, Commercial Real Estate, Discretionary Portfolio, Residential Mortgage Banking and Retail Banking.</w:t>
      </w:r>
    </w:p>
    <w:p>
      <w:pPr>
        <w:spacing w:after="0" w:line="62"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21 to the Company’s consolidated financial statements as of and for the year ended December 31, 2007. The management accounting policies and processes utilized in compiling segment financial information are highly subjective and, unlike financial accounting, are not based on authoritative guidance similar to generally accepted accounting principles (“GAAP”). As a result, the financial information of the reported segments is not necessarily comparable with similar information reported by other financial institutions. As also described in note 21 to the Company’s 2007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 assigned such intangible assets to business units for purposes of testing for impairment.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7"/>
              </w:rPr>
              <w:t>Inter-</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1340" w:type="dxa"/>
            <w:vAlign w:val="bottom"/>
            <w:gridSpan w:val="2"/>
          </w:tcPr>
          <w:p>
            <w:pPr>
              <w:jc w:val="center"/>
              <w:ind w:right="608"/>
              <w:spacing w:after="0" w:line="149" w:lineRule="exact"/>
              <w:rPr>
                <w:sz w:val="20"/>
                <w:szCs w:val="20"/>
                <w:color w:val="auto"/>
              </w:rPr>
            </w:pPr>
            <w:r>
              <w:rPr>
                <w:rFonts w:ascii="Arial" w:cs="Arial" w:eastAsia="Arial" w:hAnsi="Arial"/>
                <w:sz w:val="14"/>
                <w:szCs w:val="14"/>
                <w:color w:val="auto"/>
                <w:w w:val="92"/>
              </w:rPr>
              <w:t>income</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w w:val="93"/>
              </w:rPr>
              <w:t>revenues(a)</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revenues</w:t>
            </w:r>
          </w:p>
        </w:tc>
        <w:tc>
          <w:tcPr>
            <w:tcW w:w="1340" w:type="dxa"/>
            <w:vAlign w:val="bottom"/>
            <w:gridSpan w:val="2"/>
          </w:tcPr>
          <w:p>
            <w:pPr>
              <w:jc w:val="center"/>
              <w:ind w:right="588"/>
              <w:spacing w:after="0"/>
              <w:rPr>
                <w:sz w:val="20"/>
                <w:szCs w:val="20"/>
                <w:color w:val="auto"/>
              </w:rPr>
            </w:pPr>
            <w:r>
              <w:rPr>
                <w:rFonts w:ascii="Arial" w:cs="Arial" w:eastAsia="Arial" w:hAnsi="Arial"/>
                <w:sz w:val="14"/>
                <w:szCs w:val="14"/>
                <w:color w:val="auto"/>
                <w:w w:val="93"/>
              </w:rPr>
              <w:t>(loss)</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revenues(a)(b)</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6"/>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72"/>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93,573</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29,559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93,825</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34,953</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152,429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94</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59,898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134,429</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85,625</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35,867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75,945</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(107,756)</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(2,616)</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(78,402)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34,104</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(3,079)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55,896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8,242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(17,801)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62,249</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287,609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3,136</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58,336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301,798</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2,996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(9,003)</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3,728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18,237</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(35,457)</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601,956</w:t>
            </w:r>
          </w:p>
        </w:tc>
        <w:tc>
          <w:tcPr>
            <w:tcW w:w="6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91,185</w:t>
            </w: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720,587</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5"/>
              </w:rPr>
              <w:t>Nine months ended September 30</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22"/>
              <w:spacing w:after="0" w:line="142" w:lineRule="exact"/>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Inter-</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7"/>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segment</w:t>
            </w:r>
          </w:p>
        </w:tc>
        <w:tc>
          <w:tcPr>
            <w:tcW w:w="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revenues(a)</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revenues(a)(b)</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4"/>
          </w:tcPr>
          <w:p>
            <w:pPr>
              <w:jc w:val="right"/>
              <w:ind w:right="30"/>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280,817</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274,934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101,205</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468,579</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344</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180,223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409,977</w:t>
            </w:r>
          </w:p>
        </w:tc>
        <w:tc>
          <w:tcPr>
            <w:tcW w:w="1740" w:type="dxa"/>
            <w:vAlign w:val="bottom"/>
            <w:gridSpan w:val="4"/>
          </w:tcPr>
          <w:p>
            <w:pPr>
              <w:jc w:val="right"/>
              <w:ind w:right="640"/>
              <w:spacing w:after="0"/>
              <w:rPr>
                <w:sz w:val="20"/>
                <w:szCs w:val="20"/>
                <w:color w:val="auto"/>
              </w:rPr>
            </w:pPr>
            <w:r>
              <w:rPr>
                <w:rFonts w:ascii="Arial" w:cs="Arial" w:eastAsia="Arial" w:hAnsi="Arial"/>
                <w:sz w:val="18"/>
                <w:szCs w:val="18"/>
                <w:color w:val="auto"/>
              </w:rPr>
              <w:t>310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161,114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260,176</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556</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225,076</w:t>
            </w:r>
          </w:p>
        </w:tc>
        <w:tc>
          <w:tcPr>
            <w:tcW w:w="17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580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111,928</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(35,489)</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(11,115)</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(57,101)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96,885</w:t>
            </w:r>
          </w:p>
        </w:tc>
        <w:tc>
          <w:tcPr>
            <w:tcW w:w="1740" w:type="dxa"/>
            <w:vAlign w:val="bottom"/>
            <w:gridSpan w:val="4"/>
          </w:tcPr>
          <w:p>
            <w:pPr>
              <w:jc w:val="right"/>
              <w:ind w:right="580"/>
              <w:spacing w:after="0"/>
              <w:rPr>
                <w:sz w:val="20"/>
                <w:szCs w:val="20"/>
                <w:color w:val="auto"/>
              </w:rPr>
            </w:pPr>
            <w:r>
              <w:rPr>
                <w:rFonts w:ascii="Arial" w:cs="Arial" w:eastAsia="Arial" w:hAnsi="Arial"/>
                <w:sz w:val="18"/>
                <w:szCs w:val="18"/>
                <w:color w:val="auto"/>
              </w:rPr>
              <w:t>(8,621)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187,335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34,526</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173,093</w:t>
            </w:r>
          </w:p>
        </w:tc>
        <w:tc>
          <w:tcPr>
            <w:tcW w:w="17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35,771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882,652</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9,458</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196,733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890,860</w:t>
            </w:r>
          </w:p>
        </w:tc>
        <w:tc>
          <w:tcPr>
            <w:tcW w:w="1740" w:type="dxa"/>
            <w:vAlign w:val="bottom"/>
            <w:gridSpan w:val="4"/>
          </w:tcPr>
          <w:p>
            <w:pPr>
              <w:jc w:val="right"/>
              <w:ind w:right="640"/>
              <w:spacing w:after="0"/>
              <w:rPr>
                <w:sz w:val="20"/>
                <w:szCs w:val="20"/>
                <w:color w:val="auto"/>
              </w:rPr>
            </w:pPr>
            <w:r>
              <w:rPr>
                <w:rFonts w:ascii="Arial" w:cs="Arial" w:eastAsia="Arial" w:hAnsi="Arial"/>
                <w:sz w:val="18"/>
                <w:szCs w:val="18"/>
                <w:color w:val="auto"/>
              </w:rPr>
              <w:t>9,453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241,904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107,213</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(33,774)</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81,701</w:t>
            </w:r>
          </w:p>
        </w:tc>
        <w:tc>
          <w:tcPr>
            <w:tcW w:w="1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(37,493)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(101,856)</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2,151,283</w:t>
            </w:r>
          </w:p>
        </w:tc>
        <w:tc>
          <w:tcPr>
            <w:tcW w:w="6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453,646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2,152,526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589,329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89"/>
              </w:rPr>
              <w:t>Average total assets</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jc w:val="right"/>
              <w:ind w:right="1120"/>
              <w:spacing w:after="0" w:line="123" w:lineRule="exact"/>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6"/>
          </w:tcPr>
          <w:p>
            <w:pPr>
              <w:jc w:val="right"/>
              <w:ind w:right="1280"/>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color w:val="auto"/>
              </w:rPr>
              <w:t>2007(b)</w:t>
            </w:r>
          </w:p>
        </w:tc>
        <w:tc>
          <w:tcPr>
            <w:tcW w:w="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2007(b)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14,845</w:t>
            </w:r>
          </w:p>
        </w:tc>
        <w:tc>
          <w:tcPr>
            <w:tcW w:w="2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12,844</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11,296</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14,464</w:t>
            </w:r>
          </w:p>
        </w:tc>
        <w:tc>
          <w:tcPr>
            <w:tcW w:w="2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12,475</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11,397</w:t>
            </w:r>
          </w:p>
        </w:tc>
        <w:tc>
          <w:tcPr>
            <w:tcW w:w="2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10,176</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65,198</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57,533</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for any funds provided (e.g. deposits). The taxable-equivalent adjustment aggregated $5,260,000 and $5,112,000 for the three-month periods ended September 30, 2008 and 2007, respectively, and $16,894,000 and $15,207,000 for the nine-month periods ended September 30, 2008 and 2007,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77" w:lineRule="exact"/>
        <w:rPr>
          <w:sz w:val="20"/>
          <w:szCs w:val="20"/>
          <w:color w:val="auto"/>
        </w:rPr>
      </w:pPr>
    </w:p>
    <w:p>
      <w:pPr>
        <w:ind w:left="460" w:right="6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 January 1, 2008, the Company changed its internal profitability reporting to move a New York City-based lending unit from the Commercial Banking segment to the Commercial Real Estate segment. Accordingly, financial information presented herein for periods prior to January 1, 2008 has been reclassified to conform to current year presentation. As a result, total revenues and net income decreased in the Commercial Banking segment and increased in the Commercial Real Estate segment for the three-month period ended September 30, 2007 by $7 million and $4 million, respectively, and for the nine-month period ended September 30, 2007 by $19 million and $10 million, respectively, as compared with amounts previously reported. The lending unit had average total assets of $599 million during the nine-months ended September 30, 2007 and $667 million during the year ended December 31, 2007. Accordingly, average total assets presented for those periods differ from amounts previously reported.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720" w:type="dxa"/>
            <w:vAlign w:val="bottom"/>
            <w:gridSpan w:val="2"/>
          </w:tcPr>
          <w:p>
            <w:pPr>
              <w:jc w:val="right"/>
              <w:ind w:right="248"/>
              <w:spacing w:after="0"/>
              <w:rPr>
                <w:sz w:val="20"/>
                <w:szCs w:val="20"/>
                <w:color w:val="auto"/>
              </w:rPr>
            </w:pPr>
            <w:r>
              <w:rPr>
                <w:rFonts w:ascii="Arial" w:cs="Arial" w:eastAsia="Arial" w:hAnsi="Arial"/>
                <w:sz w:val="14"/>
                <w:szCs w:val="14"/>
                <w:color w:val="auto"/>
              </w:rPr>
              <w:t>2008</w:t>
            </w:r>
          </w:p>
        </w:tc>
        <w:tc>
          <w:tcPr>
            <w:tcW w:w="2080" w:type="dxa"/>
            <w:vAlign w:val="bottom"/>
            <w:gridSpan w:val="3"/>
          </w:tcPr>
          <w:p>
            <w:pPr>
              <w:jc w:val="right"/>
              <w:ind w:right="46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3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4720" w:type="dxa"/>
            <w:vAlign w:val="bottom"/>
            <w:gridSpan w:val="2"/>
          </w:tcPr>
          <w:p>
            <w:pPr>
              <w:jc w:val="right"/>
              <w:ind w:right="28"/>
              <w:spacing w:after="0"/>
              <w:rPr>
                <w:sz w:val="20"/>
                <w:szCs w:val="20"/>
                <w:color w:val="auto"/>
              </w:rPr>
            </w:pPr>
            <w:r>
              <w:rPr>
                <w:rFonts w:ascii="Arial" w:cs="Arial" w:eastAsia="Arial" w:hAnsi="Arial"/>
                <w:sz w:val="18"/>
                <w:szCs w:val="18"/>
                <w:color w:val="auto"/>
              </w:rPr>
              <w:t>$6,050,684</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5,937,903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4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79,107</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4720" w:type="dxa"/>
            <w:vAlign w:val="bottom"/>
            <w:gridSpan w:val="2"/>
          </w:tcPr>
          <w:p>
            <w:pPr>
              <w:jc w:val="right"/>
              <w:ind w:right="28"/>
              <w:spacing w:after="0"/>
              <w:rPr>
                <w:sz w:val="20"/>
                <w:szCs w:val="20"/>
                <w:color w:val="auto"/>
              </w:rPr>
            </w:pPr>
            <w:r>
              <w:rPr>
                <w:rFonts w:ascii="Arial" w:cs="Arial" w:eastAsia="Arial" w:hAnsi="Arial"/>
                <w:sz w:val="18"/>
                <w:szCs w:val="18"/>
                <w:color w:val="auto"/>
              </w:rPr>
              <w:t>2,530,299</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2,869,961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4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656,884</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492,375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4720" w:type="dxa"/>
            <w:vAlign w:val="bottom"/>
            <w:gridSpan w:val="2"/>
          </w:tcPr>
          <w:p>
            <w:pPr>
              <w:jc w:val="right"/>
              <w:ind w:right="28"/>
              <w:spacing w:after="0"/>
              <w:rPr>
                <w:sz w:val="20"/>
                <w:szCs w:val="20"/>
                <w:color w:val="auto"/>
              </w:rPr>
            </w:pPr>
            <w:r>
              <w:rPr>
                <w:rFonts w:ascii="Arial" w:cs="Arial" w:eastAsia="Arial" w:hAnsi="Arial"/>
                <w:sz w:val="18"/>
                <w:szCs w:val="18"/>
                <w:color w:val="auto"/>
              </w:rPr>
              <w:t>255,257</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425,579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4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6,482,740</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7,346,790</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4720" w:type="dxa"/>
            <w:vAlign w:val="bottom"/>
            <w:gridSpan w:val="2"/>
          </w:tcPr>
          <w:p>
            <w:pPr>
              <w:jc w:val="right"/>
              <w:ind w:right="28"/>
              <w:spacing w:after="0"/>
              <w:rPr>
                <w:sz w:val="20"/>
                <w:szCs w:val="20"/>
                <w:color w:val="auto"/>
              </w:rPr>
            </w:pPr>
            <w:r>
              <w:rPr>
                <w:rFonts w:ascii="Arial" w:cs="Arial" w:eastAsia="Arial" w:hAnsi="Arial"/>
                <w:sz w:val="18"/>
                <w:szCs w:val="18"/>
                <w:color w:val="auto"/>
              </w:rPr>
              <w:t>3,982,538</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3,691,971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4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64,928</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4720" w:type="dxa"/>
            <w:vAlign w:val="bottom"/>
            <w:gridSpan w:val="2"/>
          </w:tcPr>
          <w:p>
            <w:pPr>
              <w:jc w:val="right"/>
              <w:ind w:right="28"/>
              <w:spacing w:after="0"/>
              <w:rPr>
                <w:sz w:val="20"/>
                <w:szCs w:val="20"/>
                <w:color w:val="auto"/>
              </w:rPr>
            </w:pPr>
            <w:r>
              <w:rPr>
                <w:rFonts w:ascii="Arial" w:cs="Arial" w:eastAsia="Arial" w:hAnsi="Arial"/>
                <w:sz w:val="18"/>
                <w:szCs w:val="18"/>
                <w:color w:val="auto"/>
              </w:rPr>
              <w:t>1,495,767</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1,318,733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4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886,389</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946,457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580" w:type="dxa"/>
            <w:vAlign w:val="bottom"/>
          </w:tcPr>
          <w:p>
            <w:pPr>
              <w:jc w:val="right"/>
              <w:ind w:right="2251"/>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$1.1 billion and $1.0 billion at September 30, 2008 and December 31, 2007, respectively.</w:t>
      </w:r>
    </w:p>
    <w:p>
      <w:pPr>
        <w:spacing w:after="0" w:line="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2"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Until January 1, 2008, in estimating that fair value for commitments to originate loans for sale, value ascribable to cash flows to be realized in connection with loan servicing activities was not included. Value ascribable to that portion of cash flows was recognized at the time the underlying mortgage loans were sold. Effective January 1, 2008, the Company adopted the provisions of Staff Accounting Bulletin (“SAB”) No. 109 issued by the Securities and Exchange Commission (“SEC”),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 in the value of loan commitments accounted for as derivatives at December 31, 2007. As a result of the Company’s adoption of required changes in accounting pronouncements on January 1, 2008, there was an acceleration of the recognition of mortgage banking revenues of approximately $7 million during the first quarter of 2008. If not for the changes in accounting pronouncements, those revenues would have been recognized later in 2008 when the underlying loans were sold.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$107 million at September 30, 2008. Assets of subsidiaries providing reinsurance that are available to satisfy claims totaled approximately $62 million at September 30, 2008. The amounts noted above are not necessarily indicative of losses which may ultimately be incurred. Such losses are expected to be substantially less because most loans are repaid by borrowers in accordance with the original loan terms. The amount of the Company’s recorded liability for reported reinsurance losses as well as estimated losses incurred but not yet reported was not significant at either September 30, 2008 or December 31, 2007.</w:t>
      </w:r>
    </w:p>
    <w:p>
      <w:pPr>
        <w:spacing w:after="0" w:line="58"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In October 2007, Visa completed a reorganization in contemplation of its initial public offering (“IPO”) expected to occur in 2008. As part of that reorganization, M&amp;T Bank, M&amp;T’s principal banking subsidiary,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as of December 31, 2007. During the first quarter of 2008, Visa completed its IPO and, as part of the transaction, funded an escrow account for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The initial accrual in 2007 and the partial reversal in 2008 were included in “other costs of operations” in the consolidated statement of income. In addition, M&amp;T Bank was allocated 1,967,028 Class B common shares of Visa. Of those shares, 760,455 were mandatorily redeemed in March 2008 resulting in a pre-tax gain of $33 million ($20 million after tax) which has been included in “gain on bank investment securities” in the consolidated statement of income. During October 2008, Visa announced that it had settled an additional portion of the Covered Litigation and that it would further fund the escrow account in the fourth quarter of 2008 to provide for that settlement. As noted above, the Company had previously recorded a reserve for the estimated fair value of its obligation to indemnify Visa for the Covered Litigation. Management believes that the terms of the October 2008 settlement and the expected funding of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escrow account do not result in a material impact to the Company’s consolidated financial position or results of operations.</w:t>
      </w:r>
    </w:p>
    <w:p>
      <w:pPr>
        <w:spacing w:after="0" w:line="117"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0"/>
              </w:rPr>
              <w:t>Three months</w:t>
            </w:r>
          </w:p>
        </w:tc>
        <w:tc>
          <w:tcPr>
            <w:tcW w:w="2160" w:type="dxa"/>
            <w:vAlign w:val="bottom"/>
            <w:gridSpan w:val="5"/>
          </w:tcPr>
          <w:p>
            <w:pPr>
              <w:ind w:left="12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4,852</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548"/>
              <w:spacing w:after="0"/>
              <w:rPr>
                <w:sz w:val="20"/>
                <w:szCs w:val="20"/>
                <w:color w:val="auto"/>
              </w:rPr>
            </w:pPr>
            <w:r>
              <w:rPr>
                <w:rFonts w:ascii="Arial" w:cs="Arial" w:eastAsia="Arial" w:hAnsi="Arial"/>
                <w:sz w:val="18"/>
                <w:szCs w:val="18"/>
                <w:color w:val="auto"/>
              </w:rPr>
              <w:t>10,636</w:t>
            </w: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(11,523)</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(10,051)</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488"/>
              <w:spacing w:after="0"/>
              <w:rPr>
                <w:sz w:val="20"/>
                <w:szCs w:val="20"/>
                <w:color w:val="auto"/>
              </w:rPr>
            </w:pPr>
            <w:r>
              <w:rPr>
                <w:rFonts w:ascii="Arial" w:cs="Arial" w:eastAsia="Arial" w:hAnsi="Arial"/>
                <w:sz w:val="18"/>
                <w:szCs w:val="18"/>
                <w:color w:val="auto"/>
              </w:rPr>
              <w:t>(1,640)</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6"/>
              </w:rPr>
              <w:t>Nine months</w:t>
            </w:r>
          </w:p>
        </w:tc>
        <w:tc>
          <w:tcPr>
            <w:tcW w:w="2160" w:type="dxa"/>
            <w:vAlign w:val="bottom"/>
            <w:gridSpan w:val="5"/>
          </w:tcPr>
          <w:p>
            <w:pPr>
              <w:ind w:left="10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14,557</w:t>
            </w: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16,077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548"/>
              <w:spacing w:after="0"/>
              <w:rPr>
                <w:sz w:val="20"/>
                <w:szCs w:val="20"/>
                <w:color w:val="auto"/>
              </w:rPr>
            </w:pPr>
            <w:r>
              <w:rPr>
                <w:rFonts w:ascii="Arial" w:cs="Arial" w:eastAsia="Arial" w:hAnsi="Arial"/>
                <w:sz w:val="18"/>
                <w:szCs w:val="18"/>
                <w:color w:val="auto"/>
              </w:rPr>
              <w:t>31,908</w:t>
            </w: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28,424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2,830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(34,570)</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(30,101)</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488"/>
              <w:spacing w:after="0"/>
              <w:rPr>
                <w:sz w:val="20"/>
                <w:szCs w:val="20"/>
                <w:color w:val="auto"/>
              </w:rPr>
            </w:pPr>
            <w:r>
              <w:rPr>
                <w:rFonts w:ascii="Arial" w:cs="Arial" w:eastAsia="Arial" w:hAnsi="Arial"/>
                <w:sz w:val="18"/>
                <w:szCs w:val="18"/>
                <w:color w:val="auto"/>
              </w:rPr>
              <w:t>(4,919)</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4,478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5"/>
        <w:spacing w:after="0" w:line="273" w:lineRule="auto"/>
        <w:rPr>
          <w:sz w:val="20"/>
          <w:szCs w:val="20"/>
          <w:color w:val="auto"/>
        </w:rPr>
      </w:pPr>
      <w:r>
        <w:rPr>
          <w:rFonts w:ascii="Arial" w:cs="Arial" w:eastAsia="Arial" w:hAnsi="Arial"/>
          <w:sz w:val="17"/>
          <w:szCs w:val="17"/>
          <w:color w:val="auto"/>
        </w:rPr>
        <w:t>Expense incurred in connection with the Company’s defined contribution pension and retirement savings plans totaled $7,758,000 and $6,993,000 for the three months ended September 30, 2008 and 2007, respectively, and $26,075,000 and $23,410,000 for the nine months ended September 30, 2008 and 2007, respectively. The Company is not required to make any minimum contributions to the qualified defined benefit pension plan in 2008, however, the Company elected to contribute $15 million to that plan during the third quarter of 2008. Subject to the impact of actual events and circumstances that may occur during the remainder of 2008, the Company may make an additional contribution to the qualified defined benefit pension plan in the fourth quarter, but the amount of any such contribution has not yet been determined.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30, 2007, M&amp;T completed the acquisition of Partners Trust Financial Group, Inc. (“Partners Trust”), a bank holding company headquartered in Utica, New York. Partners Trust was merged with and into M&amp;T on that date. Partners Trust Bank, the primary banking subsidiary of Partners Trust, was merged into M&amp;T Bank on that date. Partners Trust Bank operated 33 branch offices in upstate New York at the date of acquisition. The results of operations acquired in the Partners Trust transaction have been included in the Company’s financial results since November 30, 2007, but did not have a material effect on the Company’s results of operations in 2007 or in the first nine months of 2008.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expands M&amp;T’s presence in upstate New York, making M&amp;T Bank the deposit market share leader in the Utica-Rome and Binghamton markets, while strengthening its lead position in Syracuse.</w:t>
      </w:r>
    </w:p>
    <w:p>
      <w:pPr>
        <w:spacing w:after="0" w:line="70" w:lineRule="exact"/>
        <w:rPr>
          <w:sz w:val="20"/>
          <w:szCs w:val="20"/>
          <w:color w:val="auto"/>
        </w:rPr>
      </w:pPr>
    </w:p>
    <w:p>
      <w:pPr>
        <w:ind w:right="260" w:firstLine="215"/>
        <w:spacing w:after="0" w:line="279" w:lineRule="auto"/>
        <w:rPr>
          <w:sz w:val="20"/>
          <w:szCs w:val="20"/>
          <w:color w:val="auto"/>
        </w:rPr>
      </w:pPr>
      <w:r>
        <w:rPr>
          <w:rFonts w:ascii="Arial" w:cs="Arial" w:eastAsia="Arial" w:hAnsi="Arial"/>
          <w:sz w:val="17"/>
          <w:szCs w:val="17"/>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7 years using an accelerated method.</w:t>
      </w:r>
    </w:p>
    <w:p>
      <w:pPr>
        <w:spacing w:after="0" w:line="63"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a condition of the approval of the Partners Trust acquisition by regulators, M&amp;T Bank was required to divest three branch offices in Binghamton, New York. The three branches were sold on March 15, 2008, including loans of $13 million and deposits of $65 million. No gain or loss was recognized on that transaction.</w:t>
      </w:r>
    </w:p>
    <w:p>
      <w:pPr>
        <w:spacing w:after="0" w:line="73"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On December 7, 2007, M&amp;T Bank acquired 13 branch offices in the Mid-Atlantic region from First Horizon Bank in a cash transaction. The offices had approximately $214 million of loans, $216 million of deposits and $80 million of trust and investment assets under management on the transaction date.</w:t>
      </w:r>
    </w:p>
    <w:p>
      <w:pPr>
        <w:spacing w:after="0" w:line="16"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incurred merger-related expenses related to systems conversions and other costs of integrating and conforming acquired operations with and into the Company of $4 million ($2 million net of applicable income taxes) during the first quarter of 2008. There were no similar expenses in the third quarter of 2008, nor in the first nine months of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Relationship with Bayview Lending Group LLC and Bayview Financial Holdings, L.P.</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February 5, 2007 M&amp;T invested $300 million to acquire a minority interest in Bayview Lending Group LLC (“BLG”), a privately-held commercial mortgage lender that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Relationship with Bayview Lending Group LLC and Bayview Financial Holdings, L.P., continued</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loans from BLG and Bayview Financial having outstanding principal balances of $5.8 billion and $4.9 billion at September 30, 2008 and December 31, 2007, respectively. Amounts recorded as capitalized servicing assets for such loans totaled $63 million at September 30, 2008 and $57 million at December 31, 2007. In addition, capitalized servicing rights at September 30, 2008 and December 31, 2007 also included $30 million and $40 million, respectively, for servicing rights that were purchased from Bayview Financial related to residential mortgage loans with outstanding principal balances of $4.2 billion at September 30, 2008 and $4.6 billion at December 31, 2007. Revenues from servicing residential and small balance commercial mortgage loans purchased from BLG and Bayview Financial were $13 million and $12 million for the three months ended September 30, 2008 and 2007, respectively, and $40 million and $35 million for the nine months ended September 30, 2008 and 2007, respectively. M&amp;T Bank provides $95 million of credit facilities to Bayview Financial of which $78 million was outstanding at September 30, 2008. There was no outstanding balance at December 31, 2007. Finally, at September 30, 2008 the Company held $427 million and $31 million of private collateralized mortgage obligations in its held-to-maturity and available-for-sale investment securities portfolios, respectively, that were securitized by Bayview Financial. During the third quarter of 2008, the Company transferred certain of its holdings of private collateralized mortgage obligations that were securitized by Bayview Financial with a cost basis of $385 million and a fair value of $298 million from its available-for-sale investment securities portfolio to its held-to-maturity investment securities portfolio. In addition, during the third quarter of 2008 the Company purchased $142 million of similar private collateralized mortgage obligations that were placed into its held-to-maturity investment securities portfolio. At December 31, 2007, the Company held $450 million of private collateralized mortgage obligations that had been purchased from Bayview Financial, all of which were included in the available-for-sale investment securities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Financial Accounting Standards Board (“FASB”) until 2009.</w:t>
      </w:r>
    </w:p>
    <w:p>
      <w:pPr>
        <w:spacing w:after="0" w:line="73"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provisions of SFAS No. 159, “The Fair Value Option for Financial Assets and Financial Liabilities,” which permit an entity to choose to measure eligible financial instruments and other items at fair value, also became effective January 1, 2008. The Company has not made any fair value elections under SFAS No. 159 as of September 30, 2008.</w:t>
      </w:r>
    </w:p>
    <w:p>
      <w:pPr>
        <w:spacing w:after="0" w:line="73"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The definition of fair value is clarified by SFAS No. 157 to be the price that would be received to sell an asset or paid to transfer a liability in an orderly transaction between market participants at the measurement date. SFAS No. 157 establishes a three-level hierarchy for fair value measurements based upon the inputs to the valuation of an asset or liability.</w:t>
      </w:r>
    </w:p>
    <w:p>
      <w:pPr>
        <w:spacing w:after="0" w:line="73"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560" w:right="740" w:hanging="444"/>
        <w:spacing w:after="0" w:line="342" w:lineRule="auto"/>
        <w:tabs>
          <w:tab w:leader="none" w:pos="5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96" w:lineRule="exact"/>
        <w:rPr>
          <w:rFonts w:ascii="Arial" w:cs="Arial" w:eastAsia="Arial" w:hAnsi="Arial"/>
          <w:sz w:val="16"/>
          <w:szCs w:val="16"/>
          <w:b w:val="1"/>
          <w:b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560" w:right="20" w:hanging="444"/>
        <w:spacing w:after="0" w:line="277"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46" w:lineRule="exact"/>
        <w:rPr>
          <w:sz w:val="20"/>
          <w:szCs w:val="20"/>
          <w:color w:val="auto"/>
        </w:rPr>
      </w:pPr>
    </w:p>
    <w:p>
      <w:pPr>
        <w:ind w:right="80" w:firstLine="8"/>
        <w:spacing w:after="0" w:line="295"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 Due to the severe disruption in the credit markets during the third quarter of 2008, trading activity in privately issued mortgage-backed securities was very limited. The markets for such securities were generally characterized by a sharp reduction to total cessation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Because of the inactivity in the markets and the lack of observable valuation inputs, the Company transferred $2.2 billion of its privately issued mortgage-backed securities portfolio from Level 2 to Level 3 valuations during the quarter ended September 30, 2008. Offsetting this transfer-in to Level 3, were certain privately issued mortgage-backed securities securitized by Bayview Financial with a fair value of $298 million that were transferred from the Company’s available-for-sale portfolio to its held-to-maturity portfolio during the quarter ended September 30, 2008, and thus are no longer measured at fair value. In addition to obtaining estimated prices from independent parties, the Company also performed internal modeling to estimate the fair value of privately issued mortgage-backed securities transferred from Level 2 to Level 3 valuations during the quarter ended September 30, 2008 using a</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methodology similar to that described in FASB Staff Position FAS 157-3, “Determining the Fair Value of a Financial Asset When the Market for That Asset Is Not Active.” The Company’s internal modeling techniques included discounting estimated bond-specific cash flows using assumptions of loan level cash flows, including estimates about the timing and amount of credit losses and prepayments. In valuing investment securities at September 30, 2008, the Company considered the results of its modeling and the values provided by the independent parties, but relied predominantly on the latter. Privately issued mortgage-backed securities constituted $2.8 billion of the $2.9 billion of available for sale investment securities classified as Level 3 valuations as of September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from the date of close through the sale date. Most of the Company’s real estate loans held for sale have generally been hedged since the origination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oftentimes adjusted to reflect the Company’s anticipated commitment expirations. Estimated commitment expirations are considered a significant unobservable input, which results in a Level 3 classification. Additionally, during the first quarter of 2008 the Company adopted the provisions of SAB No. 109 for written loan commitments issued or modified after January 1, 2008.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the Company had not included such amount in the value of commitments to originate real estate loans for sale at December 31, 2007. The estimated value ascribed to the expected net future servicing cash flows is also considered a significant unobservable input contributing to the Level 3 classification of commitments to originate real estate loans for sale.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assets and liabilities at September 30, 2008 measured at estimated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6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1"/>
              </w:rPr>
              <w:t>September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370,420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50,358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320,062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7,348,424</w:t>
            </w:r>
          </w:p>
        </w:tc>
        <w:tc>
          <w:tcPr>
            <w:tcW w:w="6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271,726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4,190,125</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2,886,573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509,553</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509,553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assets (a)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34,479</w:t>
            </w:r>
          </w:p>
        </w:tc>
        <w:tc>
          <w:tcPr>
            <w:tcW w:w="620" w:type="dxa"/>
            <w:vAlign w:val="bottom"/>
            <w:gridSpan w:val="2"/>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31,126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r>
      <w:tr>
        <w:trPr>
          <w:trHeight w:val="27"/>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8,262,876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322,084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5,050,866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2,889,926</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157,619</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10,669</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146,950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30,047</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187,666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171,930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three-month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0" w:type="dxa"/>
            <w:vAlign w:val="bottom"/>
            <w:gridSpan w:val="2"/>
          </w:tcPr>
          <w:p>
            <w:pPr>
              <w:jc w:val="center"/>
              <w:ind w:right="288"/>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1"/>
              </w:rPr>
              <w:t>securities</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0" w:type="dxa"/>
            <w:vAlign w:val="bottom"/>
            <w:gridSpan w:val="2"/>
          </w:tcPr>
          <w:p>
            <w:pPr>
              <w:jc w:val="center"/>
              <w:ind w:right="288"/>
              <w:spacing w:after="0" w:line="149" w:lineRule="exact"/>
              <w:rPr>
                <w:sz w:val="20"/>
                <w:szCs w:val="20"/>
                <w:color w:val="auto"/>
              </w:rPr>
            </w:pPr>
            <w:r>
              <w:rPr>
                <w:rFonts w:ascii="Arial" w:cs="Arial" w:eastAsia="Arial" w:hAnsi="Arial"/>
                <w:sz w:val="14"/>
                <w:szCs w:val="14"/>
                <w:color w:val="auto"/>
                <w:w w:val="94"/>
              </w:rPr>
              <w:t>available</w:t>
            </w:r>
          </w:p>
        </w:tc>
        <w:tc>
          <w:tcPr>
            <w:tcW w:w="3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for sale</w:t>
            </w:r>
          </w:p>
        </w:tc>
        <w:tc>
          <w:tcPr>
            <w:tcW w:w="3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6"/>
              </w:rPr>
              <w:t>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July 1, 2008</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$ 1,007,314</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4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4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5760" w:type="dxa"/>
            <w:vAlign w:val="bottom"/>
            <w:gridSpan w:val="3"/>
          </w:tcPr>
          <w:p>
            <w:pPr>
              <w:jc w:val="right"/>
              <w:ind w:right="228"/>
              <w:spacing w:after="0"/>
              <w:rPr>
                <w:sz w:val="20"/>
                <w:szCs w:val="20"/>
                <w:color w:val="auto"/>
              </w:rPr>
            </w:pPr>
            <w:r>
              <w:rPr>
                <w:rFonts w:ascii="Arial" w:cs="Arial" w:eastAsia="Arial" w:hAnsi="Arial"/>
                <w:sz w:val="18"/>
                <w:szCs w:val="18"/>
                <w:color w:val="auto"/>
              </w:rPr>
              <w:t>(34,182)</w:t>
            </w: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57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(28,157)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4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1,941,598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2008</w:t>
            </w:r>
          </w:p>
        </w:tc>
        <w:tc>
          <w:tcPr>
            <w:tcW w:w="4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$ 2,886,573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560" w:type="dxa"/>
            <w:vAlign w:val="bottom"/>
            <w:vMerge w:val="restart"/>
          </w:tcPr>
          <w:p>
            <w:pPr>
              <w:jc w:val="right"/>
              <w:ind w:right="3030"/>
              <w:spacing w:after="0"/>
              <w:rPr>
                <w:sz w:val="20"/>
                <w:szCs w:val="20"/>
                <w:color w:val="auto"/>
              </w:rPr>
            </w:pPr>
            <w:r>
              <w:rPr>
                <w:rFonts w:ascii="Arial" w:cs="Arial" w:eastAsia="Arial" w:hAnsi="Arial"/>
                <w:sz w:val="18"/>
                <w:szCs w:val="18"/>
                <w:color w:val="auto"/>
              </w:rPr>
              <w:t>- 24 -</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8"/>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8"/>
              <w:spacing w:after="0" w:line="149" w:lineRule="exact"/>
              <w:rPr>
                <w:sz w:val="20"/>
                <w:szCs w:val="20"/>
                <w:color w:val="auto"/>
              </w:rPr>
            </w:pPr>
            <w:r>
              <w:rPr>
                <w:rFonts w:ascii="Arial" w:cs="Arial" w:eastAsia="Arial" w:hAnsi="Arial"/>
                <w:sz w:val="14"/>
                <w:szCs w:val="14"/>
                <w:color w:val="auto"/>
                <w:w w:val="94"/>
              </w:rPr>
              <w:t>securities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8"/>
              <w:spacing w:after="0" w:line="149" w:lineRule="exact"/>
              <w:rPr>
                <w:sz w:val="20"/>
                <w:szCs w:val="20"/>
                <w:color w:val="auto"/>
              </w:rPr>
            </w:pPr>
            <w:r>
              <w:rPr>
                <w:rFonts w:ascii="Arial" w:cs="Arial" w:eastAsia="Arial" w:hAnsi="Arial"/>
                <w:sz w:val="14"/>
                <w:szCs w:val="14"/>
                <w:color w:val="auto"/>
                <w:w w:val="94"/>
              </w:rPr>
              <w:t>available</w:t>
            </w:r>
          </w:p>
        </w:tc>
        <w:tc>
          <w:tcPr>
            <w:tcW w:w="3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8"/>
              <w:spacing w:after="0"/>
              <w:rPr>
                <w:sz w:val="20"/>
                <w:szCs w:val="20"/>
                <w:color w:val="auto"/>
              </w:rPr>
            </w:pPr>
            <w:r>
              <w:rPr>
                <w:rFonts w:ascii="Arial" w:cs="Arial" w:eastAsia="Arial" w:hAnsi="Arial"/>
                <w:sz w:val="14"/>
                <w:szCs w:val="14"/>
                <w:color w:val="auto"/>
                <w:w w:val="95"/>
              </w:rPr>
              <w:t>for sale</w:t>
            </w:r>
          </w:p>
        </w:tc>
        <w:tc>
          <w:tcPr>
            <w:tcW w:w="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6"/>
              </w:rPr>
              <w:t>thousands)</w:t>
            </w: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1,313,821</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(123,674)</w:t>
            </w:r>
          </w:p>
        </w:tc>
        <w:tc>
          <w:tcPr>
            <w:tcW w:w="3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(131,017)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1,827,443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2,886,573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w w:val="92"/>
              </w:rPr>
              <w:t>Changes in unrealized gains (losses) included in earnings for the three months ended September 30, 2008 related to</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assets and liabilities still recorded on the balance sheet at September 30, 2008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(1,939)(a)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unrealized gains (losses) included in earnings for the nine months ended September 30, 2008 related to</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and liabilities still recorded on the balance sheet at September 30, 2008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Reported as mortgage banking revenues in the consolidated statement of income and includes the fair value of commitment issuances and expirations.</w:t>
      </w:r>
    </w:p>
    <w:p>
      <w:pPr>
        <w:spacing w:after="0" w:line="14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calculated in accordance with SFAS No. 114, “Accounting by Creditors for Impairment of a Loan,”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independent appraisals or other indications of value based on recent comparable sales of similar properties or assumptions generally observable in the marketplace and the related nonrecurring fair value measurement adjustments have generally been classified as Level 2. Estimates of fair value used for other collateral supporting commercial loans generally are based on assumptions not observable in the marketplace and therefore such valuations have been classified as Level 3. Loans subject to nonrecurring fair value measurement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$328 million at September 30, 2008, $205 million and $123 million of which were classified as Level 2 and Level 3, respectively. Changes in fair value recognized for partial charge-offs of loans and loan impairment reserves on loans held by the Company on September 30, 2008 were decreases of $76 million and $131 million for the three months and nine months ended September 30,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SFAS No. 156, “Accounting for Servicing of Financial Assets — an amendment to FASB Statement No. 140,” the Company must record impairment charges, on a nonrecurring basis, when the carrying value of certain strata exceed their estimated fair value. 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September 30, 2008, $20 million of capitalized servicing rights had a carrying value equal to their fair value. Changes in fair value of capitalized servicing rights recognized for the three months and nine months ended September 30, 2008 were a decrease of $1 million and an increase of $3 million, respectively.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income for M&amp;T Bank Corporation (“M&amp;T”) in the third quarter of 2008 was $91 million or $.82 of diluted earnings per common share, compared with $199 million or $1.83 of diluted earnings per common share in the third quarter of 2007. During 2008’s second quarter, net income was $160 million or $1.44 of diluted earnings per common share. Basic earnings per common share were $.83 in the recent quarter, compared with $1.86 in the year-earlier quarter and $1.45 in the second quarter of 2008. For the nine months ended September 30, 2008, net income was $454 million or $4.09 per diluted share, compared with $589 million or $5.34 per diluted share during the corresponding period of 2007. Basic earnings per share were $4.12 for the first nine months of 2008, compared with $5.45 in the similar nine-month period of 2007. The after-tax impact of acquisition and integration-related expenses (included herein as merger-related expenses) associated with the November 30, 2007 acquisition of Partners Trust Financial Group, Inc. (“Partners Trust”) and the December 7, 2007 acquisition by M&amp;T Bank, the principal bank subsidiary of M&amp;T, of the Mid-Atlantic retail banking franchise of First Horizon Bank (“First Horizon”) was $2 million ($4 million pre-tax) or $.02 of basic and diluted earnings per share in the first nine months of 2008. There were no such expenses during the two most recent quarters of 2008 or during the first nine months of 2007.</w:t>
      </w:r>
    </w:p>
    <w:p>
      <w:pPr>
        <w:spacing w:after="0" w:line="70"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annualized rate of return on average total assets for M&amp;T and its consolidated subsidiaries (“the Company”) in the third quarter of 2008 was .56%, compared with 1.37% in the year-earlier quarter and .98% in the second quarter of 2008. The annualized rate of return on average common stockholders’ equity was 5.66% in the recently completed quarter, compared with 12.78% in the third quarter of 2007 and 9.96% in 2008’s second quarter. During the first nine months of 2008, the annualized rates of return on average assets and average common stockholders’ equity were .93% and 9.37%, respectively, compared with 1.37% and 12.69%, respectively, in the corresponding 2007 period.</w:t>
      </w:r>
    </w:p>
    <w:p>
      <w:pPr>
        <w:spacing w:after="0" w:line="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Results recorded by the Company in the third quarter of 2008 were affected by two notable events. During the quarter, a $153 million (pre-tax) other-than-temporary impairment charge was recorded related to preferred stock issuances of the Federal National Mortgage Association (“Fannie Mae”) and the Federal Home Loan Mortgage Corporation (“Freddie Mac”). The write-down was taken on preferred stock with a basis of $162 million following the U.S.</w:t>
      </w:r>
    </w:p>
    <w:p>
      <w:pPr>
        <w:spacing w:after="0"/>
        <w:rPr>
          <w:sz w:val="20"/>
          <w:szCs w:val="20"/>
          <w:color w:val="auto"/>
        </w:rPr>
      </w:pPr>
      <w:r>
        <w:rPr>
          <w:rFonts w:ascii="Arial" w:cs="Arial" w:eastAsia="Arial" w:hAnsi="Arial"/>
          <w:sz w:val="16"/>
          <w:szCs w:val="16"/>
          <w:color w:val="auto"/>
        </w:rPr>
        <w:t>Government’s placement of Fannie Mae and Freddie Mac under conservatorship on September 7, 2008. As a result, at September 30, 2008 the remaining</w:t>
      </w:r>
    </w:p>
    <w:p>
      <w:pPr>
        <w:spacing w:after="0" w:line="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$9 million fair value of the securities was reflected in the Company’s available-for-sale investment securities portfolio. As a result of the impairment charge and the recognition of available income tax benefits, M&amp;T’s reported net income in the recent quarter was reduced by $97 million, or $.88 of diluted earnings per share. Also during the recent quarter, the Company resolved certain tax issues related to its activities in various jurisdictions during the years 1999-2007. As a result, the Company subsequently paid $40 million, but was able to reduce previously accrued income tax expense in 2008’s third quarter by $40 million, thereby adding $.36 to diluted earnings per share.</w:t>
      </w:r>
    </w:p>
    <w:p>
      <w:pPr>
        <w:spacing w:after="0" w:line="8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Emergency Economic Stabilization Act of 2008 (“EESA”) was signed into law on October 3, 2008 and authorizes the U.S. Treasury Department (“Treasury”) to provide funds to be used to restore liquidity and stability to the U.S. financial system. Under the authority of EESA, Treasury has instituted a voluntary capital purchase program to encourage U.S. financial institutions to build capital to increase the flow of financing to U.S. businesses and consumers and to support the U.S. economy. Under the program, Treasury will purchase up to $250 billion of senior preferred shares which will pay cumulative dividends at a rate of 5% per year for five years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thereafter at a rate of 9% per year. The senior preferred securities may not be redeemed for three years except with the proceeds of a “qualifying equity offering.” After three years, the securities may be redeemed, in whole or in part, at par value plus accrued and unpaid dividends. The senior preferred securities are non-voting and they qualify as Tier 1 capital for regulatory reporting purposes. Treasury will also receive warrants to purchase the common stock of the participating financial institutions having a market price of 15% of the amount of senior preferred securities on the date of investment with an exercise price equal to the market price of the participating institution’s common stock at the time of issuance, calculated on a 20-trading day trailing average. The warrants have a term of ten years and are immediately exercisable, in whole or in part. For a period of three years, the consent of the Treasury will be required for participating institutions to increase their common stock dividend or repurchase their common stock, other than in connection with benefit plans consistent with past practice. Participation in the capital purchase program also includes certain restrictions on executive compensation. The minimum subscription amount available to a participating institution is one percent of total risk-weighted assets. The maximum subscription amount is three percent of risk-weighted assets. At September 30, 2008, M&amp;T’s risk-weighted assets were approximately $57.6 billion. Financial institutions have until November 14, 2008 to decide whether to apply for participation in the capital purchase program.</w:t>
      </w:r>
    </w:p>
    <w:p>
      <w:pPr>
        <w:spacing w:after="0" w:line="75"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Following a systemic risk determination pursuant to the Federal Deposit Insurance Act, the Federal Deposit Insurance Corporation (“FDIC”) announced a Temporary Liquidity Guarantee Program (“TLGP”), which temporarily guarantees the senior debt of all FDIC-insured institutions and certain holding companies, as well as deposits in noninterest-bearing deposit transaction accounts, for those institutions and holding companies who do not elect to opt out of the TLGP by December 5, 2008. To further increase access to funding for businesses in all sectors of the economy, the Federal Reserve Board announced a Commercial Paper Funding Facility (“CPFF”) program, which provides a broad backstop for the commercial paper market. Beginning October 27, 2008, the CPFF began funding purchases of commercial paper of three-month maturity from high-quality issuers.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business combinations and other acquisitions, the Company had intangible assets consisting of goodwill and core deposit and other intangible assets totaling $3.4 billion at each of September 30, 2008 and December 31, 2007, and $3.1 billion at September 30, 2007. Included in such intangible assets was goodwill of $3.2 billion at each of September 30, 2008 and December 31, 2007, and $2.9 billion at September 30, 2007. Amortization of core deposit and other intangible assets, after tax effect, totaled $10 million ($.09 per diluted share) during each of the third quarters of 2008 and 2007, and during the second quarter of 2008. For each of the nine-month periods ended September 30, 2008 and 2007, amortization of core deposit and other intangible assets, after tax effect, totaled $31 million ($.28 per diluted share).</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Net operating income was $101 million in 2008’s third quarter, compared with $209 million in the year-earlier quarter. Diluted net operating earnings per share for the recent quarter were $.91, compared with $1.92 in the third quarter of 2007. Net operating income and diluted net operating earnings per share were $170 million and $1.53, respectively, in the second quarter of 2008. For the first three quarters of 2008, net operating income and diluted net operating earnings per share were $487 million and $4.39, respectively, compared with $620 million and $5.62 in the corresponding 2007 period.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operating income expressed as an annualized rate of return on average tangible assets was .65% in the recently completed quarter,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1.51% in the third quarter of 2007 and 1.10% in 2008’s second quarter. Net operating income expressed as an annualized return on average tangible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was 13.17% in the recent quarter, compared with 26.80% in the third quarter of 2007 and 22.20% in the second quarter of 2008. For the nine-month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ended September 30, 2008, net operating income represented an annualized return on average tangible assets and average tangible common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of 1.05% and 21.10%, respectively, compared with 1.52% and 26.74%, respectively, in the first nine months of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Taxable-equivalent net interest income was $493 million in the third quarter of 2008, 4% higher than $473 million in the year-earlier quarter, but little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changed from $492 million in the second quarter of 2008. The rise from 2007’s third quarter resulted from higher average earning assets, which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 billion, or 13%, to $58.0 billion from $51.3 billion in the third quarter of 2007, partially offset by a 26 basis point (hundredths of one percent) narrowing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Company’s net interest margin, or taxable-equivalent net interest income expressed as an annualized percentage of average earning assets.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net interest margin was 3.39% in each of the second and third quarters of 2008, compared with 3.65% in the third quarter of 2007. Average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earning assets in the second quarter of 2008 totaled $58.5 billion.</w:t>
      </w:r>
    </w:p>
    <w:p>
      <w:pPr>
        <w:spacing w:after="0" w:line="10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For the first nine months of 2008, taxable-equivalent net interest income was $1.47 billion, up 5% from $1.40 billion in the similar period of 2007. Growth in average earning assets of $7.0 billion, or 14%, was the leading factor contributing to that improvement. Partially offsetting the positive impact of average earning asset growth was a decline in the Company’s net interest margin of 28 basis points to 3.38% in 2008 from 3.66% in 2007. Earning assets obtained in the fourth quarter 2007 acquisition transactions related to Partners Trust and First Horizon at the respective acquisition dates were $3.1 billion and</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$214 million. Included in those amounts were loans aggregating $2.4 billion, including $259 million of commercial loans and leases, $343 million of commercial real estate loans, $1.1 billion of residential real estate loans and $690 million of consumer loans. Of the $1.1 billion of residential real estate loans acquired, approximately $950 million were securitized into Fannie Mae mortgage-backed securities in December 2007.</w:t>
      </w:r>
    </w:p>
    <w:p>
      <w:pPr>
        <w:spacing w:after="0" w:line="65"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Average loans and leases rose $4.7 billion, or 11%, to $48.5 billion in the recently completed quarter from $43.8 billion in the third quarter of 2007. Average commercial loan and lease balances grew $1.6 billion, or 13%, to $13.9 billion in the recent quarter from $12.2 billion in 2007’s third quarter. Commercial real estate loans averaged $18.6 billion in the third quarter of 2008, up $3.1 billion or 20% from $15.5 billion in the year-earlier quarter. Average outstanding residential real estate loans declined $951 million or 16% to $5.0 billion in the recently completed quarter from $5.9 billion in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third quarter of 2007, largely due to securitization transactions in late June and early July 2008, which aggregated approximately $875 million. In those transactions, residential real estate loans were securitized into Fannie Mae mortgage-backed securities which now are held in the Company’s available-for-sale investment securities portfolio. The securitizations were completed to improve the Company’s liquidity and to enhance regulatory capital ratios. Consumer loans averaged $11.1 billion in the third quarter of 2008, $953 million or 9% higher than $10.1 billion in the year-earlier quarter.</w:t>
      </w:r>
    </w:p>
    <w:p>
      <w:pPr>
        <w:spacing w:after="0" w:line="46"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Average outstanding loan balances declined $1.0 billion from the second to the third quarter of 2008, largely due to the June and July 2008 residential real estate loan securitization transactions noted above. Relatively modest increases or decreases were experienced in the other loan categories during the third quarter of 2008 as compared with 2008’s second quarter. The following table summarizes quarterly changes in the major components of the loan and lease portfolio.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89"/>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3rd Qtr.</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3rd Qtr.</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2nd Qtr.</w:t>
            </w:r>
          </w:p>
        </w:tc>
        <w:tc>
          <w:tcPr>
            <w:tcW w:w="0" w:type="dxa"/>
            <w:vAlign w:val="bottom"/>
          </w:tcPr>
          <w:p>
            <w:pPr>
              <w:spacing w:after="0"/>
              <w:rPr>
                <w:sz w:val="1"/>
                <w:szCs w:val="1"/>
                <w:color w:val="auto"/>
              </w:rPr>
            </w:pPr>
          </w:p>
        </w:tc>
      </w:tr>
      <w:tr>
        <w:trPr>
          <w:trHeight w:val="167"/>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18,557</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48,477</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first three quarters of 2008, average loans and leases aggregated $48.9 billion, up 12% from $43.5 billion in the corresponding 2007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Growth of 13% in commercial loans and leases, 18% in commercial real estate loans and 12% in consumer loans were significant contributors to that growth.</w:t>
      </w:r>
    </w:p>
    <w:p>
      <w:pPr>
        <w:spacing w:after="0" w:line="126" w:lineRule="exact"/>
        <w:rPr>
          <w:sz w:val="20"/>
          <w:szCs w:val="20"/>
          <w:color w:val="auto"/>
        </w:rPr>
      </w:pPr>
    </w:p>
    <w:p>
      <w:pPr>
        <w:ind w:right="120" w:firstLine="222"/>
        <w:spacing w:after="0" w:line="288" w:lineRule="auto"/>
        <w:rPr>
          <w:sz w:val="20"/>
          <w:szCs w:val="20"/>
          <w:color w:val="auto"/>
        </w:rPr>
      </w:pPr>
      <w:r>
        <w:rPr>
          <w:rFonts w:ascii="Arial" w:cs="Arial" w:eastAsia="Arial" w:hAnsi="Arial"/>
          <w:sz w:val="16"/>
          <w:szCs w:val="16"/>
          <w:color w:val="auto"/>
        </w:rPr>
        <w:t>The Company’s portfolio of investment securities averaged $9.3 billion in the recent quarter, 28% higher than $7.3 billion in the year-earlier quarter. That growth was predominantly the result of the 2007 and 2008 securitization transactions previously noted. In December 2007, approximately $950 million of residential real estate loans obtained in the Partners Trust acquisition were securitized into Fannie Mae mortgage-backed securities, and in June and</w:t>
      </w:r>
    </w:p>
    <w:p>
      <w:pPr>
        <w:ind w:right="80"/>
        <w:spacing w:after="0" w:line="270" w:lineRule="auto"/>
        <w:rPr>
          <w:sz w:val="20"/>
          <w:szCs w:val="20"/>
          <w:color w:val="auto"/>
        </w:rPr>
      </w:pPr>
      <w:r>
        <w:rPr>
          <w:rFonts w:ascii="Arial" w:cs="Arial" w:eastAsia="Arial" w:hAnsi="Arial"/>
          <w:sz w:val="17"/>
          <w:szCs w:val="17"/>
          <w:color w:val="auto"/>
        </w:rPr>
        <w:t>July 2008, approximately $545 million and $330 million, respectively, of residential real estate loans were also securitized into Fannie Mae mortgage-backed securities. The securities created in each of the securitizations are guaranteed by Fannie Mae and there is no credit recourse to the Company. The Company recognized no gain or loss on the transactions as all of the securities were retained and are held in the available-for-sale investment securities portfolio. The securitizations were completed to improve the Company’s liquidity position and to enhance regulatory capital ratios. Average investment securities balances in the third quarter of 2008 were up 6% from $8.8 billion during the second quarter of 2008 due to the June and July securitizations. For the first nine months of 2008 and 2007, average investment securities were $9.0 billion and $7.1 billion, respectively.</w:t>
      </w:r>
    </w:p>
    <w:p>
      <w:pPr>
        <w:spacing w:after="0" w:line="71"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financial institutions, and shorter-term U.S. Treasury and federal agency notes. When purchasing investment securities, the Company considers its overall interest-rate risk profile as well as the adequacy of expected returns relative to the risks assumed, including credit and prepayment risk.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8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the recent quarter, the Company purchased a $142 million AAA-rated private placement mortgage-backed security that had been securitized by Bayview Financial Holdings, L.P. (together with its affiliates, “Bayview Financial”). Bayview Financial is a privately-held company and is the majority investor of Bayview Lending Group LLC (“BLG”). M&amp;T owns 20% of BLG. Upon purchase, the security was placed in the Company’s held-to-maturity portfolio, as management determined that it had the intent and ability to hold the security to maturity. Management subsequently reconsidered whether certain other similar private placement mortgage-backed securities securitized by Bayview Financial and held in the Company’s available-for-sale portfolio should more appropriately be in the held-to-maturity portfolio. Concluding that it had the intent and ability to hold those securities to maturity as well, the Company transferred private collateralized mortgage obligations having a fair value of $298 million and a cost basis of $385 million from its available-for-sale investment securities portfolio to the held-to-maturity portfolio.</w:t>
      </w:r>
    </w:p>
    <w:p>
      <w:pPr>
        <w:spacing w:after="0" w:line="84"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As previously discussed, during the third quarter of 2008 the Company recognized an other-than-temporary impairment charge of $153 million related to its holdings of preferred stock of Fannie Mae and Freddie Mac. An other-than-temporary impairment charge of $6 million was also recognized in the second quarter of 2008 on one collateralized mortgage obligation backed by option adjustable rate residential mortgages that had an amortized cost of $7 million. Finally, during 2007’s fourth quarter, the Company recognized other-than-temporary impairment charges of $127 million related to $132 million of collateralized debt obligations. As of September 30, 2008 and December 31, 2007, the Company concluded that the remaining declines associated with the rest of the investment securities portfolio were temporary in nature. That conclusion was based on management’s expectations about future cash flows associated with individual investment securities as of each respective date. A further discussion of market values of investment securities is included herein under the heading “Capital.”</w:t>
      </w:r>
    </w:p>
    <w:p>
      <w:pPr>
        <w:spacing w:after="0" w:line="74"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Other earning assets include deposits at banks, trading account assets, federal funds sold and agreements to resell securities. Those other earning assets in the aggregate averaged $191 million, $315 million and $173 million for the quarters ended September 30, 2008, September 30, 2007 and June 30, 2008, respectively. Reflected in those balances were purchases of investment securities under agreements to resell which averaged $90 million, $236 million and $88 million during the three-month periods ended September 30, 2008, September 30, 2007 and June 30, 2008, respectively. Agreements to resell securities, which aggregated $90 million at September 30, 2008 and matured on the next business day, are accounted for similar to collateralized loans, with changes in the market value of the collateral monitored by the Company to ensure sufficient coverage. For the nine-month periods ended September 30, 2008 and 2007, average balances of other earning assets declined to $192 million from $401 million due to lower average balances of agreements to resell securities. The amounts of investment securities and other earning assets held by the Company are influenced by such factors as demand for loans, which generally yield more than investment securities and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earning assets, collateral requirements for certain deposit, borrowing or interest rate swap agreements, ongoing repayments, the levels of deposits, and management of balance sheet size and resulting capital ratios.</w:t>
      </w:r>
    </w:p>
    <w:p>
      <w:pPr>
        <w:spacing w:after="0" w:line="62"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rose 13% to $58.0 billion in the third quarter of 2008 from $51.3 billion in the similar quarter of 2007. Average earning assets were $58.5 billion in the second quarter of 2008 and totaled $58.0 billion and $51.0 billion for the nine-month periods ended September 30, 2008 and 2007, respectively.</w:t>
      </w:r>
    </w:p>
    <w:p>
      <w:pPr>
        <w:spacing w:after="0" w:line="73"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banking subsidiary of M&amp;T, are also included in core deposits. Average core deposits totaled $31.6 billion in the third quarter of 2008, compared with $28.3 billion in the year-earlier quarter and $31.6 billion in the second quarter of 2008. The Partners Trust and First Horizon acquisition transaction in 2007’s fourth quarter added approximately $2.0 billion of core deposits at acquisition. The following table provides an analysis of quarterly changes in the components of average core deposits. For the nine-month periods ended September 30, 2008 and 2007, core deposits averaged $31.3 billion and $28.4 billion, respectively. Core deposits totaled $32.6 billion at September 30, 2008, compared with $32.3 billion at June 30, 2008 and $30.7 billion at December 31,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20"/>
                <w:szCs w:val="20"/>
                <w:color w:val="auto"/>
              </w:rPr>
            </w:pPr>
            <w:r>
              <w:rPr>
                <w:rFonts w:ascii="Arial" w:cs="Arial" w:eastAsia="Arial" w:hAnsi="Arial"/>
                <w:sz w:val="14"/>
                <w:szCs w:val="14"/>
                <w:color w:val="auto"/>
              </w:rPr>
              <w:t>Dollars in millions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color w:val="auto"/>
              </w:rPr>
              <w:t>Percent increase</w:t>
            </w: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89"/>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92"/>
              </w:rPr>
              <w:t>3rd Qtr.</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3rd Qtr.</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2nd Qtr.</w:t>
            </w:r>
          </w:p>
        </w:tc>
      </w:tr>
      <w:tr>
        <w:trPr>
          <w:trHeight w:val="167"/>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18,012</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7,673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31,607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Domestic time deposits of $100,000 or more, deposits originated through the Company’s offshore branch office, and brokered deposits provide additional sources of funding for the Company. Domestic time deposits over $100,000, excluding brokered certificates of deposit, averaged $2.4 billion in the third quarter of 2008, compared with $2.5 billion and $2.2 billion in the year-earlier quarter and the second quarter of 2008, respectively. Offshore branch deposits, primarily comprised of balances of $100,000 or more, averaged $3.8 billion for the most recent quarter and $4.3 billion for each of the three-month periods ended September 30, 2007 and June 30, 2008. Brokered time deposits averaged $1.5 billion in the recent quarter, compared with $1.8 billion in the third quarter of 2007 and $1.4 billion in 2008’s second quarter.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$70 million of brokered time deposits. The Company also had brokered money-market deposit accounts which averaged $179 million during 2008’s third quarter, compared with $87 million and $124 million during the corresponding quarter of 2007 and second quarter of 2008, respectively. Offshore branch deposits and brokered deposits have been used by the Company as alternatives to short-term borrowings. Additional amounts of offshore branch deposits or brokered deposits may be solicited in the future depending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market conditions, including demand by customers and other investors for those deposits, and the cost of funds and/or maturities associated with alternative funding sources at the time.</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also uses borrowings from banks, securities dealers, various Federal Home Loan Banks (“FHLBs”), and others as sources of funding. Short-term borrowings averaged $5.4 billion in the recently completed quarter, compared with $5.2 billion in the third quarter of 2007 and $6.9 billion in the second quarter of 2008. Included in short-term borrowings were unsecured federal funds borrowings, which generally mature daily and averaged $4.4 billion in the third quarter of 2008, $4.5 billion in the year-earlier quarter and $5.0 billion in the second quarter of 2008. Overnight federal funds borrowings represent the largest component of short-term borrowings and are obtained daily from a wide variety of banks and other financial institutions. Also included in short-term borrowings is a $500 million structured borrowing secured by automobile loans that were transferred to M&amp;T Auto Receivables I, LLC, a special purpose subsidiary of M&amp;T Bank. The special purpose subsidiary, the loans and the borrowings are included in the consolidated financial statements of the Company. Average short-term borrowings in 2008’s third quarter included $239 million of borrowings from the FHLB of New York, compared with $16 million and $729 million in the third quarter of 2007 and second quarter of 2008, respectively.</w:t>
      </w:r>
    </w:p>
    <w:p>
      <w:pPr>
        <w:spacing w:after="0" w:line="7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Long-term borrowings averaged $12.7 billion in the recent quarter, compared with $8.7 billion and $11.4 billion in the third quarter of 2007 and 2008’s second quarter, respectively. Included in average long-term borrowings were amounts borrowed from the FHLBs totaling $7.7 billion in the recent quarter, $4.5 billion in the third quarter of 2007 and $6.5 billion in the second quarter of 2007, and subordinated capital notes of $1.9 billion in the two most recent quarters and $1.5 billion in the third quarter of 2007. M&amp;T issued $400 million of subordinated notes in December 2007, in part to maintain appropriate regulatory capital ratios. Junior subordinated debentures associated with trust preferred securities that were included in average long-term borrowings were $1.1 billion in the two most recent quarters and, $714 million in the quarter ended September 30, 2007. During January 2008, M&amp;T Capital Trust IV issued $350 million of Enhanced Trust Preferred Securities bearing a fixed rate of interest of 8.50% and maturing in 2068. The related junior subordinated debentures are included in long-term borrowings. Information regarding trust preferred securities and the related junior subordinated debentures is provided in note 4 of Notes to Financial Statements. Also included in long-term borrowings were agreements to repurchase securities, which averaged $1.6 billion in each of the quarters ended September 30, 2008, September 30, 2007 and June 30, 2008.</w:t>
      </w:r>
    </w:p>
    <w:p>
      <w:pPr>
        <w:spacing w:after="0" w:line="70"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Beginning in the second quarter of 2008 and continuing in the recent quarter, the Company has actively sought to increase the average maturity of its non-deposit sources of funds and to reduce short-term borrowings. As a result, short-term borrowings were $2.9 billion at September 30, 2008, including</w:t>
      </w:r>
    </w:p>
    <w:p>
      <w:pPr>
        <w:ind w:right="160"/>
        <w:spacing w:after="0" w:line="255" w:lineRule="auto"/>
        <w:rPr>
          <w:sz w:val="20"/>
          <w:szCs w:val="20"/>
          <w:color w:val="auto"/>
        </w:rPr>
      </w:pPr>
      <w:r>
        <w:rPr>
          <w:rFonts w:ascii="Arial" w:cs="Arial" w:eastAsia="Arial" w:hAnsi="Arial"/>
          <w:sz w:val="18"/>
          <w:szCs w:val="18"/>
          <w:color w:val="auto"/>
        </w:rPr>
        <w:t>$1.5 billion of overnight federal funds borrowings, compared with $6.2 billion at March 31, 2008, and long-term borrowings totaled $12.5 billion, including $7.5 billion of FHLB borrowings, compared with $10.7 billion at March 31, 2008. As previously noted, core deposits increased to $32.6 billion at September 30, 2008 from $31.7 billion at March 31, 2008 to further supplement the Company’s funding.</w:t>
      </w:r>
    </w:p>
    <w:p>
      <w:pPr>
        <w:spacing w:after="0" w:line="8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3.04% in the third quarter of 2008, compared with 3.06% in the third quarter of 2007 and 3.02% in the second quarter of 2008. The yield on earning assets during the recent quarter was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5.54%, down 140 basis points from 6.94% in the corresponding quarter of 2007, while the rate paid on interest-bearing liabilities decreased 138 basis points to 2.50% from 3.88%. In the second quarter of 2008, the yield on earning assets was 5.66% and the rate paid on interest-bearing liabilities was 2.64%. For the first nine months of 2008, the net interest spread was 3.00%, down 6 basis points from the year-earlier period. That decline was due, in part, to lower yields earned on loans that were only partially offset by lower rates paid on deposits and variable-rate borrowings. The yield on earning assets and the rate paid on interest-bearing liabilities were 5.80% and 2.80%, respectively, for the nine-month period ended September 30, 2008, compared with 6.94% and 3.88%, respectively, in the similar 2007 period.</w:t>
      </w:r>
    </w:p>
    <w:p>
      <w:pPr>
        <w:spacing w:after="0" w:line="85"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and core deposit and other intangible assets and M&amp;T’s investment in BLG. Net interest-free funds averaged</w:t>
      </w:r>
    </w:p>
    <w:p>
      <w:pPr>
        <w:ind w:right="20"/>
        <w:spacing w:after="0" w:line="252" w:lineRule="auto"/>
        <w:rPr>
          <w:sz w:val="20"/>
          <w:szCs w:val="20"/>
          <w:color w:val="auto"/>
        </w:rPr>
      </w:pPr>
      <w:r>
        <w:rPr>
          <w:rFonts w:ascii="Arial" w:cs="Arial" w:eastAsia="Arial" w:hAnsi="Arial"/>
          <w:sz w:val="18"/>
          <w:szCs w:val="18"/>
          <w:color w:val="auto"/>
        </w:rPr>
        <w:t>$8.1 billion in each of the second and third quarters of 2008, compared with $7.9 billion in the third quarter of 2007. The increase in average net interest-free funds in the recent quarter as compared with the year-earlier quarter was due largely to higher average balances of noninterest-bearing deposits and stockholders’ equity. During the first nine months of 2008 and 2007, average net interest-free funds were $8.0 billion and $7.9 billion, respectively. Goodwill and core deposit and other intangible assets averaged $3.4 billion during each of the two most recent quarters, and $3.1 billion during the third quarter of 2007. The cash surrender value of bank owned life insurance averaged $1.2 billion during each of the two most recent quarters and $1.1 billion during 2007’s third quarter. Increases in the cash surrender value of bank owned life insurance are not included in interest income, but rather are recorded in “other revenues from operations.”</w:t>
      </w:r>
    </w:p>
    <w:p>
      <w:pPr>
        <w:spacing w:after="0" w:line="85"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contribution of net interest-free funds to net interest margin was .35% in the third quarter of 2008, compared with .59% in the year-earlier quarter and .37% in the second quarter of 2008. For the first three quarters of 2008 and 2007, the contribution of net interest-free funds to net interest margin was .38% and .60%, respectively. The decrease in the contribution to net interest margin ascribed to net interest-free funds in the 2008 periods as compared to the corresponding 2007 periods resulted largely from the impact of lower interest rates on interest-bearing liabilities used to value such contribution.</w:t>
      </w:r>
    </w:p>
    <w:p>
      <w:pPr>
        <w:spacing w:after="0" w:line="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3.39% in the recent quarter, 26 basis points lower than 3.65% in the third quarter of 2007, but equal to the second quarter of 2008. During the nine-month periods ended September 30, 2008 and 2007, the net interest margin was 3.38% and 3.66%,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$1.1 billion as of September 30, 2008, $2.4 billion as of September 30, 2007 and $2.3 billion as of December 31, 2007. Under the terms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of all of the swap agreements outstanding at the recent quarter-end, and $892 million and $842 million of the swap agreements outstanding at September 30, 2007 and December 31, 2007, respectively, the Company received payments based on the outstanding notional amount of the swap agreements at fixed rates and made payments at variable rates. Those swap agreements were designated as fair value hedges of certain fixed rate time deposits and long-term borrowings. Under the terms of the additional $1.5 billion of swap agreements outstanding at September 30 and December 31, 2007, the Company paid a fixed rate of interest and received a variable rate. During the first quarter of 2008, those swap agreements, which had been designated as cash flow hedges, were terminated by the Company resulting in the realization of a loss of $37 million. That loss is being amortized over the original hedge period as an adjustment to interest expense associated with the previously hedged long-term borrowings.</w:t>
      </w:r>
    </w:p>
    <w:p>
      <w:pPr>
        <w:spacing w:after="0" w:line="7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as a result of these activities during the three- and nine-month periods ended September 30, 2008 and 2007 and during the quarter ended June 30, 2008 were not material to the Company’s results of operations. The estimated aggregate fair value of interest rate swap agreements designated as fair value hedges represented gains of approximately $5 million and $17 million at September 30, 2008 and December 31, 2007, respectively, and a loss of $9 million at September 30, 2007. The fair values of such swap agreements were substantially offset by changes in the fair values of the hedged items. The estimated fair values of the interest rate swap agreements designated as cash flow hedges were losses of approximately $3 million and $17 million at September 30 and December 31, 2007, respectively. The changes in the fair values of the interest rate swap agreements and the hedged items result from the effects of changing interest rates.</w:t>
      </w:r>
    </w:p>
    <w:p>
      <w:pPr>
        <w:spacing w:after="0" w:line="8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weighted-average rates to be received and paid under interest rate swap agreements in effect at September 30, 2008 were 6.25% and 4.57%, respectively. The average notional amounts of interest rate swap agreements and the related effect on net interest income and margin, and weighted-average interest rates paid or received on those swap agreements, are presented in the accompanying table.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1040"/>
              <w:spacing w:after="0" w:line="142" w:lineRule="exact"/>
              <w:rPr>
                <w:sz w:val="20"/>
                <w:szCs w:val="20"/>
                <w:color w:val="auto"/>
              </w:rPr>
            </w:pPr>
            <w:r>
              <w:rPr>
                <w:rFonts w:ascii="Arial" w:cs="Arial" w:eastAsia="Arial" w:hAnsi="Arial"/>
                <w:sz w:val="14"/>
                <w:szCs w:val="14"/>
                <w:color w:val="auto"/>
              </w:rPr>
              <w:t>Amount</w:t>
            </w:r>
          </w:p>
        </w:tc>
        <w:tc>
          <w:tcPr>
            <w:tcW w:w="600" w:type="dxa"/>
            <w:vAlign w:val="bottom"/>
          </w:tcPr>
          <w:p>
            <w:pPr>
              <w:ind w:left="140"/>
              <w:spacing w:after="0" w:line="142" w:lineRule="exact"/>
              <w:rPr>
                <w:sz w:val="20"/>
                <w:szCs w:val="20"/>
                <w:color w:val="auto"/>
              </w:rPr>
            </w:pPr>
            <w:r>
              <w:rPr>
                <w:rFonts w:ascii="Arial" w:cs="Arial" w:eastAsia="Arial" w:hAnsi="Arial"/>
                <w:sz w:val="14"/>
                <w:szCs w:val="14"/>
                <w:color w:val="auto"/>
              </w:rPr>
              <w:t>Rate*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1040"/>
              <w:spacing w:after="0" w:line="142" w:lineRule="exact"/>
              <w:rPr>
                <w:sz w:val="20"/>
                <w:szCs w:val="20"/>
                <w:color w:val="auto"/>
              </w:rPr>
            </w:pPr>
            <w:r>
              <w:rPr>
                <w:rFonts w:ascii="Arial" w:cs="Arial" w:eastAsia="Arial" w:hAnsi="Arial"/>
                <w:sz w:val="14"/>
                <w:szCs w:val="14"/>
                <w:color w:val="auto"/>
              </w:rPr>
              <w:t>Amount</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Rate*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(5,001)</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538</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16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76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7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1,120,556</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1,368,926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6.31%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4"/>
                <w:szCs w:val="14"/>
                <w:color w:val="auto"/>
                <w:w w:val="91"/>
              </w:rPr>
              <w:t>Nine months ended September 30</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1040"/>
              <w:spacing w:after="0" w:line="142" w:lineRule="exact"/>
              <w:rPr>
                <w:sz w:val="20"/>
                <w:szCs w:val="20"/>
                <w:color w:val="auto"/>
              </w:rPr>
            </w:pPr>
            <w:r>
              <w:rPr>
                <w:rFonts w:ascii="Arial" w:cs="Arial" w:eastAsia="Arial" w:hAnsi="Arial"/>
                <w:sz w:val="14"/>
                <w:szCs w:val="14"/>
                <w:color w:val="auto"/>
              </w:rPr>
              <w:t>Amount</w:t>
            </w:r>
          </w:p>
        </w:tc>
        <w:tc>
          <w:tcPr>
            <w:tcW w:w="600" w:type="dxa"/>
            <w:vAlign w:val="bottom"/>
          </w:tcPr>
          <w:p>
            <w:pPr>
              <w:ind w:left="140"/>
              <w:spacing w:after="0" w:line="142" w:lineRule="exact"/>
              <w:rPr>
                <w:sz w:val="20"/>
                <w:szCs w:val="20"/>
                <w:color w:val="auto"/>
              </w:rPr>
            </w:pPr>
            <w:r>
              <w:rPr>
                <w:rFonts w:ascii="Arial" w:cs="Arial" w:eastAsia="Arial" w:hAnsi="Arial"/>
                <w:sz w:val="14"/>
                <w:szCs w:val="14"/>
                <w:color w:val="auto"/>
              </w:rPr>
              <w:t>Rate*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1040"/>
              <w:spacing w:after="0" w:line="142" w:lineRule="exact"/>
              <w:rPr>
                <w:sz w:val="20"/>
                <w:szCs w:val="20"/>
                <w:color w:val="auto"/>
              </w:rPr>
            </w:pPr>
            <w:r>
              <w:rPr>
                <w:rFonts w:ascii="Arial" w:cs="Arial" w:eastAsia="Arial" w:hAnsi="Arial"/>
                <w:sz w:val="14"/>
                <w:szCs w:val="14"/>
                <w:color w:val="auto"/>
              </w:rPr>
              <w:t>Amount</w:t>
            </w:r>
          </w:p>
        </w:tc>
        <w:tc>
          <w:tcPr>
            <w:tcW w:w="620" w:type="dxa"/>
            <w:vAlign w:val="bottom"/>
          </w:tcPr>
          <w:p>
            <w:pPr>
              <w:jc w:val="right"/>
              <w:ind w:right="53"/>
              <w:spacing w:after="0" w:line="142" w:lineRule="exact"/>
              <w:rPr>
                <w:sz w:val="20"/>
                <w:szCs w:val="20"/>
                <w:color w:val="auto"/>
              </w:rPr>
            </w:pPr>
            <w:r>
              <w:rPr>
                <w:rFonts w:ascii="Arial" w:cs="Arial" w:eastAsia="Arial" w:hAnsi="Arial"/>
                <w:sz w:val="14"/>
                <w:szCs w:val="14"/>
                <w:color w:val="auto"/>
              </w:rPr>
              <w:t>Rate*</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(11,342)</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16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11,342</w:t>
            </w:r>
          </w:p>
        </w:tc>
        <w:tc>
          <w:tcPr>
            <w:tcW w:w="76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76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1,323,336</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1,083,560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6.09%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Weighted-average rate paid or received on interest rate swap agreements in effect during the period.</w:t>
      </w:r>
    </w:p>
    <w:p>
      <w:pPr>
        <w:spacing w:after="0" w:line="117"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Federal Home Loan Bank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8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aggregated $1.5 billion, $4.1 billion and $4.2 billion at September 30, 2008, September 30, 2007 and December 31, 2007, respectively. In general, these borrowings were unsecured and matured on the following business day. As already noted, offshore branch deposits and brokered certificates of deposit have been used by the Company as alternatives to short-term borrowings. Offshore branch deposits also generally mature on the next business day and totaled $5.8 billion at September 30, 2008, $6.2 billion at September 30, 2007 and $5.9 billion at December 31, 2007. Outstanding brokered time deposits at September 30, 2008, September 30, 2007 and December 31, 2007 were $1.1 billion, $1.6 billion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$1.8 billion, respectively. At September 30, 2008, the weighted-average remaining term to maturity of such deposits was 8 months. Certain of these brokered time deposits have provisions that allow for early redemption.</w:t>
      </w:r>
    </w:p>
    <w:p>
      <w:pPr>
        <w:spacing w:after="0" w:line="62"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$136 million and $27 million at September 30, 2008 and 2007, respectively, and $63 million at December 31, 2007. The total amount of VRDBs outstanding backed by M&amp;T Bank letters of credit was approximately $1.9 billion at September 30, 2008, $1.6 billion at September 30, 2007 and $1.7 billion at December 31, 2007. M&amp;T Bank also serves as remarketing agent for most of those bonds.</w:t>
      </w:r>
    </w:p>
    <w:p>
      <w:pPr>
        <w:spacing w:after="0" w:line="70"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6 of Notes to Financial Statements.</w:t>
      </w:r>
    </w:p>
    <w:p>
      <w:pPr>
        <w:spacing w:after="0" w:line="85"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2008 approximately $705 million was available for payment of dividends to M&amp;T from banking subsidiaries without prior regulatory approval. These historic sources of cash flow have been augmented in the past by the issuance of trust preferred securities, including $350 million of Enhanced Trust Preferred Securities issued by M&amp;T Capital Trust IV in January 2008, and the issuance by M&amp;T of $300 million of senior notes payable during the second quarter of 2007.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September 30, 2008 or at December 31, 2007.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accompanying table as of September 30, 2008 and December 31, 2007 displays the estimated impact on net interest income from non-trading financial instruments in the base scenario described above resulting from parallel changes in interest rates across repricing categories during the first modeling year.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60" w:type="dxa"/>
            <w:vAlign w:val="bottom"/>
            <w:gridSpan w:val="3"/>
          </w:tcPr>
          <w:p>
            <w:pPr>
              <w:jc w:val="right"/>
              <w:ind w:right="819"/>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7"/>
        </w:trPr>
        <w:tc>
          <w:tcPr>
            <w:tcW w:w="7860" w:type="dxa"/>
            <w:vAlign w:val="bottom"/>
            <w:gridSpan w:val="3"/>
            <w:vMerge w:val="restart"/>
          </w:tcPr>
          <w:p>
            <w:pPr>
              <w:spacing w:after="0"/>
              <w:rPr>
                <w:sz w:val="20"/>
                <w:szCs w:val="20"/>
                <w:color w:val="auto"/>
              </w:rPr>
            </w:pPr>
            <w:r>
              <w:rPr>
                <w:rFonts w:ascii="Arial" w:cs="Arial" w:eastAsia="Arial" w:hAnsi="Arial"/>
                <w:sz w:val="14"/>
                <w:szCs w:val="14"/>
                <w:color w:val="auto"/>
              </w:rPr>
              <w:t>Changes in interest rates</w:t>
            </w:r>
          </w:p>
        </w:tc>
        <w:tc>
          <w:tcPr>
            <w:tcW w:w="356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42"/>
        </w:trPr>
        <w:tc>
          <w:tcPr>
            <w:tcW w:w="7860" w:type="dxa"/>
            <w:vAlign w:val="bottom"/>
            <w:gridSpan w:val="3"/>
            <w:vMerge w:val="continue"/>
          </w:tcPr>
          <w:p>
            <w:pPr>
              <w:spacing w:after="0"/>
              <w:rPr>
                <w:sz w:val="12"/>
                <w:szCs w:val="12"/>
                <w:color w:val="auto"/>
              </w:rPr>
            </w:pPr>
          </w:p>
        </w:tc>
        <w:tc>
          <w:tcPr>
            <w:tcW w:w="1540" w:type="dxa"/>
            <w:vAlign w:val="bottom"/>
          </w:tcPr>
          <w:p>
            <w:pPr>
              <w:jc w:val="right"/>
              <w:ind w:right="118"/>
              <w:spacing w:after="0" w:line="142" w:lineRule="exact"/>
              <w:rPr>
                <w:sz w:val="20"/>
                <w:szCs w:val="20"/>
                <w:color w:val="auto"/>
              </w:rPr>
            </w:pPr>
            <w:r>
              <w:rPr>
                <w:rFonts w:ascii="Arial" w:cs="Arial" w:eastAsia="Arial" w:hAnsi="Arial"/>
                <w:sz w:val="14"/>
                <w:szCs w:val="14"/>
                <w:color w:val="auto"/>
              </w:rPr>
              <w:t>September 30, 2008</w:t>
            </w:r>
          </w:p>
        </w:tc>
        <w:tc>
          <w:tcPr>
            <w:tcW w:w="480" w:type="dxa"/>
            <w:vAlign w:val="bottom"/>
          </w:tcPr>
          <w:p>
            <w:pPr>
              <w:spacing w:after="0"/>
              <w:rPr>
                <w:sz w:val="12"/>
                <w:szCs w:val="12"/>
                <w:color w:val="auto"/>
              </w:rPr>
            </w:pPr>
          </w:p>
        </w:tc>
        <w:tc>
          <w:tcPr>
            <w:tcW w:w="154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8"/>
                <w:szCs w:val="18"/>
                <w:color w:val="auto"/>
              </w:rPr>
              <w:t>$ 33,552</w:t>
            </w:r>
          </w:p>
        </w:tc>
        <w:tc>
          <w:tcPr>
            <w:tcW w:w="4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540" w:type="dxa"/>
            <w:vAlign w:val="bottom"/>
          </w:tcPr>
          <w:p>
            <w:pPr>
              <w:jc w:val="right"/>
              <w:ind w:right="418"/>
              <w:spacing w:after="0"/>
              <w:rPr>
                <w:sz w:val="20"/>
                <w:szCs w:val="20"/>
                <w:color w:val="auto"/>
              </w:rPr>
            </w:pPr>
            <w:r>
              <w:rPr>
                <w:rFonts w:ascii="Arial" w:cs="Arial" w:eastAsia="Arial" w:hAnsi="Arial"/>
                <w:sz w:val="18"/>
                <w:szCs w:val="18"/>
                <w:color w:val="auto"/>
              </w:rPr>
              <w:t>8,068</w:t>
            </w:r>
          </w:p>
        </w:tc>
        <w:tc>
          <w:tcPr>
            <w:tcW w:w="2020" w:type="dxa"/>
            <w:vAlign w:val="bottom"/>
            <w:gridSpan w:val="2"/>
          </w:tcPr>
          <w:p>
            <w:pPr>
              <w:jc w:val="right"/>
              <w:ind w:right="339"/>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5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(11,197)</w:t>
            </w:r>
          </w:p>
        </w:tc>
        <w:tc>
          <w:tcPr>
            <w:tcW w:w="20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-200 basis points</w:t>
            </w:r>
          </w:p>
        </w:tc>
        <w:tc>
          <w:tcPr>
            <w:tcW w:w="1540" w:type="dxa"/>
            <w:vAlign w:val="bottom"/>
          </w:tcPr>
          <w:p>
            <w:pPr>
              <w:jc w:val="right"/>
              <w:ind w:right="358"/>
              <w:spacing w:after="0"/>
              <w:rPr>
                <w:sz w:val="20"/>
                <w:szCs w:val="20"/>
                <w:color w:val="auto"/>
              </w:rPr>
            </w:pPr>
            <w:r>
              <w:rPr>
                <w:rFonts w:ascii="Arial" w:cs="Arial" w:eastAsia="Arial" w:hAnsi="Arial"/>
                <w:sz w:val="18"/>
                <w:szCs w:val="18"/>
                <w:color w:val="auto"/>
              </w:rPr>
              <w:t>(30,880)</w:t>
            </w:r>
          </w:p>
        </w:tc>
        <w:tc>
          <w:tcPr>
            <w:tcW w:w="2020" w:type="dxa"/>
            <w:vAlign w:val="bottom"/>
            <w:gridSpan w:val="2"/>
          </w:tcPr>
          <w:p>
            <w:pPr>
              <w:jc w:val="right"/>
              <w:ind w:right="339"/>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 10 of Notes to Financial Statements.</w:t>
      </w:r>
    </w:p>
    <w:p>
      <w:pPr>
        <w:spacing w:after="0" w:line="73"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notional amounts of interest rate contracts entered into for trading purposes totaled $14.2 billion at September 30, 2008, compared with $9.5 billion at September 30, 2007 and $11.7 billion at December 31, 2007. The increase in the notional amounts of such contracts from September 30, 2007 to December 31,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2007 and September 30, 2008 was due largely to increased commercial lending volumes and the desire of commercial customers to use swap agreements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modify the characteristics of their borrowings. The notional amounts of foreign currency and other option and futures contracts entered into for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were $820 million, $899 million and $801 million at September 30, 2008, September 30, 2007 and December 31, 2007, respectively. Although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notional amounts of these trading contracts are not recorded in the consolidated balance sheet, the fair values of all financial instruments used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are recorded in the consolidated balance sheet. The fair values of all trading account assets and liabilities were $370 million and $158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September 30, 2008, $180 million and $82 million, respectively, at September 30, 2007, and $281 million and $143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Included in trading account assets at September 30, 2008 were $40 million related to deferred compensation plans,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 million at each of September 30 and December 31, 2007. Changes in the fair value of such assets are recorded as trading account and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gains in the consolidated statement of income. Included in other liabilities in the consolidated balance sheet at September 30, 2008 were $43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related to deferred compensation plans, compared with $50 million at each of September 30 and December 31, 2007. Changes in the balances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liabilities due to the valuation of allocated investment options to which the liabilities are indexed are recorded in “other costs of operations”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10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third quarter of 2008 was $101 million, compared with $34 million in the year-earlier quarter and $100 million in the second quarter of 2008. For the nine-month periods ended September 30, 2008 and 2007, the provision for credit losses was $261 million and $91 million, respectively. The higher levels of the provision in the 2008 periods compared with the 2007 periods reflect the impact of declining real estate valuations and higher delinquencies and charge-offs related to the Company’s alternative (“Alt-A”) residential real estate loan portfolio and to the residential real estate builder and developer loan portfolio.</w:t>
      </w:r>
    </w:p>
    <w:p>
      <w:pPr>
        <w:spacing w:after="0" w:line="57" w:lineRule="exact"/>
        <w:rPr>
          <w:sz w:val="20"/>
          <w:szCs w:val="20"/>
          <w:color w:val="auto"/>
        </w:rPr>
      </w:pPr>
    </w:p>
    <w:p>
      <w:pPr>
        <w:ind w:right="160" w:firstLine="222"/>
        <w:spacing w:after="0" w:line="291" w:lineRule="auto"/>
        <w:rPr>
          <w:sz w:val="20"/>
          <w:szCs w:val="20"/>
          <w:color w:val="auto"/>
        </w:rPr>
      </w:pPr>
      <w:r>
        <w:rPr>
          <w:rFonts w:ascii="Arial" w:cs="Arial" w:eastAsia="Arial" w:hAnsi="Arial"/>
          <w:sz w:val="16"/>
          <w:szCs w:val="16"/>
          <w:color w:val="auto"/>
        </w:rPr>
        <w:t>Through early 2007, the Company had been an active participant in the origination of Alt-A residential real estate loans and the sale of such loans in the secondary market. Alt-A loans originated by the Company typically included some form of limited documentation requirements as compared with more traditional residential real estate loans. Unfavorable market conditions during the first quarter of 2007, including a lack of liquidity by previously active purchasers, impacted the Company’s willingness to sell Alt-A loans, as an auction of such loans initiated by the Company at that time received fewer bids than normal and the pricing of those bids was substantially lower than expected. As a result, $883 million of Alt-A loans previously held for sale (including $808 million of first mortgage loans and $75 million of second mortgage loans) were transferred in March 2007 to the Company’s held-for-investment loan portfolio. In total, Alt-A residential mortgage loans aggregated $1.0 billion, $1.3 billion and $1.2 billion at September 30, 2008,</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September 30, 2007 and December 31, 2007, respectively, and included $44 million, $69 million and $59 million of second mortgage loans at those respective dates. This Alt-A portfolio of first and second mortgage loans has experienced higher delinquencies and charge-offs than the Company’s other first and second mortgage loans.</w:t>
      </w:r>
    </w:p>
    <w:p>
      <w:pPr>
        <w:spacing w:after="0" w:line="73" w:lineRule="exact"/>
        <w:rPr>
          <w:sz w:val="20"/>
          <w:szCs w:val="20"/>
          <w:color w:val="auto"/>
        </w:rPr>
      </w:pPr>
    </w:p>
    <w:p>
      <w:pPr>
        <w:jc w:val="both"/>
        <w:ind w:right="820" w:firstLine="222"/>
        <w:spacing w:after="0" w:line="264" w:lineRule="auto"/>
        <w:rPr>
          <w:sz w:val="20"/>
          <w:szCs w:val="20"/>
          <w:color w:val="auto"/>
        </w:rPr>
      </w:pPr>
      <w:r>
        <w:rPr>
          <w:rFonts w:ascii="Arial" w:cs="Arial" w:eastAsia="Arial" w:hAnsi="Arial"/>
          <w:sz w:val="18"/>
          <w:szCs w:val="18"/>
          <w:color w:val="auto"/>
        </w:rPr>
        <w:t>The Company’s portfolio of loans to builders and developers of residential real estate totaled $2.0 billion at September 30, 2008, compared with $2.1 billion at each of September 30 and December 31, 2007. This portfolio has experienced increased delinquencies and charge-offs during 2008, particularly related to properties in the Mid-Atlantic region of the United States.</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Net loan charge-offs were $94 million in the recent quarter, compared with $22 million in the third quarter of 2007 and $99 million in the second quarter of 2008. Net charge-offs as an annualized percentage of average loans and leases were .77% in the third quarter of 2008, compared with .20% and .81% in the third quarter of 2007 and the second quarter of 2008, respectively. Net charge-offs for the nine-month period ended September 30, 2008 totaled $239 million in 2008 and $60 million in 2007, representing .65% and .19% of average loans and leases. A summary of net charge-offs by loan type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44"/>
              <w:spacing w:after="0" w:line="123" w:lineRule="exact"/>
              <w:rPr>
                <w:sz w:val="20"/>
                <w:szCs w:val="20"/>
                <w:color w:val="auto"/>
              </w:rPr>
            </w:pPr>
            <w:r>
              <w:rPr>
                <w:rFonts w:ascii="Arial" w:cs="Arial" w:eastAsia="Arial" w:hAnsi="Arial"/>
                <w:sz w:val="14"/>
                <w:szCs w:val="14"/>
                <w:color w:val="auto"/>
              </w:rPr>
              <w:t>Year</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1"/>
              </w:rPr>
              <w:t>1st Qtr.</w:t>
            </w:r>
          </w:p>
        </w:tc>
        <w:tc>
          <w:tcPr>
            <w:tcW w:w="780" w:type="dxa"/>
            <w:vAlign w:val="bottom"/>
            <w:gridSpan w:val="3"/>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2nd Qtr.</w:t>
            </w:r>
          </w:p>
        </w:tc>
        <w:tc>
          <w:tcPr>
            <w:tcW w:w="2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3rd Qtr.</w:t>
            </w:r>
          </w:p>
        </w:tc>
        <w:tc>
          <w:tcPr>
            <w:tcW w:w="8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to-date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94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20,284</w:t>
            </w: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c>
          <w:tcPr>
            <w:tcW w:w="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39,559</w:t>
            </w: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39,713</w:t>
            </w:r>
          </w:p>
        </w:tc>
        <w:tc>
          <w:tcPr>
            <w:tcW w:w="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83,652</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15,097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16,081</w:t>
            </w:r>
          </w:p>
        </w:tc>
        <w:tc>
          <w:tcPr>
            <w:tcW w:w="7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43,668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21,961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26,888</w:t>
            </w: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30,089</w:t>
            </w:r>
          </w:p>
        </w:tc>
        <w:tc>
          <w:tcPr>
            <w:tcW w:w="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78,938</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w w:val="83"/>
              </w:rPr>
              <w:t>99,221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94,195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239,231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color w:val="auto"/>
              </w:rPr>
              <w:t>2007</w:t>
            </w: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184"/>
              <w:spacing w:after="0" w:line="123" w:lineRule="exact"/>
              <w:rPr>
                <w:sz w:val="20"/>
                <w:szCs w:val="20"/>
                <w:color w:val="auto"/>
              </w:rPr>
            </w:pPr>
            <w:r>
              <w:rPr>
                <w:rFonts w:ascii="Arial" w:cs="Arial" w:eastAsia="Arial" w:hAnsi="Arial"/>
                <w:sz w:val="14"/>
                <w:szCs w:val="14"/>
                <w:color w:val="auto"/>
              </w:rPr>
              <w:t>Year</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1st Qtr.</w:t>
            </w:r>
          </w:p>
        </w:tc>
        <w:tc>
          <w:tcPr>
            <w:tcW w:w="7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2nd Qtr.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3rd Qtr.</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to-date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6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CCEEFF"/>
          </w:tcPr>
          <w:p>
            <w:pPr>
              <w:spacing w:after="0"/>
              <w:rPr>
                <w:sz w:val="18"/>
                <w:szCs w:val="18"/>
                <w:color w:val="auto"/>
              </w:rPr>
            </w:pPr>
          </w:p>
        </w:tc>
        <w:tc>
          <w:tcPr>
            <w:tcW w:w="218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2,917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6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18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285</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1,369</w:t>
            </w:r>
          </w:p>
        </w:tc>
        <w:tc>
          <w:tcPr>
            <w:tcW w:w="6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8"/>
                <w:szCs w:val="18"/>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8"/>
                <w:szCs w:val="18"/>
                <w:color w:val="auto"/>
              </w:rPr>
              <w:t>4,603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10,618</w:t>
            </w:r>
          </w:p>
        </w:tc>
        <w:tc>
          <w:tcPr>
            <w:tcW w:w="6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218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13,835</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17,191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21,619</w:t>
            </w:r>
          </w:p>
        </w:tc>
        <w:tc>
          <w:tcPr>
            <w:tcW w:w="10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21,640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Included in net charge-offs of commercial real estate loans were net charge-offs of loans to residential homebuilders and developers of $33 million and $38 million for the quarters ended September 30 and June 30, 2008, respectively. There were no such loans charged off in the quarter ended September 30, 2007. Approximately $14 million of the $33 million of builder and developer net charge-offs in the recent quarter and essentially all of the $38 million of net charge-offs in the second quarter of 2008 were related to real estate located in the Mid-Atlantic region. The impact of declining real estate values that has contributed to higher levels of residential real estate loan delinquencies and charge-offs has been particularly noteworthy in the $1.0 billion portfolio of Alt-A residential mortgage loans held by the Company. Net charge-offs of Alt-A first mortgage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loans in the third quarter of 2008 were $12 million, compared with $3 million and $10 million during the quarters ended September 30, 2007 and June 30, 2008, respectively. Included in net charge-offs of consumer loans and leases were net charge-offs during the quarters ended September 30, 2008, September 30, 2007 and June 30, 2008, respectively, of: indirect automobile loans of $13 million, $7 million and $11 million; recreational vehicle loans of $6 million, $2 million and $5 million; and home equity loans and lines of credit, including Alt-A second lien loans, of $7 million, $3 million and $9 million. Including both first and second lien mortgages, net charge-offs of Alt-A loans totaled $15 million for each of the quarters ended September 30, 2008 and June 30, 2008, compared with $5 million in the third quarter of 2007.</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Nonperforming loans, consisting of nonaccrual and restructured loans, totaled $710 million or 1.46% of total loans and leases outstanding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compared with $371 million or .83% at September 30, 2007, $447 million or .93% at December 31, 2007, and $587 million or 1.20%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2008. Major factors contributing to the rise in nonperforming loans from the third quarter of 2007 were a $156 million increase in residential real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loans and a $100 million rise in loans to builders and developers of residential real estate. The increase in nonperforming residential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the result of the residential real estate market turmoil and its impact on the portfolio of Alt-A loans and also reflected a change in accounting procedure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2007 whereby residential real estate loans previously classified as nonaccrual when payments were 180 days past due now stop accruing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principal or interest is delinquent 90 days. The impact of the acceleration of the classification of such loans as nonaccrual resulted in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nonperforming loans of $72 million, $84 million and $65 million at September 30, 2008, December 31, 2007 and June 30, 2008, respectively. The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of nonaccrual loans to builders and developers was largely due to deteriorating residential real estate values. The most significant factors contributing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higher level of nonperforming loans at September 30, 2008 as compared with December 31, 2007 and June 30, 2008 was the addition of commercial real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estate loans, including loans to builders and developers of residential real estate, and residential real estate loans.</w:t>
      </w:r>
    </w:p>
    <w:p>
      <w:pPr>
        <w:spacing w:after="0" w:line="103" w:lineRule="exact"/>
        <w:rPr>
          <w:sz w:val="20"/>
          <w:szCs w:val="20"/>
          <w:color w:val="auto"/>
        </w:rPr>
      </w:pPr>
    </w:p>
    <w:p>
      <w:pPr>
        <w:ind w:firstLine="215"/>
        <w:spacing w:after="0" w:line="288" w:lineRule="auto"/>
        <w:rPr>
          <w:sz w:val="20"/>
          <w:szCs w:val="20"/>
          <w:color w:val="auto"/>
        </w:rPr>
      </w:pPr>
      <w:r>
        <w:rPr>
          <w:rFonts w:ascii="Arial" w:cs="Arial" w:eastAsia="Arial" w:hAnsi="Arial"/>
          <w:sz w:val="16"/>
          <w:szCs w:val="16"/>
          <w:color w:val="auto"/>
        </w:rPr>
        <w:t>Accruing loans past due 90 days or more were $96 million or .20% of total loans and leases at September 30, 2008, compared with $140 million or .31% a year earlier, $77 million or .16% at December 31, 2007 and $94 million or .19% at June 30, 2008. Those loans included $90 million, $70 million, $73 million and $89 million at September 30, 2008, September 30, 2007, December 31, 2007 and June 30, 2008,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$86 million, $61 million, $67 million and $78 million at September 30, 2008, September 30, 2007, December 31, 2007 and June 30, 2008. Loans past due 90 days or more and accruing interest that were guaranteed by government-related entities also included foreign commercial and industrial loans supported by the Export-Import Bank of the United States that totaled $3 million at September 30, 2008, compared with $9 million a year earlier, $5 million at December 31, 2007 and $10 million at June 30, 2008.</w:t>
      </w:r>
    </w:p>
    <w:p>
      <w:pPr>
        <w:spacing w:after="0" w:line="6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Commercial loans and leases classified as nonperforming aggregated $94 million at September 30, 2008, $114 million at September 30, 2007, $79 million at December 31, 2007, and $90 million at June 30, 2008. The decline in such loans from September 30, 2007 to the recent quarter-end was largely due to a reduction of nonperforming loans to automobile dealers predominantly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due to payments received. The rise in nonperforming commercial loans and leases at September 30 and June 30, 2008 as compared with December 31, 2007 was largely due to the addition of a $16 million relationship with a publishing company in 2008’s second quarter.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Nonperforming commercial real estate loans totaled $291 million at September 30, 2008, $112 million a year earlier, $118 million at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$227 million at June 30, 2008. Included in nonperforming commercial real estate loans were loans to residential homebuilders and developers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 million, $80 million, $85 million and $161 million at September 30, 2008, September 30, 2007, December 31, 2007 and June 30, 2008,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the impact of the downturn in the residential real estate market, including declining real estate values. The collateral securing those loans is largely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located in the Mid-Atlantic region.</w:t>
      </w:r>
    </w:p>
    <w:p>
      <w:pPr>
        <w:spacing w:after="0" w:line="10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Residential real estate loans classified as nonperforming totaled $242 million at September 30, 2008, $86 million at September 30, 2007, $181 million at December 31, 2007 and $200 million at June 30, 2008. As already noted, the significant increase in such loans from September 30, 2007 reflects the turmoil present in the residential real estate marketplace that has resulted in declining property values as well as the effect of the change in accounting procedure for nonaccrual residential real estate loans that became effective during the fourth quarter of 2007. Included in nonperforming residential real estate loans were nonperforming Alt-A loans which totaled $130 million, $41 million, $90 million and $106 million at September 30, 2008, September 30, 2007, December 31, 2007 and June 30, 2008, respectively. Residential real estate loans past due 90 days or more and accruing interest totaled $86 million at September 30, 2008, compared with $118 million a year-earlier, and $66 million and $78 million at December 31, 2007 and June 30, 2008, respectively. Such amounts consist predominantly of guaranteed loans repurchased from government-related entities.</w:t>
      </w:r>
    </w:p>
    <w:p>
      <w:pPr>
        <w:spacing w:after="0" w:line="71" w:lineRule="exact"/>
        <w:rPr>
          <w:sz w:val="20"/>
          <w:szCs w:val="20"/>
          <w:color w:val="auto"/>
        </w:rPr>
      </w:pPr>
    </w:p>
    <w:p>
      <w:pPr>
        <w:ind w:right="300" w:firstLine="225"/>
        <w:spacing w:after="0" w:line="293" w:lineRule="auto"/>
        <w:rPr>
          <w:sz w:val="20"/>
          <w:szCs w:val="20"/>
          <w:color w:val="auto"/>
        </w:rPr>
      </w:pPr>
      <w:r>
        <w:rPr>
          <w:rFonts w:ascii="Arial" w:cs="Arial" w:eastAsia="Arial" w:hAnsi="Arial"/>
          <w:sz w:val="16"/>
          <w:szCs w:val="16"/>
          <w:color w:val="auto"/>
        </w:rPr>
        <w:t>Nonperforming consumer loans and leases totaled $82 million at September 30, 2008, compared with $59 million a year earlier, $69 million at December 31, 2007 and $70 million at June 30, 2008. Included in nonperforming consumer loans and leases at September 30, 2008, September 30, 2007, December 31, 2007 and June 30, 2008 were indirect automobile loans of $40 million, $26 million, $30 million and $33 million, respectively; recreational vehicle loans of $9 million, $5 million, $11 million and $11 million, respectively; and outstanding balances of home equity lines of credit of $17 million, $11 million, $12 million and $13 million, respectively. As a percentage of consumer loan balances outstanding, nonperforming consumer loans and leases were .74% and .58% at September 30, 2008 and 2007, respectively, .61% at December 31, 2007 and .63% at June 30, 2008.</w:t>
      </w:r>
    </w:p>
    <w:p>
      <w:pPr>
        <w:spacing w:after="0" w:line="5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Real estate and other assets owned, largely comprised of assets acquired in settlement of defaulted loans, totaled $85 million at September 30, 2008, $22 million at September 30, 2007, $40 million at December 31, 2007 and $53 million at June 30, 2008. The increase from September 30, 2007 and December 31, 2007 resulted from higher residential real estate loan defaults and additions during the recent quarter from residential real estate development projects. The rise from June 30, 2008 was attributable to the residential real estate development project additions.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auto"/>
              </w:rPr>
              <w:t>2008 Quarters</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gridSpan w:val="3"/>
          </w:tcPr>
          <w:p>
            <w:pPr>
              <w:ind w:left="800"/>
              <w:spacing w:after="0"/>
              <w:rPr>
                <w:sz w:val="20"/>
                <w:szCs w:val="20"/>
                <w:color w:val="auto"/>
              </w:rPr>
            </w:pPr>
            <w:r>
              <w:rPr>
                <w:rFonts w:ascii="Arial" w:cs="Arial" w:eastAsia="Arial" w:hAnsi="Arial"/>
                <w:sz w:val="14"/>
                <w:szCs w:val="14"/>
                <w:color w:val="auto"/>
              </w:rPr>
              <w:t>2007 Quarters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Third</w:t>
            </w:r>
          </w:p>
        </w:tc>
        <w:tc>
          <w:tcPr>
            <w:tcW w:w="700" w:type="dxa"/>
            <w:vAlign w:val="bottom"/>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Second</w:t>
            </w:r>
          </w:p>
        </w:tc>
        <w:tc>
          <w:tcPr>
            <w:tcW w:w="700" w:type="dxa"/>
            <w:vAlign w:val="bottom"/>
          </w:tcPr>
          <w:p>
            <w:pPr>
              <w:spacing w:after="0"/>
              <w:rPr>
                <w:sz w:val="14"/>
                <w:szCs w:val="14"/>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First</w:t>
            </w:r>
          </w:p>
        </w:tc>
        <w:tc>
          <w:tcPr>
            <w:tcW w:w="720" w:type="dxa"/>
            <w:vAlign w:val="bottom"/>
          </w:tcPr>
          <w:p>
            <w:pPr>
              <w:spacing w:after="0"/>
              <w:rPr>
                <w:sz w:val="14"/>
                <w:szCs w:val="14"/>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Fourth</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Third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688,214</w:t>
            </w:r>
          </w:p>
        </w:tc>
        <w:tc>
          <w:tcPr>
            <w:tcW w:w="7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568,460</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477,436</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431,282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Renegotiated loans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21,804</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18,905</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17,084</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15,884</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710,018</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587,365</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494,520</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447,166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85,305</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52,606</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52,805</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40,175</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795,323</w:t>
            </w:r>
          </w:p>
        </w:tc>
        <w:tc>
          <w:tcPr>
            <w:tcW w:w="7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639,971</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547,325</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487,341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393,471</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96,206</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93,894</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81,316</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77,319</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Government guaranteed loans included in totals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above:</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30,075</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24,658</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22,320</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19,125</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89,945</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89,163</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76,511</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72,705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Nonperforming loans to total loans and leases,</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net of unearned discount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1.46%</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.93%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w:t>
            </w: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 and real estate and other assets owned</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w:t>
            </w: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loans and leases, net of unearned discount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r>
      <w:tr>
        <w:trPr>
          <w:trHeight w:val="20"/>
        </w:trPr>
        <w:tc>
          <w:tcPr>
            <w:tcW w:w="4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Predominately residential mortgage loans.</w:t>
      </w:r>
    </w:p>
    <w:p>
      <w:pPr>
        <w:spacing w:after="0" w:line="117"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1" w:lineRule="exact"/>
        <w:rPr>
          <w:sz w:val="20"/>
          <w:szCs w:val="20"/>
          <w:color w:val="auto"/>
        </w:rPr>
      </w:pPr>
    </w:p>
    <w:p>
      <w:pPr>
        <w:ind w:right="80" w:firstLine="8"/>
        <w:spacing w:after="0" w:line="25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38"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Management cautiously and conservatively evaluated the allowance for credit losses as of September 30, 2008 in light of (i) the declining residential real estate values and emergence of higher levels of delinquencies of residential real estate loans; (ii) the declining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in late-2007 and through 2008’s third quarter. Although the national economy experienced moderate growth in 2007 with inflation being reasonably well contained, concerns exist in 2008 about a deepening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could cause consumer spending to slow; the underlying impact on businesses’ operations and abilities to repay loans should consumer spending slow; continued stagnant population growth in the upstate New York and central Pennsylvania regions; and continued slowing of domestic automobile sales.</w:t>
      </w:r>
    </w:p>
    <w:p>
      <w:pPr>
        <w:spacing w:after="0" w:line="7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Although concerns exist about the factors and conditions described herein, through September 30, 2008 the increases in nonperforming loans and net charge-offs have largely been centered in the Company’s portfolios of residential real estate loans, including second lien Alt-A mortgage loans, and loans to developers and builders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including valuations of residential real estate development or construction projects, can be impacted by housing trends, the availability of financing at reasonable interest rates, and general economic conditions affecting consumers.</w:t>
      </w:r>
    </w:p>
    <w:p>
      <w:pPr>
        <w:spacing w:after="0" w:line="7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Management believes that the allowance for credit losses at September 30, 2008 was adequate to absorb credit losses inherent in the portfolio as of that date. The allowance for credit losses was $781 million, or 1.60% of total loans and leases at September 30, 2008, compared with $680 million or 1.52% at September 30, 2007, $759 million or 1.58% at December 31, 2007 and $774 million or 1.58% at June 30, 2008. The increase in the level of the allowance as a percentage of outstanding loans and leases since September 30, 2007 reflects management’s evaluation of the loan and lease portfolio as described herein, including the impact of lower real estate values and higher levels of delinquencies and charge-offs in the Company’s portfolio of Alt-A residential real estate loans and in the residential real estate builder and developer loan portfolio. The December 2007 change in accounting procedure that accelerated the recognition of charge-offs on residential real estate loans and home equity lines of credit has damped the rise in the allowance as a percentage of loans. The excess of such loan balances over the net realizable value of the property collateralizing the loan is now charged off when the loans become 150 days delinquent, whereas previously the Company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provided an allowance for credit losses for such amounts and charged off loans upon foreclosure of the underlying property. Nevertheless,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nonperforming loans was 110% at September 30, 2008, compared with 183% a year earlier, 170% at December 31, 2007 and 132% at June 30, 2008. Given the Company’s position as a secured lender, changes in that ratio are generally not an indicative measure of the adequacy of the Company’s allowance for credit losses. The level of the allowance reflects management’s evaluation of the loan and lease portfolio as of each respective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Other income totaled $114 million in the third quarter of 2008, compared with $253 million in the corresponding quarter of 2007 and $271 million in the second quarter of 2008. The decrease from the prior periods resulted from the previously discussed $153 million (pre-tax) non-cash accounting charge during the recent quarter for other-than-temporary declines in value of preferred stock of Fannie Mae and Freddie Mac. Excluding the impact of losses from investment securities, other income in the recent quarter was $266 million, up 5% from the year-earlier quarter, but 4% below the second quarter of 2008. Contributing to the improvement from the third quarter of 2007 were higher service charges on deposit accounts, mortgage banking revenues and credit-related fees. The decline from the immediately preceding quarter was due, in part, to lower credit-related fees and trading account and foreign exchange gains.</w:t>
      </w:r>
    </w:p>
    <w:p>
      <w:pPr>
        <w:spacing w:after="0" w:line="5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Mortgage banking revenues totaled $38 million in the recent quarter, equal to the second quarter of 2008, but up 20% from $32 million in the third quarter of 2007. Mortgage banking revenues are comprised of both residential and commercial mortgage banking activities.</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totaled $28 million in the recent quarter, compared with $27 million in each of the third quarter of 2007 and the second quarter of 2008.</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Residential mortgage loans originated for sale to other investors were approximately $960 million in the recent quarter, compared with $1.4 billion in the third quarter of 2007 and $1.2 billion in 2008’s second quarter. Residential mortgage loans sold to investors totaled $1.1 billion in the third quarter of 2008, compared with $1.3 billion in each of the year-earlier quarter and the second quarter of 2008. Realized gains from sales of residential mortgage loans and loan servicing rights and recognized net unrealized gains and losses attributable to residential mortgage loans held for sale, commitments to originate loans for sale and commitments to sell loans aggregated to a gain of $6 million in each of the recently completed quarter, the third quarter of 2007 and the second quarter of 2008.</w:t>
      </w:r>
    </w:p>
    <w:p>
      <w:pPr>
        <w:spacing w:after="0" w:line="85"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Revenues from servicing residential mortgage loans for others were $21 million in the most recent quarter, compared with $18 million in the third quarter of 2007 and $20 million in the second quarter of 2008. Included in such servicing revenues were amounts related to purchased servicing rights associated with small balance commercial mortgage loans which totaled $8 million in the recent quarter, $6 million in the third quarter of 2007 and $7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million in 2008’s second quarter. Residential mortgage loans serviced for others were $21.2 billion at September 30, 2008, $18.6 billion a year earlier and $19.4 billion at December 31, 2007, including the small balance commercial mortgage loans noted above of approximately $5.8 billion and $4.5 billion at September 30, 2008 and 2007, respectively, and $4.9 billion at December 31, 2007. Capitalized residential mortgage servicing assets, net of a valuation allowance for impairment, were $171 million at September 30, 2008, compared with $166 million at September 30, 2007 and $170 million at December 31, 2007. Included in capitalized residential mortgage servicing assets were $63 million at September 30, 2008, $55 million a year earlier and $57 million at December 31, 2007 of purchased servicing rights associated with the small balance commercial mortgage loans noted above. Servicing rights for the small balance commercial mortgage loans were purchased from BLG or its affiliates. In addition, at September 30, 2008 capitalized servicing rights included $30 million for servicing rights for $4.2 billion of residential real estate loans that were purchased from affiliates of BLG. Additional information about the Company’s relationship with BLG and its affiliates is provided in note 9 of Notes to Financial Statements.</w:t>
      </w:r>
    </w:p>
    <w:p>
      <w:pPr>
        <w:spacing w:after="0" w:line="5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Loans held for sale that are secured by residential real estate totaled $439 million and $950 million at September 30, 2008 and 2007, respectively, and $774 million at December 31, 2007. Commitments to sell loans and commitments to originate loans for sale at pre-determined rates were $736 million and $657 million, respectively, at September 30, 2008, $984 million and $579 million, respectively, at September 30, 2007 and $772 million and $492 million, respectively, at December 31, 2007. Net unrealized losses on residential mortgage loans held for sale, commitments to sell loans, and commitments to originate loans for sale were $5 million at each of September 30, 2008 and 2007, and $7 million at December 31, 2007. Changes in such net unrealized losses are recorded in mortgage banking revenues and resulted in net decreases in revenues of $300 thousand in the third quarter of 2008, compared with net decreases of $2 million in the third quarter of 2007 and $3 million in the second quarter of 2008.</w:t>
      </w:r>
    </w:p>
    <w:p>
      <w:pPr>
        <w:spacing w:after="0" w:line="7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Commercial mortgage banking revenues in the recent quarter were $10 million, compared with $5 million in 2007’s third quarter and $11 million in the second quarter of 2008. Included in such amounts were revenues from loan origination and sales activities of $7 million in the third quarter of 2008, compared with $2 million in the corresponding 2007 period and $8 million in 2008’s second quarter. Commercial mortgage loan servicing revenues were $3 million in each of the third quarters of 2008 and 2007 and in the second quarter of 2008. Capitalized commercial mortgage servicing assets totaled $25 million at September 30, 2008 and $20 million at each of September 30, 2007 and December 31, 2007. Commercial mortgage loans held for sale at September 30, 2008 and 2007 were $71 million and $43 million, respectively, and $79 million at December 31, 2007. Commitments to sell commercial mortgage loans and commitments to originate commercial mortgage loans for sale were $150 million and $79 million, respectively, at September 30, 2008, $198 million and $154 million, respectively, at September 30, 2007 and $176 million and $97 million, respectively, at December 31, 2007. Net unrealized gains on commercial mortgage loans held for sale, commitments to sell commercial mortgage loans, and commitments to originate commercial mortgage loans for sale were $1 million at September 30, 2008. There were no net unrealized gains or losses on commercial mortgage loans held for sale and the related commitments at September 30 or December 31, 2007.</w:t>
      </w:r>
    </w:p>
    <w:p>
      <w:pPr>
        <w:spacing w:after="0" w:line="75"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Service charges on deposit accounts totaled $110 million in the two most recent quarters, compared with $104 million in the third quarter of 2007. Nearly half of the increase from the third quarter of 2007 to the recent quarter was due to the impact of the fourth quarter 2007 acquisition transactions. Trust income totaled $39 million in the recent quarter, compared with $38 million in last year’s third quarter and $40 million in the second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quarter of 2008. Brokerage services income, which includes revenues from the sale of mutual funds and annuities and securities brokerage fees, totaled $16 million in the third quarter of 2008, compared with $15 million in the similar quarter of 2007 and $17 million in the second quarter of 2008. Trading account and foreign exchange activity resulted in gains of $4 million during the most recent quarter, and $7 million in each of the third quarter of 2007 and second quarter of 2008.</w:t>
      </w:r>
    </w:p>
    <w:p>
      <w:pPr>
        <w:spacing w:after="0" w:line="79"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M&amp;T’s pro-rata share of the operating loss of BLG in the recent quarter was $14 million, compared with losses of $11 million in the third quarter of 2007 and $13 million in the second 2008 quarter. The loss in 2007’s third quarter was due to the timing of the recognition of gains from loan sales and securitizations. The operating results of BLG in the two most recent quarters resulted from the disruptions in the commercial mortgage-backed securities market and reflected lower gains from loan securitization and sales activities, lower values ascribed to loans held for sale, and costs associated with severance and certain lease terminations. Despite the credit and liquidity disruptions that began in 2007, BLG had been successfully securitizing and selling significant volumes of small-balance commercial real estate loans until the first quarter of 2008. In response to the illiquidity in the market place, BLG has reduced its originations activities, scaled back its workforce and made use of its contingent liquidity sources. BLG is also evaluating alternatives for the placement of small-balance commercial real estate loan originations should the securitization market not improve. Nevertheless, significant fluctuations are expected as part of the business cycle of any mortgage origination and securitization business. Additionally,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$280 million book value of its investment in BLG. Information about the Company’s relationship with BLG and its affiliates is included in note 9 of Notes to Financial Statements.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third quarter of 2008, the Company realized losses on investment securities of $152 million, compared with losses of $138 thousand and</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 million in the third quarter of 2007 and second quarter of 2008, respectively. As previously described, recognized in the recent quarter was a $153 million other-than-temporary impairment charge for the Company’s holdings of preferred stock of Fannie Mae and Freddie Mac.</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revenues from operations totaled $73 million in the recent quarter, compared with $68 million in 2007’s third quarter and $77 million in the second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2008. Included in other revenues from operations were the following significant components. Letter of credit and other credit-related fees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in the recent quarter, $19 million in the third quarter of 2007 and $25 million in the second quarter of 2008. Tax-exempt income from bank 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life insurance, which includes increases in the cash surrender value of life insurance policies and benefits received, totaled $12 million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in the year-earlier quarter and $11 million in 2008’s second quarter. Revenues from merchant discount and credit card fees were $10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two most recent quarters, compared with $9 million in the third quarter of 2007. Insurance-related sales commissions and other revenues totaled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million in the quarter ended September 30, 2008 and $8 million in each of the quarters ended September 30, 2007 and June 30, 2008.</w:t>
      </w:r>
    </w:p>
    <w:p>
      <w:pPr>
        <w:spacing w:after="0" w:line="103" w:lineRule="exact"/>
        <w:rPr>
          <w:sz w:val="20"/>
          <w:szCs w:val="20"/>
          <w:color w:val="auto"/>
        </w:rPr>
      </w:pPr>
    </w:p>
    <w:p>
      <w:pPr>
        <w:ind w:right="600" w:firstLine="225"/>
        <w:spacing w:after="0" w:line="342" w:lineRule="auto"/>
        <w:rPr>
          <w:sz w:val="20"/>
          <w:szCs w:val="20"/>
          <w:color w:val="auto"/>
        </w:rPr>
      </w:pPr>
      <w:r>
        <w:rPr>
          <w:rFonts w:ascii="Arial" w:cs="Arial" w:eastAsia="Arial" w:hAnsi="Arial"/>
          <w:sz w:val="16"/>
          <w:szCs w:val="16"/>
          <w:color w:val="auto"/>
        </w:rPr>
        <w:t>Other income totaled $698 million in the first nine months of 2008, compared with $772 million in the corresponding 2007 period. The two factors causing the decline in such income were the previously noted $153 million charge recognized in the third quarter of 2008 related to the other-than-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temporary decline in value of the preferred stock of Fannie Mae and Freddie Mac and losses from M&amp;T’s investment in BLG. Partially offsetting those factors were higher mortgage banking revenues, service charges on deposit accounts and credit-related fees, and a $33 million gain recognized in 2008’s initial quarter on the redemption of common stock of Visa.</w:t>
      </w:r>
    </w:p>
    <w:p>
      <w:pPr>
        <w:spacing w:after="0" w:line="73" w:lineRule="exact"/>
        <w:rPr>
          <w:sz w:val="20"/>
          <w:szCs w:val="20"/>
          <w:color w:val="auto"/>
        </w:rPr>
      </w:pPr>
    </w:p>
    <w:p>
      <w:pPr>
        <w:ind w:right="180" w:firstLine="225"/>
        <w:spacing w:after="0" w:line="285" w:lineRule="auto"/>
        <w:rPr>
          <w:sz w:val="20"/>
          <w:szCs w:val="20"/>
          <w:color w:val="auto"/>
        </w:rPr>
      </w:pPr>
      <w:r>
        <w:rPr>
          <w:rFonts w:ascii="Arial" w:cs="Arial" w:eastAsia="Arial" w:hAnsi="Arial"/>
          <w:sz w:val="16"/>
          <w:szCs w:val="16"/>
          <w:color w:val="auto"/>
        </w:rPr>
        <w:t>For the first nine months of 2008, mortgage banking revenues aggregated $116 million, up 43% from $81 million in the year-earlier period. Residential mortgage banking revenues increased to $88 million during the nine-month period ended September 30, 2008 from $62 million in the similar 2007 period. Residential mortgage loans originated for sale to other investors were $3.4 billion in the first three quarters of 2008, compared with $4.2 billion in the corresponding 2007 period. Realized gains from sales of residential mortgage loans and loan servicing rights and recognized unrealized gains and losses on residential mortgage loans held for sale, commitments to originate loans for sale and commitments to sell loans aggregated to gains of $23 million and</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 million during the nine-month periods ended September 30, 2008 and 2007, respectively. Reflected in the 2008 gains were approximately $5 million of revenues related to the January 1, 2008 adoption of Securities and Exchange Commission (“SEC”) Staff Accounting Bulletin (“SAB”) No. 109 for written loan commitments issued or modified after January 1, 2008. In November 2007, the SEC issued SAB No. 109,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amounts in the value of loan commitments accounted for as derivatives in 2007. Reflected in the 2007 gains were $18 million of losses related to Alt-A residential mortgage loans that were recognized during the first quarter of 2007. As discussed herein under the heading “Provision for Credit Losses,” in March 2007 the Company transferred $883 million of Alt-A loans originally held for sale to its held-for-investment loan portfolio. In accordance with GAAP, loans held for sale must be recorded at the lower of cost or market value. Accordingly, prior to reclassifying the Alt-A mortgage loans to the held-for-investment portfolio, the carrying value of such loans was reduced by $12 million. Additionally, the Company may be contractually obligated to repurchase some previously sold residential real estate loans that do not ultimately meet investor sale criteria, including instances where mortgagors failed to make timely payments during the first 90 days subsequent to the sale date. Requests from investors for the Company to repurchase residential real estate loans increased significantly in early 2007, particularly related to Alt-A loans. As a result, during 2007’s first quarter the Company reduced mortgage banking revenues by $6 million related to declines in market values of previously sold residential real estate loans that the Company may be required to repurchase. Most of those loans have not been repurchased as of September 30, 2008.</w:t>
      </w:r>
    </w:p>
    <w:p>
      <w:pPr>
        <w:spacing w:after="0" w:line="2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servicing residential mortgage loans for others were $60 million and $54 million for the first nine-months of 2008 and 2007, respectively. Included in such amounts were revenues related to purchased servicing rights associated with the previously noted small balance commercial mortgage loans of $22 million and $15 million for the nine-month periods ended September 30, 2008 and 2007, respectively. Commercial mortgage banking revenues totaled $29 million during the first three quarters of September 30, 2008, up from $19 million in the similar 2007 period due to higher loan origination and sales activities.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Service charges on deposit accounts rose 7% to $324 million during the first nine months of 2008 from $304 million in the similar 2007 period, reflecting increases in both commercial and consumer service charges, the latter largely related to debit card usage. Approximately 40% of the increase in service charges reflects the impact of the late-2007 acquisition transactions. Trust income increased 6% to $120 million from $113 million a year earlier, due predominantly to fees resulting from higher proprietary money-market mutual fund balances. Brokerage services income rose 4% to $49 million during the first nine months of 2008 from $47 million in the corresponding 2007 period. Trading account and foreign exchange activity resulted in gains of $16 million and $20 million for the nine-month periods ended September 30, 2008 and 2007, respectively. M&amp;T’s February 2007 investment in BLG resulted in losses of $29 million for the nine months ended September 30, 2008, compared with losses of $6 million in the year-earlier period. The increased losses were largely driven by changes in the commercial mortgage-backed securities market as was described earlier. Losses on investment securities aggregated $124 million during the first three quarters of 2008, compared with gains from investment securities of $1 million in the similar 2007 period. The losses in 2008 were largely the result of the $153 million accounting charge for the other-than-temporary decline in value of the Fannie Mae and Freddie Mac preferred stock, partially offset by the recognition of a $33 million gain from the redemption of common shares of Visa during the first quarter of 2008. Other revenues from operations were $226 million in the first nine months of 2008, up from $212 million in the corresponding 2007 period. Included in other revenues from operations during the nine-month periods ended September 30, 2008 and 2007 were letter of credit and other credit-related fees of $77 million and</w:t>
      </w:r>
    </w:p>
    <w:p>
      <w:pPr>
        <w:spacing w:after="0" w:line="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$62 million, respectively, income from bank owned life insurance of $35 million in each period, merchant discount and credit card fees of $30 million and $26 million, respectively, and insurance-related sales commissions and other revenues of $25 million and $24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expense totaled $435 million in the third quarter of 2008, 11% higher than $391 million in the year-earlier period and 4% above $420 million in 2008’s second quarter. Included in the amounts noted above are expenses considered by management to be “nonoperating” in nature consisting of amortization of core deposit and other intangible assets of $16 million in each of the third quarters of 2008 and 2007 and $17 million in the second quarter of 2008. Exclusive of these nonoperating expenses, noninterest operating expenses aggregated $419 million in the recent quarter, compared with $375 million in the third quarter of 2007 and $403 million in the second quarter of 2008.</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Other expense for the nine-month period ended September 30, 2008 aggregated $1.28 billion, up $98 million or 8% from $1.18 billion in the corresponding 2007 period. Included in those amounts are expenses considered to be “nonoperating” in nature consisting of amortization of core deposit and other intangible assets of $51 million in each of 2008 and 2007, and merger-related expenses of $4 million in the first nine months of 2008. Exclusive of these nonoperating expenses, noninterest operating expenses through the first nine months of 2008 increased $94 million or 8% to $1.23 billion from $1.13 billion in the similar 2007 period. Table 2 provides a reconciliation of other expense to noninterest operating expense.</w:t>
      </w:r>
    </w:p>
    <w:p>
      <w:pPr>
        <w:spacing w:after="0" w:line="64"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Salaries and employee benefits expense totaled $237 million in the third quarter of 2008, compared with $221 million in the similar 2007 quarter and $236 million in the second quarter of 2008. For the first three quarters of 2008, salaries and employee benefits expense rose 6% to $725 million from $682 million in the year-earlier period. The higher expense levels in 2008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compared with 2007 reflect annual merit increases, higher incentive compensation and the impact of the fourth quarter acquisition transactions. Stock-based compensation totaled $10 million during each of the quarters ended September 30, 2008 and June 30, 2008, $11 million during the quarter ended September 30, 2007, and $39 million and $41 million for the nine-month periods ended September 30, 2008 and 2007, respectively. The number of full-time equivalent employees was 12,914 at September 30, 2008, 12,534 at September 30, 2007, 13,246 at December 31, 2007 and 13,052 at June 30, 2008.</w:t>
      </w:r>
    </w:p>
    <w:p>
      <w:pPr>
        <w:spacing w:after="0" w:line="4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Excluding the nonoperating expense items described earlier from each quarter, nonpersonnel operating expenses were $182 million in the third quarter of 2008, compared with $154 million in the similar quarter of 2007 and $167 million in the second quarter of 2008. On the same basis, such expenses were $501 million and $449 million during the first nine months of 2008 and 2007, respectively. The rise in nonpersonnel operating expenses in 2008’s third quarter as compared with the year-earlier quarter was due, in part, to higher costs for equipment and net occupancy, professional services and advertising, as well as increased expenses related to the foreclosure process for residential real estate properties. Contributing to the higher level of expense in 2008’s third quarter compared with the second quarter of 2008 were changes to the valuation allowance for the impairment of capitalized residential mortgage servicing rights. During the recent quarter, there was a $1 million addition to the valuation allowance while there was a $9 million reversal of a portion of such valuation allowance in the second quarter of 2008. Also contributing to the higher expenses in the recent quarter as compared with 2008’s second quarter were higher costs related to professional services and advertising. Contributing to the rise in nonpersonnel expenses in the first three quarters of 2008 as compared with 2007 were higher costs related to professional services, advertising and the foreclosure process for residential real estate properties. Partially offsetting those increases was a reversal in the first quarter of 2008 of approximately $15 million of the $23 million accrued during the fourth quarter of 2007 for estimated losses stemming from certain litigation involving Visa (“Covered Litigation”). As part of Visa’s initial public offering, M&amp;T Bank and other member banks are obligated to share in losses from the Covered Litigation. As Visa settles the Covered Litigation and provides information regarding any such settlements to its member banks, increases or decreases in M&amp;T’s accrual for Covered Litigation are possible. Additional information about the Covered Litigation is included in note 6 of Notes to Financial Statements.</w:t>
      </w:r>
    </w:p>
    <w:p>
      <w:pPr>
        <w:spacing w:after="0" w:line="61"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55.2% during the recent quarter, compared with 51.6% during the third quarter of 2007 and 52.4% in the second quarter of 2008. The efficiency ratios for the nine months ended September 30, 2008 and 2007 were 53.5% and 52.2%, respectively. Noninterest operating expenses used in calculating the efficiency ratio do not include the amortization of core deposit and other intangible assets or the acquisition-related costs noted earlier. If charges for amortization of core deposit and other intangible assets were included, the efficiency ratio for the three-month periods ended September 30, 2008, September 30, 2007 and June 30, 2008 would have been 57.2%, 53.8% and 54.6%, respectively, and for the nine-month periods ended September 30, 2008 and 2007 would have been 55.7% and 54.6%,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for the third quarter of 2008 was a benefit of $25 million, compared with income tax expense of $97 million and $78 million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third quarter of 2007 and second quarter of 2008, respectively. The income tax benefit recorded in the recent quarter reflects the resolution of previously uncertain tax positions related to the Company’s activities in various jurisdictions during the years 1999-2007 that allowed the Company to reduce its accrual for income taxes in late September 2008 by $40 million. Exclusive of the impact of the $40 million credit to income taxes, the effective tax rate in 2008’s third quarter was 22.7%. That compares with 32.7% in each of the quarters ended September 30, 2007 and June 30, 2008. For the nine-month periods ended September 30, 2008 and 2007, the provision for income taxes was $156 million and $290 million, respectively, resulting in effective tax rates of 25.6% in 2008 and 33.0% in 2007.</w:t>
      </w:r>
    </w:p>
    <w:p>
      <w:pPr>
        <w:spacing w:after="0" w:line="85"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effective tax rate is impacted by the level of income earned that is exempt from tax relative to the overall level of pre-tax income and by the level of income allocated to the various state and local jurisdictions where the Company operates, because tax rates differ among those jurisdictions. Although the other-than-temporary impairment charge related to Fannie Mae and Freddie Mac preferred stock is fully deductible for purposes of computing income tax expense, that charge had an impact on the effective tax rate because it significantly lowered pre-tax income relative to the amounts of tax-exempt income and other permanent differences that impact the effective tax rate. Excluding the impact of the (i) other than temporary impairment charge from pre-tax income and income tax expense and (ii) the $40 million credit to income tax expense resulting from the resolution of previously uncertain tax positions, the Company’s effective tax rates for the three- and nine-month periods ended September 30, 2008 would have been 32.1% and 33.0%, respectively.</w:t>
      </w:r>
    </w:p>
    <w:p>
      <w:pPr>
        <w:spacing w:after="0" w:line="59"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Company’s effective tax rate in future periods will also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Stockholders’ equity totaled $6.4 billion at September 30, 2008, compared with $6.2 billion at September 30, 2007 and $6.5 billion at December 31, 2007. As a percentage of total assets, stockholders’ equity at September 30, 2008, September 30, 2007 and December 31, 2007 was 9.83%, 10.40% and 10.00%, respectively. On a per share basis, stockholders’ equity was $58.17 at September 30, 2008, compared with $58.40 and $58.99 at September 30 and December 31, 2007, respectively. Tangible equity per share, which excludes goodwill and core deposit and other intangible assets and applicable deferred tax balances, was $27.67 at September 30, 2008, compared with $29.48 a year earlier and $27.98 at December 31, 2007. A reconciliation of total stockholders’ equity and tangible equity as of each of those respective dates is presented in table 2.</w:t>
      </w:r>
    </w:p>
    <w:p>
      <w:pPr>
        <w:spacing w:after="0" w:line="70" w:lineRule="exact"/>
        <w:rPr>
          <w:sz w:val="20"/>
          <w:szCs w:val="20"/>
          <w:color w:val="auto"/>
        </w:rPr>
      </w:pPr>
    </w:p>
    <w:p>
      <w:pPr>
        <w:ind w:right="260" w:firstLine="225"/>
        <w:spacing w:after="0" w:line="273" w:lineRule="auto"/>
        <w:rPr>
          <w:sz w:val="20"/>
          <w:szCs w:val="20"/>
          <w:color w:val="auto"/>
        </w:rPr>
      </w:pPr>
      <w:r>
        <w:rPr>
          <w:rFonts w:ascii="Arial" w:cs="Arial" w:eastAsia="Arial" w:hAnsi="Arial"/>
          <w:sz w:val="17"/>
          <w:szCs w:val="17"/>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Net unrealized losses on investment securities, net of applicable tax effect, reflected in accumulated other comprehensive income (loss) were $405 million, or $3.67 per common share, at September 30, 2008, compared with $58 million, or $.54 per share, at September 30, 2007 and $59 million, or $.54 per share, at December 31, 2007. Such unrealized losses are generally due to changes in interest rates and/or a temporary lack 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liquidity in the market, and represent the difference, net of applicable income tax effect, between the estimated fair value and amortized cost of investment securities classified as available for sale. Reflected in net unrealized losses at September 30, 2008 were pre tax-effect unrealized losses of $597 million on available-for-sale investment securities with an amortized cost of $4.7 billion and pre-tax effect unrealized gains of $39 million on securities with an amortized cost of $3.2 billion. The pre-tax effect unrealized losses reflect $481 million of losses on $3.2 billion of privately issued collateralized mortgage obligations (considered Level 3 valuations) and $94 million of losses on $251 million of trust preferred securities issued by financial institutions and securities backed by trust preferred securities issued by financial institutions ($22 million of such unrealized losses were on $27 million of securities using a Level 3 valuation, with the remainder classified as Level 2 valuations).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During the third quarter of 2008, an other-than-temporary impairment charge of $153 million (pre-tax) was recorded on preferred stock holdings of Fannie Mae and Freddie Mac that the Company continues to hold in its available-for-sale investment securities portfolio. Following the impairment charge, those preferred stock holdings have a remaining cost-basis of $9 million. Fannie Mae and Freddie Mac were placed under conservatorship on September 7, 2008 by the U.S. Government. The impairment charge and the recognition of available income tax benefits resulted in a reduction of the Company’s recent quarter net income of $97 million, or $.88 of diluted earnings per share. During the second quarter of 2008, an other-than-temporary impairment charge of $6 million (pre-tax) was recorded on one floating rate private collateralized mortgage obligation that was backed by option adjustable rate residential mortgages.</w:t>
      </w:r>
    </w:p>
    <w:p>
      <w:pPr>
        <w:spacing w:after="0" w:line="57"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 of September 30, 2008, based on a review of each of the remaining securities in the investment securities portfolio, the Company concluded that it was not probable that it would be unable to realize the cost basis investment and appropriate interest payments on such securities. Accordingly, the Company concluded that the declines in the values of those securities were temporary and that any additional other-than-temporary impairment charges were not appropriate at September 30, 2008.</w:t>
      </w:r>
    </w:p>
    <w:p>
      <w:pPr>
        <w:spacing w:after="0" w:line="79" w:lineRule="exact"/>
        <w:rPr>
          <w:sz w:val="20"/>
          <w:szCs w:val="20"/>
          <w:color w:val="auto"/>
        </w:rPr>
      </w:pPr>
    </w:p>
    <w:p>
      <w:pPr>
        <w:ind w:right="100" w:firstLine="215"/>
        <w:spacing w:after="0" w:line="272" w:lineRule="auto"/>
        <w:rPr>
          <w:sz w:val="20"/>
          <w:szCs w:val="20"/>
          <w:color w:val="auto"/>
        </w:rPr>
      </w:pPr>
      <w:r>
        <w:rPr>
          <w:rFonts w:ascii="Arial" w:cs="Arial" w:eastAsia="Arial" w:hAnsi="Arial"/>
          <w:sz w:val="17"/>
          <w:szCs w:val="17"/>
          <w:color w:val="auto"/>
        </w:rPr>
        <w:t>As of September 30, 2008, the Company had the ability and intent to hold each of the impaired securities, that is where market value is less than the cost basis of the security, to recovery. The Company intends to closely monitor the performance of the privately issued mortgage-backed securities and other securities to assess if changes in their underlying credit performance or other events cause the cost basis of those securities to become other than temporarily impaired. However, because the unrealized losses described have already been reflected in the financial statement values for investment securities and stockholders’ equity, any recognition of an other-than-temporary decline in value of these investment securities would have no effect on the Company’s consolidated balance sheet. Additional information concerning fair value measurements and the Company’s approach to and classification of such measurements is included in note 10 of Notes to Financial Statements.</w:t>
      </w:r>
    </w:p>
    <w:p>
      <w:pPr>
        <w:spacing w:after="0" w:line="70"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Also reflected in accumulated other comprehensive income were net losses of $9 million, or $.09 per share, representing the remaining unamortized losses related to the termination of interest rate swap agreements that had been designated as cash flow hedges. Included in this amount were unamortized losses of $10 million related to swap agreements terminated by the Company during the first quarter of 2008 that had originally been entered into as a cash flow hedge of variable rate long-term borrowings. Net unrealized fair value losses associated with interest rate swap agreements designated as cash flow hedges were $390 thousand at September 30, 2007 and $9 million, or $.08 per share, at December 31, 2007.</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 were no outstanding interest rate swap agreements designated as cash flow hedges at September 30, 2008. Adjustments to reflect the funded status of defined benefit pension and other postretirement plans as required under SFAS No. 158, net of applicable tax effect, reduced accumulated other comprehensive income by $47 million, or $.43 per share, at September 30, 2008, $28 million, or $.26 per share, at September 30, 2007, and $46 million, or $.42 per share, at December 31, 2007.</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There were no repurchases during the first nine months of 2008. Through September 30, 2008, M&amp;T had repurchased a total of 2,818,500 shares of common stock pursuant to that authorization at an average cost of $108.30 per share.</w:t>
      </w:r>
    </w:p>
    <w:p>
      <w:pPr>
        <w:spacing w:after="0" w:line="73"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At September 30, 2008, core capital included $1.1 billion of the trust preferred securities described in note 4 of Notes to Financial Statements, and total capital further included $1.6 billion of subordinated notes. In December 2007, M&amp;T Bank issued $400 million of 6.625% fixed rate subordinated notes due 2017 and in January 2008, M&amp;T Capital Trust IV issued $350 million of Enhanced Trust Preferred Securities that pay a fixed rate of interest of 8.50%. For further discussion of the Enhanced Trust Preferred Securities, see note 4 of Notes to Financial Statements.</w:t>
      </w:r>
    </w:p>
    <w:p>
      <w:pPr>
        <w:spacing w:after="0" w:line="5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rate of regulatory core capital generation, or net operating income (as previously defined) less the sum of dividends paid and the after-tax effect of merger-related expenses expressed as an annualized percentage of regulatory “core capital” at the beginning of each period was 2.10% during the third quarter of 2008, compared with 14.02% in the corresponding quarter of 2007 and 8.63% in the second quarter of 2008. The recent quarter’s rate of regulatory core capital generation was adversely impacted by the other-than-temporary impairment charge recorded on the preferred stock of Fannie Mae and Freddie Mac, which reduced net operating income by $97 million. Excluding that charge from the recent quarter’s results, the rate of regulatory core capital generation was 10.77%.</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September 30, 2008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7.89%</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7.21%</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24.97%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11.98%</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11.33%</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25.55%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7.34%</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6.73%</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 earned by the Business Banking segment totaled $30 million in each of the second and third quarters of 2008, compared with $35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2007. The recent quarter’s unfavorable performance as compared with the third quarter of 2007 was the result of a $4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credit losses, due to higher net charge-offs of loans, a $2 million increase in personnel costs and lower net interest income of $2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decline in net interest income resulted from a 52 basis point narrowing of the net interest margin on deposit products, offset, in part, by the impact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 million increase in average deposit balances. As compared with the second quarter of 2008, a $2 million increase in net interest income, primarily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higher average deposit balances of $180 million, was offset by an increase in noninterest expenses of $2 million. For the first nine months of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Business Banking segment’s net income declined 9% to $92 million from $101 million in the year-earlier period. That decline was mainly due to an</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$11 million increase in each of the provision for credit losses, the result of higher net loan charge-offs, and noninterest expenses, reflecting higher personnel costs. Partially offsetting those unfavorable factors was a $4 million rise in service charges on deposit accounts.</w:t>
      </w:r>
    </w:p>
    <w:p>
      <w:pPr>
        <w:spacing w:after="0" w:line="76" w:lineRule="exact"/>
        <w:rPr>
          <w:sz w:val="20"/>
          <w:szCs w:val="20"/>
          <w:color w:val="auto"/>
        </w:rPr>
      </w:pPr>
    </w:p>
    <w:p>
      <w:pPr>
        <w:ind w:firstLine="222"/>
        <w:spacing w:after="0" w:line="283" w:lineRule="auto"/>
        <w:rPr>
          <w:sz w:val="20"/>
          <w:szCs w:val="20"/>
          <w:color w:val="auto"/>
        </w:rPr>
      </w:pPr>
      <w:r>
        <w:rPr>
          <w:rFonts w:ascii="Arial" w:cs="Arial" w:eastAsia="Arial" w:hAnsi="Arial"/>
          <w:sz w:val="16"/>
          <w:szCs w:val="16"/>
          <w:color w:val="auto"/>
        </w:rPr>
        <w:t>The Commercial Banking segment contributed $60 million to the Company’s net income in the third quarter of 2008, 14% higher than $53 million in 2007’s third quarter and 12% above the $54 million earned in the second quarter of 2008. The favorable performance as compared with the third quarter of 2007 was predominantly the result of higher net interest income of $11 million, attributable to a $2.1 billion increase in average loan balances outstanding, a $4 million increase in fees received for providing corporate advisory and credit-related services, and higher service charges on deposit accounts of $2 million. Partially offsetting those favorable factors were $2 million increases in each of the provision for credit losses and personnel costs. The higher net income as compared with the immediately preceding quarter was primarily due to a $13 million decrease in the provision for credit losses, the result of lower net charge-offs of loans, and a $6 million increase in net interest income, largely due to a $442 million increase in average deposit balances. Those positive factors were offset, in part, by a $7 million decline in noninterest income, due largely to declines in fees received from providing credit-related services and income related to end-of-term sales of commercial lease equipment. Net contribution for the Commercial Banking segment increased to $180 million for the first nine months of 2008, up 12% from $161 million in the similar 2007 period. The main contributors to that improvement were a $32 million increase in net interest income, primarily the result of a $2.0 billion increase in average loan balances outstanding, and a $27 million increase in noninterest income. Contributing to the higher noninterest income were higher fees of $9 million for providing credit-related services, a $7 million rise in deposit service charges, and a</w:t>
      </w:r>
    </w:p>
    <w:p>
      <w:pPr>
        <w:spacing w:after="0" w:line="4"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$3 million increase in income related to end-of-term sales of commercial lease equipment. Partially offsetting those favorable factors was an $11 million increase in the provision for credit losses, due to higher net charge-offs of loans, and higher noninterest expenses of $15 million, largely due to increased personnel costs.</w:t>
      </w:r>
    </w:p>
    <w:p>
      <w:pPr>
        <w:spacing w:after="0" w:line="82" w:lineRule="exact"/>
        <w:rPr>
          <w:sz w:val="20"/>
          <w:szCs w:val="20"/>
          <w:color w:val="auto"/>
        </w:rPr>
      </w:pPr>
    </w:p>
    <w:p>
      <w:pPr>
        <w:ind w:right="140" w:firstLine="222"/>
        <w:spacing w:after="0" w:line="286" w:lineRule="auto"/>
        <w:rPr>
          <w:sz w:val="20"/>
          <w:szCs w:val="20"/>
          <w:color w:val="auto"/>
        </w:rPr>
      </w:pPr>
      <w:r>
        <w:rPr>
          <w:rFonts w:ascii="Arial" w:cs="Arial" w:eastAsia="Arial" w:hAnsi="Arial"/>
          <w:sz w:val="16"/>
          <w:szCs w:val="16"/>
          <w:color w:val="auto"/>
        </w:rPr>
        <w:t>The Commercial Real Estate segment’s net income aggregated $36 million in the recent quarter, compared with $39 million in 2007’s third quarter and $43 million in the second quarter of 2008. The decline in net income in the recent quarter from the third quarter of 2007 was due to a $10 million increase in the provision for credit losses, primarily the result of higher net charge-offs of loans, and a $3 million rise in personnel costs, offset, in part, by $4 million increases in each of commercial mortgage banking revenues and net interest income. The higher net interest income predominantly resulted from a</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$2.1 billion increase in average loans outstanding, partially offset by a 31 basis point narrowing of the net interest margin associated with such loans. The lower net income as compared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2008’s second quarter reflects an $8 million increase in the provision for credit losses, due to higher net charge-offs of loans, and lower net interest income of $2 million, resulting from a 7 basis point narrowing of the net interest margin on loans. Through September 30, 2008, net income for this segment rose to $121 million, up 8% from $112 million earned in the corresponding 2007 period. The increase from the prior year resulted from a $22 million increase in net interest income, primarily due to a $2.0 billion increase in average loan balances outstanding, partially offset by a 19 basis point narrowing of the loan net interest margin, and an $8 million increase in commercial mortgage banking revenues. Partially offsetting those positive factors was a $10 million increase in the provision for credit losses, mainly due to higher net charge-offs of loans, and a $7 million increase in personnel costs.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Discretionary Portfolio segment incurred a net loss of $78 million in the third quarter of 2008, compared with net income of $21 million in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corresponding quarter of last year and $5 million in 2008’s second quarter. Included in the assets of this segment are the Company’s holdings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of Fannie Mae and Freddie Mac. The predominant factor contributing to the net loss recorded in the recent quarter was the $153 million other-than-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temporary impairment charge related to that preferred stock. As compared with 2007’s third quarter, the recent quarter’s provision for credit losses rose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mainly due to higher net charge-offs of Alt-A loans, and noninterest expenses increased $11 million, reflecting higher foreclosure-related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those factors was a $12 million increase in net interest income, largely due to a $2.0 billion increase in average investment securities,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 basis point widening of the net interest margin on investment securities. The growth in average balances resulted from securitization transactions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2007, and in June and July 2008. The decrease in net contribution from the second quarter of 2008 mainly resulted from the preferred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charge in the recent quarter and a $4 million increase in noninterest expenses, largely from higher professional services and foreclosure-related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offset, in part, by a $9 million increase in net interest income, attributable to a 12 basis point widening of net interest margin, and a second quarter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other-than-temporary impairment charge of $6 million related to one private collateralized mortgage obligation. For the first nine months of 2008,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Discretionary Portfolio segment incurred a net loss of $57 million, compared with net income of $61 million in the similar 2007 period. The other-than-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temporary impairment charges related to the preferred stock issuances of Fannie Mae and Freddie Mac and the private collateralized mortgage obligation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$153 million and $6 million, respectively, a $44 million increase in the provision for credit losses, resulting largely from higher net charge-offs of Alt-A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loans, and higher noninterest expenses of $21 million, mainly from increases in professional services and foreclosure-related costs, were the main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contributing to the poorer performance in the current year as compared with 2007. Partially offsetting those unfavorable factors was a $28 million rise in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the result of a 26 basis point widening of the net interest margin on investment securities, and a 27% increase in the average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 portfolio, reflecting the late-2007 and 2008 securitization transactions.</w:t>
      </w:r>
    </w:p>
    <w:p>
      <w:pPr>
        <w:spacing w:after="0" w:line="103"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The Residential Mortgage Banking segment incurred net losses of $18 million and $10 million in the two most recent quarters, compared with net income of $6 million in the third quarter of 2007. The decline in net contribution as compared with the third quarter of 2007 resulted from a $33 million increase in the provision for credit losses, due predominantly to higher net charge-offs of loans to builders and developers of residential real estate properties, and a</w:t>
      </w:r>
    </w:p>
    <w:p>
      <w:pPr>
        <w:ind w:right="460"/>
        <w:spacing w:after="0" w:line="261" w:lineRule="auto"/>
        <w:rPr>
          <w:sz w:val="20"/>
          <w:szCs w:val="20"/>
          <w:color w:val="auto"/>
        </w:rPr>
      </w:pPr>
      <w:r>
        <w:rPr>
          <w:rFonts w:ascii="Arial" w:cs="Arial" w:eastAsia="Arial" w:hAnsi="Arial"/>
          <w:sz w:val="18"/>
          <w:szCs w:val="18"/>
          <w:color w:val="auto"/>
        </w:rPr>
        <w:t>$4 million decrease in net interest income, largely due to a 38 basis point narrowing of the net interest margin on loans and the impact of a $191 million decrease in average loan balances outstanding. The higher net loss in the third quarter of 2008 as compared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the immediately preceding quarter mainly resulted from a $1 million addition to the capitalized mortgage servicing rights valuation allowance in the recent quarter, compared with a $9 million partial reversal of such allowance in the second quarter of 2008. Also contributing to the unfavorable performance was a decline in net interest income of $4 million, the result of a 31 basis point narrowing of the loan net interest margin and a $275 million decline in average loan balances outstanding, partially offset by a $6 million decrease in the provision for credit losses, primarily due to lower net charge-offs of loans to builders and developers of residential real estate properties in the recent quarter. For the nine-month period ended September 30, 2008, the Residential Mortgage Banking segment incurred a net loss of $23 million, compared with net income of $14 million in the corresponding 2007 period. The main factor contributing to that decline was a $76 million increase in the provision for credit losses due to higher net charge-offs of loans to builders and developers of residential real estate properties. Also contributing to the decline was an $11 million decrease in net interest income, largely due to lower average loan balances outstanding of $376 million and a 15 basis point narrowing of the net interest margin associated with such loans, and reversals of portions of the valuation allowance for the impairment of capitalized mortgage servicing rights, which totaled $3 million and $6 million in the nine months ended September 30, 2008 and 2007, respectively. Partially offsetting those unfavorable factors was a $27 million increase in mortgage banking revenues, largely due to the $18 million loss recognized in 2007 related to Alt-A residential mortgage loans, and a $5 million current year increase from the adoption of accounting pronouncements that accelerated the recognition of certain mortgage banking revenues.</w:t>
      </w:r>
    </w:p>
    <w:p>
      <w:pPr>
        <w:spacing w:after="0" w:line="80"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Net income for the Retail Banking segment totaled $58 million in 2008’s third quarter, down 28% from the $81 million earned in the year-earlier quarter, and 7% below the $63 million earned in the second quarter of 2008. The unfavorable performance as compared with last year’s third quarter was largely due to a $15 million decline in net interest income, the result of a 54 basis point narrowing of the net interest margin on deposit products, offset, in part, by the impact of a $1.9 billion increase in average deposit balances; a higher provision for credit losses of $11 million, mainly due to higher net loan charge-offs; and a $13 million increase in noninterest expenses, reflecting higher costs for personnel, net occupancy, and advertising and promotion, due in part to the impact of the late-2007 acquisition transactions. As compared with the second quarter of 2008, a $6 million increase in the provision for credit losses, reflecting higher charge-offs of loans, and lower net interest income of $5 million, largely the result of a 9 basis point narrowing of the net interest margin on deposits, were the main factors contributing to the decline in net income. Net contribution for this segment aggregated $197 million during the first nine months of 2008, down 19% from $242 million earned in the similar 2007 period. Increases in the provision for credit losses of $25 million, due to higher net charge-offs of loans; personnel costs of $18 million, reflecting merit increases, higher benefits expense and the impact of the late-2007 acquisitions; net occupancy expenses of $11 million, largely the result of the 2007 acquisitions, and higher advertising and promotion costs of $5 million were the leading factors contributing to the unfavorable performance as compared with the first nine months of 2007. Also contributing to the decline in net contribution was lower net interest income of $9 million, largely due to the narrowing of the net interest margins on deposits and loans of 31 basis points and 13 basis points, respectively, offset, in part, by the impact of higher average deposit and loan balances of $1.3 billion and $1.2 billion, respectively.</w:t>
      </w:r>
    </w:p>
    <w:p>
      <w:pPr>
        <w:spacing w:after="0" w:line="64"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as determined in accordance with SFAS No. 131, such as the M&amp;T Investment Group, which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includes the Company’s trust, brokerage and insurance businesses. Also reflected in this category are the amortization of core deposit and other intangible assets resulting from the acquisitions of financial institutions, M&amp;T’s equity in the earnings of BLG, merger-related expenses resulting from acquisitions and the net impact of the Company’s allocation methodologies for internal funds transfer pricing and the provision for credit losses. The various components of the “All Other” category resulted in net income of $4 million in the third quarter of 2008, compared with net losses in the year-earlier quarter and the second quarter of 2008 of $35 million and $23 million, respectively. As compared with the third quarter of 2007, the increase in net income mainly resulted from a $40 million reduction of income tax expense in the current quarter relating to M&amp;T’s resolution of certain tax issues related to its activities in various jurisdictions. Also contributing to the improvement was the favorable impact from the Company’s allocation methodologies for internal transfers for funding charges and credits associated with earning assets and interest-bearing liabilities of the Company’s reportable segments and the provision for credit losses. Partially offsetting those positive factors were increases in personnel and professional services costs of $15 million and $10 million, respectively, related to the business and support units included in the “All Other” category, and a $3 million charitable contribution made in the recent quarter to The M&amp;T Charitable Foundation. Included in the recent quarter’s results was an $11 million after-tax reduction of net income from M&amp;T’s investment in BLG (inclusive of interest expense to fund that investment), compared with a similar $9 million reduction in the third quarter of 2007. The higher net income in the recent quarter as compared with the second quarter of 2008 resulted from the previously mentioned $40 million reduction of income tax expense, offset, in part, by the negative impact from the Company’s allocation methodologies for internal transfers for funding charges and credits associated with the earning assets and interest-bearing liabilities of the Company’s reportable segments and the provision for credit losses, a $4 million increase in professional services costs related to the business and support units included in the “All Other” category, and the $3 million charitable contribution. M&amp;T’s pro-rata portion of the operating results of BLG reduced net income in the second quarter of 2008 by $10 million. For the first nine months of 2008, the “All Other” category incurred a net loss of $56 million, compared with a net loss of $102 million in the similar 2007 period. The lower net loss in 2008 as compared with 2007 resulted from several factors, including the $40 million reduction of income tax expense noted above; the previously mentioned $33 million gain realized in the first quarter of 2008 from the mandatory partial redemption of Visa stock owned by M&amp;T Bank; the $15 million related to the reversal in the first quarter of 2008 of the Visa litigation-related accruals initially made in the fourth quarter of 2007; and the favorable impact from the Company’s allocation methodologies for internal transfers for funding charges and credits associated with earning assets and interest-bearing liabilities of the Company’s reportable segments and the provision for credit losses. Partially offsetting those favorable factors were higher personnel and professional services costs of $12 million and $18 million, respectively, related to the business and support units included in the “All Other” category; a $14 million after-tax reduction of the contribution from M&amp;T’s investment in BLG, inclusive of interest expense to fund that investment; and the $3 million charitable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Effective January 1, 2008, the Company adopted Statement of Financial (“SFAS”) No. 157, “Fair Value Measurements,” for fair value measurements of certain of its financial instruments. The provisions of SFAS No. 157 that pertain to measurement of non-financial assets and liabilities have been deferred by the Financial Accounting Standards Board (“FASB”) until 2009.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SFAS No. 157 defines fair value, establishes a framework for measuring fair value in GAAP, and expands disclosures about fair value measurements. SFAS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 157 applies to fair value measurements required or permitted under other accounting pronouncements, but does not require any new fair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measurements. The definition of fair value is clarified by SFAS No. 157 to be the price that would be received to sell an asset or paid to transfer a liability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orderly transaction between market participants at the measurement date. At September 30, 2008, approximately $2.9 billion or 34%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billion of assets and liabilities measured using fair value measurements on a recurring basis were classified as Level 3 valuations. The Level 3 classified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are primarily comprised of available-for-sale privately issued collateralized mortgage obligations. Such securities have been classified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Level 3 valuation because of limited trading activities or less observable valuation inputs. Fair valuation losses on Level 3 available-for-sale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of $34 million and $124 million were recognized during the third quarter of 2008 and the nine-month period ended September 30, 2008,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as a reduction of other comprehensive income, with no gains or losses recognized through earnings. As previously disclosed, with the exception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security upon which the Company recognized a $6 million other-than-temporary impairment charge in 2008’s second quarter, as of September 30,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believed that it was not probable that it would be unable to collect all principal and interest payments on its portfolio of collateralized mortgage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and, therefore, the Company believed that the unrealized losses on those securities were temporary. Nevertheless, as previously noted,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closely monitors the repayment performance of investment securities and underlying collateral on a regular basis and as a result of such monitoring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additional investment securities could be identified as other-than-temporarily impaired in future periods.</w:t>
      </w:r>
    </w:p>
    <w:p>
      <w:pPr>
        <w:spacing w:after="0" w:line="103" w:lineRule="exact"/>
        <w:rPr>
          <w:sz w:val="20"/>
          <w:szCs w:val="20"/>
          <w:color w:val="auto"/>
        </w:rPr>
      </w:pPr>
    </w:p>
    <w:p>
      <w:pPr>
        <w:ind w:firstLine="215"/>
        <w:spacing w:after="0" w:line="283" w:lineRule="auto"/>
        <w:rPr>
          <w:sz w:val="20"/>
          <w:szCs w:val="20"/>
          <w:color w:val="auto"/>
        </w:rPr>
      </w:pPr>
      <w:r>
        <w:rPr>
          <w:rFonts w:ascii="Arial" w:cs="Arial" w:eastAsia="Arial" w:hAnsi="Arial"/>
          <w:sz w:val="16"/>
          <w:szCs w:val="16"/>
          <w:color w:val="auto"/>
        </w:rPr>
        <w:t>As a result of market inactivity and a lack of observable valuation inputs, approximately $2.2 billion of privately issued collateralized mortgage obligations in the Company’s available-for-sale investment securities portfolio were transferred out of a Level 2 classification and into a Level 3 classification during the third quarter of 2008. Offsetting the transfer into Level 3 were certain privately issued mortgage-backed securities securitized by Bayview Financial with a fair value of $298 million that were transferred from the Company’s available-for-sale portfolio to its held-to- maturity portfolio during the quarter ended September 30, 2008, and thus are no longer measured at fair value. In October 2008, the FASB issued FASB Staff Position FAS 157-3, “Determining the Fair Value of a Financial Asset When the Market for That Asset Is Not Active” (“FSP 157-3”). FSP 157-3 clarifies the application of SFAS No. 157 and provides an example to illustrate key considerations in determining the fair value of a financial asset when the market for that financial asset is not active. FSP 157-3 allows for the use of the reporting entity’s own assumptions about future cash flows and appropriately risk-adjusted discount rates when relevant observable inputs are not available to determine the fair value for a financial asset in a dislocated market. The Company considered the guidance provided by FSP 157-3 in its determination of the fair value of its portfolio of privately issued collateralized mortgage obligations. Additionally, at September 30, 2008 commitments to originate mortgage loans for sale with a net fair value loss of $2 million have been classified as a Level 3 valuation. Approximately $1 million and</w:t>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$16 million of fair value changes on commitments to originate mortgage loans for sale were recognized in mortgage banking revenues during the third quarter of 2008 and the nine-month period ended September 30, 2008, respectively. Upon loan origination, the fair value of the derivative loan commitments becomes part of the basis of the closed loans held for sale. Approximately $7 million and $21 million of fair value was transferred from Level 3 to Level 2 classification to reflect the closing of commitments into originated loans held for sale during the third quarter of 2008 and the nine-month period ended September 30, 2008, respectively. Information concerning fair value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measurements and the Company’s approach to and classification of such measurements is included in note 10 of Notes to Financial Statements.</w:t>
      </w:r>
    </w:p>
    <w:p>
      <w:pPr>
        <w:spacing w:after="0" w:line="129" w:lineRule="exact"/>
        <w:rPr>
          <w:sz w:val="20"/>
          <w:szCs w:val="20"/>
          <w:color w:val="auto"/>
        </w:rPr>
      </w:pPr>
    </w:p>
    <w:p>
      <w:pPr>
        <w:ind w:right="200" w:firstLine="225"/>
        <w:spacing w:after="0" w:line="284" w:lineRule="auto"/>
        <w:rPr>
          <w:sz w:val="20"/>
          <w:szCs w:val="20"/>
          <w:color w:val="auto"/>
        </w:rPr>
      </w:pPr>
      <w:r>
        <w:rPr>
          <w:rFonts w:ascii="Arial" w:cs="Arial" w:eastAsia="Arial" w:hAnsi="Arial"/>
          <w:sz w:val="16"/>
          <w:szCs w:val="16"/>
          <w:color w:val="auto"/>
        </w:rPr>
        <w:t>In December 2007, the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 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w:t>
      </w:r>
    </w:p>
    <w:p>
      <w:pPr>
        <w:spacing w:after="0" w:line="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SFAS No. 141’s cost-allocation process, which required the cost of an acquisition to be allocated to the individual assets acquired and liabilities assumed based on their estimated fair values. As a result, certain acquisition-related costs previously included in the cost of an acquisition will be required to be expensed as incurred. In addition, certain restructuring costs previously recognized as if they were an assumed liability from an acquisition, will be required to be expensed. SFAS No. 141R also requires the acquirer in a business combination achieved in stages (sometimes referred to as a step acquisition) to recognize the identifiable assets and liabilities, as well as the noncontrolling interest in the acquiree, at the full amounts of their fair values. SFAS No. 141R also requires an acquirer to recognize assets acquired and liabilities assumed arising from contractual contingencies as of the acquisition date, measured at their acquisition-date fair values. An acquirer is required to recognize assets or liabilities arising from all other contingencies (noncontractual contingencies) as of the acquisition date, measured at their acquisition-date fair values, only if it is more likely than not that they meet the definition of an asset or a liability in FASB Concepts Statement No. 6, “Elements of Financial Statements.” The statement requires the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 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should be applied prospectively to business combinations for which the acquisition date is on or after the beginning of the first annual reporting period beginning on or after December 15, 2008. Earlier adoption is prohibited. The Company believes that the adoption of SFAS No. 141R will significantly impact its accounting for any acquisitions it may consummate in 2009 and beyond.</w:t>
      </w:r>
    </w:p>
    <w:p>
      <w:pPr>
        <w:spacing w:after="0" w:line="68"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Also in December 2007, the FASB issued SFAS No. 160, “Noncontrolling Interests in Consolidated Financial Statements — an amendment of ARB No. 51.” A noncontrolling interest, sometimes called a minority interest, is a portion of equity in a subsidiary not attributable, directly or indirectly, to a parent. SFAS No. 160 requires that the ownership interest in subsidiaries held by parties other than the parent be clearly identified, labeled and presented in the consolidated statement of financial position within equity, but separate from the parent’s equity. The amount of consolidated net income attributable to the parent and to the noncontrolling interest is required to be clearly identified and presented on the face of the consolidated statement of income. SFAS No. 160 also requires entities to provide disclosures that clearly identify and distinguish between the interests of the parent and the interests of the noncontrolling owners. SFAS No. 160 should be applied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prospectively as of the beginning of a fiscal year beginning on or after December 15, 2008. Earlier adoption is prohibited. The Company does not anticipate that the adoption of SFAS No. 160 will have a significant impact on the reporting of its financial position or results of its operations.</w:t>
      </w:r>
    </w:p>
    <w:p>
      <w:pPr>
        <w:spacing w:after="0" w:line="3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February 2008, the FASB issued FASB Staff Position FAS 140-3, “Accounting for Transfers and Servicing of Financial Assets and Extinguishment of Liabilities” (“FSP 140-3”). FSP 140-3 was issued to provide guidance on accounting for a transfer of a financial asset and repurchase financing. FSP 140-3 presumes that an initial transfer of a financial asset and a repurchase financing are considered part of the same arrangement (“linked transaction”) under SFAS No. 140, “Accounting for Transfers and Servicing of Financial Assets and Extinguishments of Liabilities.” However, if certain criteria are met, the initial transfer and repurchase financing should not be evaluated as a linked transaction and should be evaluated separately under SFAS No. 140. FSP 140-3 is effective for financial statements issued for fiscal years beginning after November 15, 2008 and interim periods within those fiscal years. Earlier application is not permitted. FSP 140-3 should be applied prospectively to initial transfers and repurchase financings for which the initial transfer is executed on or after the beginning of the fiscal year for which FSP 140-3 is effective. The Company does not believe that the adoption of FSP 140-3 will have a material impact on its financial position or results of operations.</w:t>
      </w:r>
    </w:p>
    <w:p>
      <w:pPr>
        <w:spacing w:after="0" w:line="74"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FASB issued SFAS No. 161, “Disclosures about Derivative Instruments and Hedging Activities,” in March 2008. SFAS No. 161 requires enhanced disclosures about an entity’s derivative and hedging activities including (a) how and why an entity uses derivative instruments, (b) how derivative instruments and related hedging items are accounted for under SFAS No. 133, “Accounting for Derivative Instruments and Hedging Activities,” and its related interpretations, and (c) how derivative instruments and related hedged items affect an entity’s financial position, financial performance and cash flows. SFAS No. 161 is effective for financial statements issued for fiscal years and interim periods beginning after November 15, 2008, with earlier application encouraged. The Company intends to comply with the disclosure requirements of SFAS No. 161.</w:t>
      </w:r>
    </w:p>
    <w:p>
      <w:pPr>
        <w:spacing w:after="0" w:line="70"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In September 2008, the FASB issued FASB Staff Position FAS 133-1 and FIN 45-4, “Disclosures about Credit Derivatives and Certain Guarantees: An Amendment of FASB Statement No. 133 and FASB Interpretation No. 45; and Clarification of the Effective Date of FASB Statement No. 161” (“FSP 133-1</w:t>
      </w:r>
    </w:p>
    <w:p>
      <w:pPr>
        <w:ind w:firstLine="8"/>
        <w:spacing w:after="0" w:line="252"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 45-4”). FSP 133-1 &amp; FIN 45-4 was issued to require sellers of credit derivatives, including credit derivatives embedded in a hybrid instrument, to provide disclosures about the current status of the payment/performance risk of guarantees, and to clarify the effective date of FASB Statement No. 161, “Disclosures about Derivative Instruments and Hedging Activities.” Disclosures about credit derivatives will include the nature of the credit derivative, the maximum potential amount of future payments the seller could be required to make, the fair value of the credit derivative, and the nature of any recourse provisions and collateral. For guarantors that provide credit risk-related guarantees, the payment/performance risk disclosure could be based on either recently issued external credit ratings or current internal groupings used by the guarantor to manage its risk. FSP 133-1 &amp; FIN 45-4 is effective for reporting periods ending after November 15, 2008. The Company is still evaluating the provisions of FSP 133-1 &amp; FIN 45-4 and intends to comply with its disclosure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on loans, other assets and collateral securing loans;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w w:val="89"/>
              </w:rPr>
              <w:t>Table 1</w:t>
            </w: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2008 Quarters</w:t>
            </w: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Third</w:t>
            </w:r>
          </w:p>
        </w:tc>
        <w:tc>
          <w:tcPr>
            <w:tcW w:w="14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Second</w:t>
            </w:r>
          </w:p>
        </w:tc>
        <w:tc>
          <w:tcPr>
            <w:tcW w:w="128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First</w:t>
            </w:r>
          </w:p>
        </w:tc>
        <w:tc>
          <w:tcPr>
            <w:tcW w:w="130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Fourth</w:t>
            </w:r>
          </w:p>
        </w:tc>
        <w:tc>
          <w:tcPr>
            <w:tcW w:w="1720" w:type="dxa"/>
            <w:vAlign w:val="bottom"/>
            <w:tcBorders>
              <w:bottom w:val="single" w:sz="8" w:color="auto"/>
            </w:tcBorders>
          </w:tcPr>
          <w:p>
            <w:pPr>
              <w:jc w:val="right"/>
              <w:ind w:right="868"/>
              <w:spacing w:after="0" w:line="142" w:lineRule="exact"/>
              <w:rPr>
                <w:sz w:val="20"/>
                <w:szCs w:val="20"/>
                <w:color w:val="auto"/>
              </w:rPr>
            </w:pPr>
            <w:r>
              <w:rPr>
                <w:rFonts w:ascii="Arial" w:cs="Arial" w:eastAsia="Arial" w:hAnsi="Arial"/>
                <w:sz w:val="14"/>
                <w:szCs w:val="14"/>
                <w:color w:val="auto"/>
              </w:rPr>
              <w:t>Third</w:t>
            </w:r>
          </w:p>
        </w:tc>
        <w:tc>
          <w:tcPr>
            <w:tcW w:w="96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w w:val="88"/>
              </w:rPr>
              <w:t>Second</w:t>
            </w:r>
          </w:p>
        </w:tc>
        <w:tc>
          <w:tcPr>
            <w:tcW w:w="11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and dividends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i w:val="1"/>
                <w:iCs w:val="1"/>
                <w:color w:val="auto"/>
              </w:rPr>
              <w:t>Amounts in thousands, except per</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i w:val="1"/>
                <w:iCs w:val="1"/>
                <w:color w:val="auto"/>
              </w:rPr>
              <w:t>share</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Interest income (taxable-equivalent</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basis)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86"/>
              </w:rPr>
              <w:t>806,614</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823,425</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889,945</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918,200</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898,126</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86"/>
              </w:rPr>
              <w:t>883,148</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866,172</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w w:val="86"/>
              </w:rPr>
              <w:t>313,115</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330,942</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405,312</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442,364</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425,326</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86"/>
              </w:rPr>
              <w:t>416,264</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410,622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493,499</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492,483</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484,633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475,836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472,800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466,884</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455,550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101,000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100,000</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60,000</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101,000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34,000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30,000</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27,000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113,717</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271,182</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312,663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160,490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252,899</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283,117</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236,483</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Less: other expense</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w w:val="86"/>
              </w:rPr>
              <w:t>434,763</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419,710</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425,704</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445,473</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390,528</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86"/>
              </w:rPr>
              <w:t>392,651</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399,037</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71,453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243,955</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311,592</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89,853</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301,171</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327,350</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265,996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Applicable income taxes (benefit)</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5"/>
              </w:rPr>
              <w:t>(24,992)</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77,839</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103,613</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19,297</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96,872</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86"/>
              </w:rPr>
              <w:t>108,209</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84,900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5,260</w:t>
            </w:r>
          </w:p>
        </w:tc>
        <w:tc>
          <w:tcPr>
            <w:tcW w:w="144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5,851</w:t>
            </w:r>
          </w:p>
        </w:tc>
        <w:tc>
          <w:tcPr>
            <w:tcW w:w="12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5,783</w:t>
            </w:r>
          </w:p>
        </w:tc>
        <w:tc>
          <w:tcPr>
            <w:tcW w:w="13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5,626</w:t>
            </w:r>
          </w:p>
        </w:tc>
        <w:tc>
          <w:tcPr>
            <w:tcW w:w="1720" w:type="dxa"/>
            <w:vAlign w:val="bottom"/>
            <w:tcBorders>
              <w:bottom w:val="single" w:sz="8" w:color="auto"/>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5,112</w:t>
            </w: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4,972</w:t>
            </w:r>
          </w:p>
        </w:tc>
        <w:tc>
          <w:tcPr>
            <w:tcW w:w="11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5,123</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91,185</w:t>
            </w:r>
          </w:p>
        </w:tc>
        <w:tc>
          <w:tcPr>
            <w:tcW w:w="14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160,265</w:t>
            </w:r>
          </w:p>
        </w:tc>
        <w:tc>
          <w:tcPr>
            <w:tcW w:w="12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202,196</w:t>
            </w:r>
          </w:p>
        </w:tc>
        <w:tc>
          <w:tcPr>
            <w:tcW w:w="13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64,930</w:t>
            </w:r>
          </w:p>
        </w:tc>
        <w:tc>
          <w:tcPr>
            <w:tcW w:w="172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rPr>
              <w:t>199,187</w:t>
            </w:r>
          </w:p>
        </w:tc>
        <w:tc>
          <w:tcPr>
            <w:tcW w:w="96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86"/>
              </w:rPr>
              <w:t>214,169</w:t>
            </w:r>
          </w:p>
        </w:tc>
        <w:tc>
          <w:tcPr>
            <w:tcW w:w="11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175,973</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common share data</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.83</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1.45</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1.84</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1.86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1.98</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.82</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1.44</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1.82</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1.83</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1.95</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.70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.70</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.70</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.70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.70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.60</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110,265</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110,191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110,017</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107,859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107,056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86"/>
              </w:rPr>
              <w:t>107,939</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109,694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110,807</w:t>
            </w:r>
          </w:p>
        </w:tc>
        <w:tc>
          <w:tcPr>
            <w:tcW w:w="144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111,227</w:t>
            </w:r>
          </w:p>
        </w:tc>
        <w:tc>
          <w:tcPr>
            <w:tcW w:w="12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110,967</w:t>
            </w:r>
          </w:p>
        </w:tc>
        <w:tc>
          <w:tcPr>
            <w:tcW w:w="13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109,034</w:t>
            </w:r>
          </w:p>
        </w:tc>
        <w:tc>
          <w:tcPr>
            <w:tcW w:w="1720" w:type="dxa"/>
            <w:vAlign w:val="bottom"/>
            <w:tcBorders>
              <w:bottom w:val="single" w:sz="8" w:color="auto"/>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108,957</w:t>
            </w: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109,919</w:t>
            </w:r>
          </w:p>
        </w:tc>
        <w:tc>
          <w:tcPr>
            <w:tcW w:w="11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112,187</w:t>
            </w:r>
          </w:p>
        </w:tc>
        <w:tc>
          <w:tcPr>
            <w:tcW w:w="20" w:type="dxa"/>
            <w:vAlign w:val="bottom"/>
          </w:tcPr>
          <w:p>
            <w:pPr>
              <w:spacing w:after="0"/>
              <w:rPr>
                <w:sz w:val="12"/>
                <w:szCs w:val="12"/>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Performance ratios, annualized</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32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.56%</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.98%</w:t>
            </w:r>
          </w:p>
        </w:tc>
        <w:tc>
          <w:tcPr>
            <w:tcW w:w="12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1.25%</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.42%</w:t>
            </w:r>
          </w:p>
        </w:tc>
        <w:tc>
          <w:tcPr>
            <w:tcW w:w="1720" w:type="dxa"/>
            <w:vAlign w:val="bottom"/>
          </w:tcPr>
          <w:p>
            <w:pPr>
              <w:jc w:val="right"/>
              <w:ind w:right="688"/>
              <w:spacing w:after="0" w:line="149" w:lineRule="exact"/>
              <w:rPr>
                <w:sz w:val="20"/>
                <w:szCs w:val="20"/>
                <w:color w:val="auto"/>
              </w:rPr>
            </w:pPr>
            <w:r>
              <w:rPr>
                <w:rFonts w:ascii="Arial" w:cs="Arial" w:eastAsia="Arial" w:hAnsi="Arial"/>
                <w:sz w:val="14"/>
                <w:szCs w:val="14"/>
                <w:color w:val="auto"/>
              </w:rPr>
              <w:t>1.37%</w:t>
            </w:r>
          </w:p>
        </w:tc>
        <w:tc>
          <w:tcPr>
            <w:tcW w:w="9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1.49%</w:t>
            </w:r>
          </w:p>
        </w:tc>
        <w:tc>
          <w:tcPr>
            <w:tcW w:w="11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Average common stockholders’</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5.66%</w:t>
            </w:r>
          </w:p>
        </w:tc>
        <w:tc>
          <w:tcPr>
            <w:tcW w:w="14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9.96%</w:t>
            </w:r>
          </w:p>
        </w:tc>
        <w:tc>
          <w:tcPr>
            <w:tcW w:w="12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12.49%</w:t>
            </w:r>
          </w:p>
        </w:tc>
        <w:tc>
          <w:tcPr>
            <w:tcW w:w="13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4.05%</w:t>
            </w:r>
          </w:p>
        </w:tc>
        <w:tc>
          <w:tcPr>
            <w:tcW w:w="172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12.78%</w:t>
            </w:r>
          </w:p>
        </w:tc>
        <w:tc>
          <w:tcPr>
            <w:tcW w:w="9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13.92%</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11.38%</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Net interest margin on average</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earning assets (taxable-equivalent</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basis)</w:t>
            </w:r>
          </w:p>
        </w:tc>
        <w:tc>
          <w:tcPr>
            <w:tcW w:w="32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3.39%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3.39%</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3.38%</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3.45%</w:t>
            </w:r>
          </w:p>
        </w:tc>
        <w:tc>
          <w:tcPr>
            <w:tcW w:w="1720" w:type="dxa"/>
            <w:vAlign w:val="bottom"/>
          </w:tcPr>
          <w:p>
            <w:pPr>
              <w:jc w:val="right"/>
              <w:ind w:right="688"/>
              <w:spacing w:after="0"/>
              <w:rPr>
                <w:sz w:val="20"/>
                <w:szCs w:val="20"/>
                <w:color w:val="auto"/>
              </w:rPr>
            </w:pPr>
            <w:r>
              <w:rPr>
                <w:rFonts w:ascii="Arial" w:cs="Arial" w:eastAsia="Arial" w:hAnsi="Arial"/>
                <w:sz w:val="14"/>
                <w:szCs w:val="14"/>
                <w:color w:val="auto"/>
              </w:rPr>
              <w:t>3.65%</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3.67%</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3.64%</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Nonperforming loans to total loans</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leases, net of unearned</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discount</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1.46%</w:t>
            </w:r>
          </w:p>
        </w:tc>
        <w:tc>
          <w:tcPr>
            <w:tcW w:w="14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1.20%</w:t>
            </w:r>
          </w:p>
        </w:tc>
        <w:tc>
          <w:tcPr>
            <w:tcW w:w="12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1.00%</w:t>
            </w:r>
          </w:p>
        </w:tc>
        <w:tc>
          <w:tcPr>
            <w:tcW w:w="13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.93%</w:t>
            </w:r>
          </w:p>
        </w:tc>
        <w:tc>
          <w:tcPr>
            <w:tcW w:w="172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.83%</w:t>
            </w:r>
          </w:p>
        </w:tc>
        <w:tc>
          <w:tcPr>
            <w:tcW w:w="9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.68%</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Efficiency ratio (a)</w:t>
            </w: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57.24%</w:t>
            </w:r>
          </w:p>
        </w:tc>
        <w:tc>
          <w:tcPr>
            <w:tcW w:w="144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54.57%</w:t>
            </w:r>
          </w:p>
        </w:tc>
        <w:tc>
          <w:tcPr>
            <w:tcW w:w="128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55.27%</w:t>
            </w:r>
          </w:p>
        </w:tc>
        <w:tc>
          <w:tcPr>
            <w:tcW w:w="13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56.39%</w:t>
            </w:r>
          </w:p>
        </w:tc>
        <w:tc>
          <w:tcPr>
            <w:tcW w:w="1720" w:type="dxa"/>
            <w:vAlign w:val="bottom"/>
            <w:tcBorders>
              <w:bottom w:val="single" w:sz="8" w:color="auto"/>
            </w:tcBorders>
          </w:tcPr>
          <w:p>
            <w:pPr>
              <w:jc w:val="right"/>
              <w:ind w:right="688"/>
              <w:spacing w:after="0" w:line="149" w:lineRule="exact"/>
              <w:rPr>
                <w:sz w:val="20"/>
                <w:szCs w:val="20"/>
                <w:color w:val="auto"/>
              </w:rPr>
            </w:pPr>
            <w:r>
              <w:rPr>
                <w:rFonts w:ascii="Arial" w:cs="Arial" w:eastAsia="Arial" w:hAnsi="Arial"/>
                <w:sz w:val="14"/>
                <w:szCs w:val="14"/>
                <w:color w:val="auto"/>
              </w:rPr>
              <w:t>53.80%</w:t>
            </w:r>
          </w:p>
        </w:tc>
        <w:tc>
          <w:tcPr>
            <w:tcW w:w="96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52.37%</w:t>
            </w:r>
          </w:p>
        </w:tc>
        <w:tc>
          <w:tcPr>
            <w:tcW w:w="112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57.75%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operating (tangible) results (b)</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100,809</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170,361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215,597</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83,719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208,749</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86"/>
              </w:rPr>
              <w:t>224,190</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187,162</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Diluted net operating income per</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share</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.91</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1.53</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1.94</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.77</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1.92</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2.04</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Annualized return on</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.65%</w:t>
            </w:r>
          </w:p>
        </w:tc>
        <w:tc>
          <w:tcPr>
            <w:tcW w:w="14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1.10%</w:t>
            </w:r>
          </w:p>
        </w:tc>
        <w:tc>
          <w:tcPr>
            <w:tcW w:w="12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1.41%</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.57%</w:t>
            </w:r>
          </w:p>
        </w:tc>
        <w:tc>
          <w:tcPr>
            <w:tcW w:w="172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1.51%</w:t>
            </w:r>
          </w:p>
        </w:tc>
        <w:tc>
          <w:tcPr>
            <w:tcW w:w="9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1.65%</w:t>
            </w:r>
          </w:p>
        </w:tc>
        <w:tc>
          <w:tcPr>
            <w:tcW w:w="11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Average tangible common</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13.17%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22.20%</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27.86%</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10.49%</w:t>
            </w:r>
          </w:p>
        </w:tc>
        <w:tc>
          <w:tcPr>
            <w:tcW w:w="1720" w:type="dxa"/>
            <w:vAlign w:val="bottom"/>
          </w:tcPr>
          <w:p>
            <w:pPr>
              <w:jc w:val="right"/>
              <w:ind w:right="688"/>
              <w:spacing w:after="0"/>
              <w:rPr>
                <w:sz w:val="20"/>
                <w:szCs w:val="20"/>
                <w:color w:val="auto"/>
              </w:rPr>
            </w:pPr>
            <w:r>
              <w:rPr>
                <w:rFonts w:ascii="Arial" w:cs="Arial" w:eastAsia="Arial" w:hAnsi="Arial"/>
                <w:sz w:val="14"/>
                <w:szCs w:val="14"/>
                <w:color w:val="auto"/>
              </w:rPr>
              <w:t>26.80%</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29.35%</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24.11%</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Efficiency ratio (a)</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55.16%</w:t>
            </w:r>
          </w:p>
        </w:tc>
        <w:tc>
          <w:tcPr>
            <w:tcW w:w="144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52.41%</w:t>
            </w:r>
          </w:p>
        </w:tc>
        <w:tc>
          <w:tcPr>
            <w:tcW w:w="12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52.85%</w:t>
            </w:r>
          </w:p>
        </w:tc>
        <w:tc>
          <w:tcPr>
            <w:tcW w:w="13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54.30%</w:t>
            </w:r>
          </w:p>
        </w:tc>
        <w:tc>
          <w:tcPr>
            <w:tcW w:w="1720" w:type="dxa"/>
            <w:vAlign w:val="bottom"/>
            <w:tcBorders>
              <w:bottom w:val="single" w:sz="8" w:color="auto"/>
            </w:tcBorders>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51.64%</w:t>
            </w:r>
          </w:p>
        </w:tc>
        <w:tc>
          <w:tcPr>
            <w:tcW w:w="9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50.18%</w:t>
            </w:r>
          </w:p>
        </w:tc>
        <w:tc>
          <w:tcPr>
            <w:tcW w:w="11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55.09%</w:t>
            </w:r>
          </w:p>
        </w:tc>
        <w:tc>
          <w:tcPr>
            <w:tcW w:w="20" w:type="dxa"/>
            <w:vAlign w:val="bottom"/>
          </w:tcPr>
          <w:p>
            <w:pPr>
              <w:spacing w:after="0"/>
              <w:rPr>
                <w:sz w:val="12"/>
                <w:szCs w:val="12"/>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Average balances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64,997</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65,584</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65,015</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61,549</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57,862</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57,523</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57,207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61,627</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62,201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61,614</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58,355</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54,766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54,415</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54,085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57,971</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58,465</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57,713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54,765</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51,325</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50,982</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50,693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9,303</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8,770</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8,924</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7,905</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7,260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6,886</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7,214</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discount</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48,477</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49,522</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48,575</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46,055</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43,750</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43,572</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43,114</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39,503</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39,711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39,999</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38,565</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36,936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37,048</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37,966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Stockholders’ equity (c)</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6,415</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6,469</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6,513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6,360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6,186</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6,172</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6,270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Tangible stockholders’ equity (c)</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3,045</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3,086</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3,112</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3,166</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3,090</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3,064</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3,148</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end of quarter</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65,247</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65,893</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66,086</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64,876</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60,008</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57,869</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57,842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61,883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62,517</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62,696</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61,467</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56,919</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54,767</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54,727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57,430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57,949</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58,030</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57,163</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53,267</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51,131</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51,046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8,433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8,659</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8,676</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8,962</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8,003</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6,982</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7,028</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4"/>
                <w:szCs w:val="14"/>
                <w:color w:val="auto"/>
              </w:rPr>
              <w:t>discount</w:t>
            </w:r>
          </w:p>
        </w:tc>
        <w:tc>
          <w:tcPr>
            <w:tcW w:w="3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48,694</w:t>
            </w:r>
          </w:p>
        </w:tc>
        <w:tc>
          <w:tcPr>
            <w:tcW w:w="1440" w:type="dxa"/>
            <w:vAlign w:val="bottom"/>
          </w:tcPr>
          <w:p>
            <w:pPr>
              <w:jc w:val="right"/>
              <w:ind w:right="448"/>
              <w:spacing w:after="0"/>
              <w:rPr>
                <w:sz w:val="20"/>
                <w:szCs w:val="20"/>
                <w:color w:val="auto"/>
              </w:rPr>
            </w:pPr>
            <w:r>
              <w:rPr>
                <w:rFonts w:ascii="Arial" w:cs="Arial" w:eastAsia="Arial" w:hAnsi="Arial"/>
                <w:sz w:val="14"/>
                <w:szCs w:val="14"/>
                <w:color w:val="auto"/>
              </w:rPr>
              <w:t>49,115</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49,279</w:t>
            </w: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48,022</w:t>
            </w:r>
          </w:p>
        </w:tc>
        <w:tc>
          <w:tcPr>
            <w:tcW w:w="1720" w:type="dxa"/>
            <w:vAlign w:val="bottom"/>
          </w:tcPr>
          <w:p>
            <w:pPr>
              <w:jc w:val="right"/>
              <w:ind w:right="808"/>
              <w:spacing w:after="0"/>
              <w:rPr>
                <w:sz w:val="20"/>
                <w:szCs w:val="20"/>
                <w:color w:val="auto"/>
              </w:rPr>
            </w:pPr>
            <w:r>
              <w:rPr>
                <w:rFonts w:ascii="Arial" w:cs="Arial" w:eastAsia="Arial" w:hAnsi="Arial"/>
                <w:sz w:val="14"/>
                <w:szCs w:val="14"/>
                <w:color w:val="auto"/>
              </w:rPr>
              <w:t>44,778</w:t>
            </w: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43,744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43,507</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42,501</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41,926</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41,533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41,266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38,473</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39,419</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38,938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Stockholders’ equity (c)</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6,417</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6,519</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6,488</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6,485</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6,238</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6,175</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6,253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stockholders’ equity (c)</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3,053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3,143</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3,098</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3,076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3,149</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3,073</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3,138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58.17</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59.12</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58.92</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58.99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58.40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57.59</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57.32</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Tangible equity per common</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share</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27.67</w:t>
            </w:r>
          </w:p>
        </w:tc>
        <w:tc>
          <w:tcPr>
            <w:tcW w:w="14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28.50</w:t>
            </w:r>
          </w:p>
        </w:tc>
        <w:tc>
          <w:tcPr>
            <w:tcW w:w="12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28.14</w:t>
            </w:r>
          </w:p>
        </w:tc>
        <w:tc>
          <w:tcPr>
            <w:tcW w:w="13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27.98</w:t>
            </w:r>
          </w:p>
        </w:tc>
        <w:tc>
          <w:tcPr>
            <w:tcW w:w="172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29.48</w:t>
            </w:r>
          </w:p>
        </w:tc>
        <w:tc>
          <w:tcPr>
            <w:tcW w:w="9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28.66</w:t>
            </w:r>
          </w:p>
        </w:tc>
        <w:tc>
          <w:tcPr>
            <w:tcW w:w="11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28.77</w:t>
            </w:r>
          </w:p>
        </w:tc>
        <w:tc>
          <w:tcPr>
            <w:tcW w:w="20" w:type="dxa"/>
            <w:vAlign w:val="bottom"/>
          </w:tcPr>
          <w:p>
            <w:pPr>
              <w:spacing w:after="0"/>
              <w:rPr>
                <w:sz w:val="14"/>
                <w:szCs w:val="14"/>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Market price per common share</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High</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108.53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98.38</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94.03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108.32</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115.81</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114.33</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125.13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Low</w:t>
            </w:r>
          </w:p>
        </w:tc>
        <w:tc>
          <w:tcPr>
            <w:tcW w:w="32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53.61</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69.90</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70.49</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77.39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97.26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104.00</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112.05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Closing</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89.25</w:t>
            </w:r>
          </w:p>
        </w:tc>
        <w:tc>
          <w:tcPr>
            <w:tcW w:w="144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70.54</w:t>
            </w:r>
          </w:p>
        </w:tc>
        <w:tc>
          <w:tcPr>
            <w:tcW w:w="12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80.48</w:t>
            </w:r>
          </w:p>
        </w:tc>
        <w:tc>
          <w:tcPr>
            <w:tcW w:w="13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81.57</w:t>
            </w:r>
          </w:p>
        </w:tc>
        <w:tc>
          <w:tcPr>
            <w:tcW w:w="1720" w:type="dxa"/>
            <w:vAlign w:val="bottom"/>
            <w:tcBorders>
              <w:bottom w:val="single" w:sz="8" w:color="auto"/>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103.45</w:t>
            </w: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106.90</w:t>
            </w:r>
          </w:p>
        </w:tc>
        <w:tc>
          <w:tcPr>
            <w:tcW w:w="11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115.83</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130" w:lineRule="exact"/>
        <w:rPr>
          <w:rFonts w:ascii="Arial" w:cs="Arial" w:eastAsia="Arial" w:hAnsi="Arial"/>
          <w:sz w:val="18"/>
          <w:szCs w:val="18"/>
          <w:color w:val="auto"/>
        </w:rPr>
      </w:pPr>
    </w:p>
    <w:p>
      <w:pPr>
        <w:jc w:val="both"/>
        <w:ind w:left="460" w:right="160" w:hanging="452"/>
        <w:spacing w:after="0" w:line="34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29" w:lineRule="exact"/>
        <w:rPr>
          <w:rFonts w:ascii="Arial" w:cs="Arial" w:eastAsia="Arial" w:hAnsi="Arial"/>
          <w:sz w:val="16"/>
          <w:szCs w:val="16"/>
          <w:color w:val="auto"/>
        </w:rPr>
      </w:pPr>
    </w:p>
    <w:p>
      <w:pPr>
        <w:ind w:left="460" w:right="480" w:hanging="452"/>
        <w:spacing w:after="0" w:line="34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64"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89"/>
              </w:rPr>
              <w:t>Table 2</w:t>
            </w:r>
          </w:p>
        </w:tc>
      </w:tr>
      <w:tr>
        <w:trPr>
          <w:trHeight w:val="432"/>
        </w:trPr>
        <w:tc>
          <w:tcPr>
            <w:tcW w:w="6300" w:type="dxa"/>
            <w:vAlign w:val="bottom"/>
            <w:gridSpan w:val="6"/>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2008 Quarters</w:t>
            </w:r>
          </w:p>
        </w:tc>
        <w:tc>
          <w:tcPr>
            <w:tcW w:w="1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Third</w:t>
            </w:r>
          </w:p>
        </w:tc>
        <w:tc>
          <w:tcPr>
            <w:tcW w:w="148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First</w:t>
            </w:r>
          </w:p>
        </w:tc>
        <w:tc>
          <w:tcPr>
            <w:tcW w:w="13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Fourth</w:t>
            </w:r>
          </w:p>
        </w:tc>
        <w:tc>
          <w:tcPr>
            <w:tcW w:w="1720" w:type="dxa"/>
            <w:vAlign w:val="bottom"/>
            <w:tcBorders>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rPr>
              <w:t>Third</w:t>
            </w:r>
          </w:p>
        </w:tc>
        <w:tc>
          <w:tcPr>
            <w:tcW w:w="94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w w:val="92"/>
              </w:rPr>
              <w:t>Second</w:t>
            </w:r>
          </w:p>
        </w:tc>
        <w:tc>
          <w:tcPr>
            <w:tcW w:w="11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91,185</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160,265</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202,196</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64,930</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199,187</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0"/>
              </w:rPr>
              <w:t>214,169</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175,973</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 (a)</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9,624</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10,096</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11,241</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9,719</w:t>
            </w:r>
          </w:p>
        </w:tc>
        <w:tc>
          <w:tcPr>
            <w:tcW w:w="172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9,562</w:t>
            </w: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10,021</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11,189</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Merger-related expenses (a)</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2,160</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9,070</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Net operating income</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86"/>
              </w:rPr>
              <w:t>100,809</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170,361</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215,597</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83,719</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208,749</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90"/>
              </w:rPr>
              <w:t>224,190</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187,162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line="155" w:lineRule="exact"/>
              <w:rPr>
                <w:sz w:val="20"/>
                <w:szCs w:val="20"/>
                <w:color w:val="auto"/>
              </w:rPr>
            </w:pPr>
            <w:r>
              <w:rPr>
                <w:rFonts w:ascii="Arial" w:cs="Arial" w:eastAsia="Arial" w:hAnsi="Arial"/>
                <w:sz w:val="14"/>
                <w:szCs w:val="14"/>
                <w:b w:val="1"/>
                <w:bCs w:val="1"/>
                <w:color w:val="auto"/>
              </w:rPr>
              <w:t>Earnings per share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.82</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1.44</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1.82</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.60</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1.83</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1.95</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other intangible assets (a)</w:t>
            </w:r>
          </w:p>
        </w:tc>
        <w:tc>
          <w:tcPr>
            <w:tcW w:w="3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.09</w:t>
            </w:r>
          </w:p>
        </w:tc>
        <w:tc>
          <w:tcPr>
            <w:tcW w:w="1480" w:type="dxa"/>
            <w:vAlign w:val="bottom"/>
          </w:tcPr>
          <w:p>
            <w:pPr>
              <w:jc w:val="right"/>
              <w:ind w:right="448"/>
              <w:spacing w:after="0"/>
              <w:rPr>
                <w:sz w:val="20"/>
                <w:szCs w:val="20"/>
                <w:color w:val="auto"/>
              </w:rPr>
            </w:pPr>
            <w:r>
              <w:rPr>
                <w:rFonts w:ascii="Arial" w:cs="Arial" w:eastAsia="Arial" w:hAnsi="Arial"/>
                <w:sz w:val="14"/>
                <w:szCs w:val="14"/>
                <w:color w:val="auto"/>
              </w:rPr>
              <w:t>.09</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.10</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.09</w:t>
            </w:r>
          </w:p>
        </w:tc>
        <w:tc>
          <w:tcPr>
            <w:tcW w:w="1720" w:type="dxa"/>
            <w:vAlign w:val="bottom"/>
          </w:tcPr>
          <w:p>
            <w:pPr>
              <w:jc w:val="right"/>
              <w:ind w:right="788"/>
              <w:spacing w:after="0"/>
              <w:rPr>
                <w:sz w:val="20"/>
                <w:szCs w:val="20"/>
                <w:color w:val="auto"/>
              </w:rPr>
            </w:pPr>
            <w:r>
              <w:rPr>
                <w:rFonts w:ascii="Arial" w:cs="Arial" w:eastAsia="Arial" w:hAnsi="Arial"/>
                <w:sz w:val="14"/>
                <w:szCs w:val="14"/>
                <w:color w:val="auto"/>
              </w:rPr>
              <w:t>.09</w:t>
            </w: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.09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 (a)</w:t>
            </w: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.02</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.08</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2340" w:type="dxa"/>
            <w:vAlign w:val="bottom"/>
          </w:tcPr>
          <w:p>
            <w:pPr>
              <w:ind w:left="200"/>
              <w:spacing w:after="0" w:line="137" w:lineRule="exact"/>
              <w:rPr>
                <w:sz w:val="20"/>
                <w:szCs w:val="20"/>
                <w:color w:val="auto"/>
              </w:rPr>
            </w:pPr>
            <w:r>
              <w:rPr>
                <w:rFonts w:ascii="Arial" w:cs="Arial" w:eastAsia="Arial" w:hAnsi="Arial"/>
                <w:sz w:val="14"/>
                <w:szCs w:val="14"/>
                <w:color w:val="auto"/>
              </w:rPr>
              <w:t>Diluted net operating earnings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23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per share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.91</w:t>
            </w: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1.53</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1.94</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.77</w:t>
            </w:r>
          </w:p>
        </w:tc>
        <w:tc>
          <w:tcPr>
            <w:tcW w:w="17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1.92</w:t>
            </w: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2.04</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expense</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w w:val="86"/>
              </w:rPr>
              <w:t>434,763</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419,710</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425,704</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445,473</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390,528</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0"/>
              </w:rPr>
              <w:t>392,651</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399,037</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95"/>
              </w:rPr>
              <w:t>(15,840)</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(16,615)</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(18,483)</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(15,971)</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(15,702)</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5"/>
              </w:rPr>
              <w:t>(16,457)</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(18,356)</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Merger-related expenses</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(3,547)</w:t>
            </w:r>
          </w:p>
        </w:tc>
        <w:tc>
          <w:tcPr>
            <w:tcW w:w="132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(14,887)</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86"/>
              </w:rPr>
              <w:t>418,923</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403,095</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403,674</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414,615</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374,826</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90"/>
              </w:rPr>
              <w:t>376,194</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380,681</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line="155" w:lineRule="exact"/>
              <w:rPr>
                <w:sz w:val="20"/>
                <w:szCs w:val="20"/>
                <w:color w:val="auto"/>
              </w:rPr>
            </w:pPr>
            <w:r>
              <w:rPr>
                <w:rFonts w:ascii="Arial" w:cs="Arial" w:eastAsia="Arial" w:hAnsi="Arial"/>
                <w:sz w:val="14"/>
                <w:szCs w:val="14"/>
                <w:b w:val="1"/>
                <w:bCs w:val="1"/>
                <w:color w:val="auto"/>
              </w:rPr>
              <w:t>Merger-related expenses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62</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1,333</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380" w:type="dxa"/>
            <w:vAlign w:val="bottom"/>
          </w:tcPr>
          <w:p>
            <w:pPr>
              <w:spacing w:after="0"/>
              <w:rPr>
                <w:sz w:val="12"/>
                <w:szCs w:val="12"/>
                <w:color w:val="auto"/>
              </w:rPr>
            </w:pP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49</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238</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367</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1,474</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costs of operations</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3,069</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11,842</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3,547</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14,887</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20"/>
        </w:trPr>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3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assets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64,997</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65,584</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65,015</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61,549</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57,862</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57,523</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57,207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(3,192)</w:t>
            </w:r>
          </w:p>
        </w:tc>
        <w:tc>
          <w:tcPr>
            <w:tcW w:w="14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(3,192)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(3,196)</w:t>
            </w:r>
          </w:p>
        </w:tc>
        <w:tc>
          <w:tcPr>
            <w:tcW w:w="13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(3,006)</w:t>
            </w:r>
          </w:p>
        </w:tc>
        <w:tc>
          <w:tcPr>
            <w:tcW w:w="172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(2,909)</w:t>
            </w:r>
          </w:p>
        </w:tc>
        <w:tc>
          <w:tcPr>
            <w:tcW w:w="9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(2,909)</w:t>
            </w:r>
          </w:p>
        </w:tc>
        <w:tc>
          <w:tcPr>
            <w:tcW w:w="11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(2,909)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(206)</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(222)</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(239)</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(213)</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(208)</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(223)</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Deferred taxes</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28</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31</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34</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25</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21</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24</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61,627</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62,201</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61,614</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58,355</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54,766</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54,415</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54,085</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line="155" w:lineRule="exact"/>
              <w:rPr>
                <w:sz w:val="20"/>
                <w:szCs w:val="20"/>
                <w:color w:val="auto"/>
              </w:rPr>
            </w:pPr>
            <w:r>
              <w:rPr>
                <w:rFonts w:ascii="Arial" w:cs="Arial" w:eastAsia="Arial" w:hAnsi="Arial"/>
                <w:sz w:val="14"/>
                <w:szCs w:val="14"/>
                <w:b w:val="1"/>
                <w:bCs w:val="1"/>
                <w:color w:val="auto"/>
              </w:rPr>
              <w:t>Average equity</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equity</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6,415</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6,469</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6,513</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6,360</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6,186</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6,172</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6,270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(3,192)</w:t>
            </w:r>
          </w:p>
        </w:tc>
        <w:tc>
          <w:tcPr>
            <w:tcW w:w="14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(3,192)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(3,196)</w:t>
            </w:r>
          </w:p>
        </w:tc>
        <w:tc>
          <w:tcPr>
            <w:tcW w:w="13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(3,006)</w:t>
            </w:r>
          </w:p>
        </w:tc>
        <w:tc>
          <w:tcPr>
            <w:tcW w:w="172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(2,909)</w:t>
            </w:r>
          </w:p>
        </w:tc>
        <w:tc>
          <w:tcPr>
            <w:tcW w:w="9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(2,909)</w:t>
            </w:r>
          </w:p>
        </w:tc>
        <w:tc>
          <w:tcPr>
            <w:tcW w:w="11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(2,909)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(206)</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(222)</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(239)</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(213)</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(208)</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(223)</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Deferred taxes</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28</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31</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34</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25</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21</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24</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equity</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3,045</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3,086</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3,112</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3,166</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3,090</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3,064</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3,148</w:t>
            </w:r>
          </w:p>
        </w:tc>
        <w:tc>
          <w:tcPr>
            <w:tcW w:w="20" w:type="dxa"/>
            <w:vAlign w:val="bottom"/>
          </w:tcPr>
          <w:p>
            <w:pPr>
              <w:spacing w:after="0"/>
              <w:rPr>
                <w:sz w:val="12"/>
                <w:szCs w:val="12"/>
                <w:color w:val="auto"/>
              </w:rPr>
            </w:pPr>
          </w:p>
        </w:tc>
      </w:tr>
      <w:tr>
        <w:trPr>
          <w:trHeight w:val="20"/>
        </w:trPr>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3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At end of quarter</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65,247</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65,893</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66,086</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64,876</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60,008</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57,869</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57,842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(3,192)</w:t>
            </w:r>
          </w:p>
        </w:tc>
        <w:tc>
          <w:tcPr>
            <w:tcW w:w="14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(3,192)</w:t>
            </w:r>
          </w:p>
        </w:tc>
        <w:tc>
          <w:tcPr>
            <w:tcW w:w="12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(3,192)</w:t>
            </w:r>
          </w:p>
        </w:tc>
        <w:tc>
          <w:tcPr>
            <w:tcW w:w="13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(3,196)</w:t>
            </w:r>
          </w:p>
        </w:tc>
        <w:tc>
          <w:tcPr>
            <w:tcW w:w="172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(2,909)</w:t>
            </w: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(2,909)</w:t>
            </w:r>
          </w:p>
        </w:tc>
        <w:tc>
          <w:tcPr>
            <w:tcW w:w="11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(2,909)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assets</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(199)</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(214)</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(230)</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(249)</w:t>
            </w:r>
          </w:p>
        </w:tc>
        <w:tc>
          <w:tcPr>
            <w:tcW w:w="1720" w:type="dxa"/>
            <w:vAlign w:val="bottom"/>
          </w:tcPr>
          <w:p>
            <w:pPr>
              <w:jc w:val="right"/>
              <w:ind w:right="728"/>
              <w:spacing w:after="0"/>
              <w:rPr>
                <w:sz w:val="20"/>
                <w:szCs w:val="20"/>
                <w:color w:val="auto"/>
              </w:rPr>
            </w:pPr>
            <w:r>
              <w:rPr>
                <w:rFonts w:ascii="Arial" w:cs="Arial" w:eastAsia="Arial" w:hAnsi="Arial"/>
                <w:sz w:val="14"/>
                <w:szCs w:val="14"/>
                <w:color w:val="auto"/>
              </w:rPr>
              <w:t>(200)</w:t>
            </w: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(216)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27</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30</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32</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20</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23</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3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Total tangible assets</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61,883</w:t>
            </w:r>
          </w:p>
        </w:tc>
        <w:tc>
          <w:tcPr>
            <w:tcW w:w="14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62,517</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62,696</w:t>
            </w:r>
          </w:p>
        </w:tc>
        <w:tc>
          <w:tcPr>
            <w:tcW w:w="13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61,467</w:t>
            </w:r>
          </w:p>
        </w:tc>
        <w:tc>
          <w:tcPr>
            <w:tcW w:w="172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56,919</w:t>
            </w: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54,767</w:t>
            </w:r>
          </w:p>
        </w:tc>
        <w:tc>
          <w:tcPr>
            <w:tcW w:w="11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54,727</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Total equity</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6,417</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6,519</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6,488</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6,485</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6,238</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6,175</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6,253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(3,192)</w:t>
            </w:r>
          </w:p>
        </w:tc>
        <w:tc>
          <w:tcPr>
            <w:tcW w:w="14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(3,192)</w:t>
            </w:r>
          </w:p>
        </w:tc>
        <w:tc>
          <w:tcPr>
            <w:tcW w:w="12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(3,192)</w:t>
            </w:r>
          </w:p>
        </w:tc>
        <w:tc>
          <w:tcPr>
            <w:tcW w:w="13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(3,196)</w:t>
            </w:r>
          </w:p>
        </w:tc>
        <w:tc>
          <w:tcPr>
            <w:tcW w:w="172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(2,909)</w:t>
            </w: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(2,909)</w:t>
            </w:r>
          </w:p>
        </w:tc>
        <w:tc>
          <w:tcPr>
            <w:tcW w:w="11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(2,909)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40" w:type="dxa"/>
            <w:vAlign w:val="bottom"/>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assets</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(199)</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(214)</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(230)</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(249)</w:t>
            </w:r>
          </w:p>
        </w:tc>
        <w:tc>
          <w:tcPr>
            <w:tcW w:w="1720" w:type="dxa"/>
            <w:vAlign w:val="bottom"/>
          </w:tcPr>
          <w:p>
            <w:pPr>
              <w:jc w:val="right"/>
              <w:ind w:right="728"/>
              <w:spacing w:after="0"/>
              <w:rPr>
                <w:sz w:val="20"/>
                <w:szCs w:val="20"/>
                <w:color w:val="auto"/>
              </w:rPr>
            </w:pPr>
            <w:r>
              <w:rPr>
                <w:rFonts w:ascii="Arial" w:cs="Arial" w:eastAsia="Arial" w:hAnsi="Arial"/>
                <w:sz w:val="14"/>
                <w:szCs w:val="14"/>
                <w:color w:val="auto"/>
              </w:rPr>
              <w:t>(200)</w:t>
            </w: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(216)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27</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30</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32</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20</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23</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Total tangible equity</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3,053</w:t>
            </w:r>
          </w:p>
        </w:tc>
        <w:tc>
          <w:tcPr>
            <w:tcW w:w="14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3,143</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3,098</w:t>
            </w:r>
          </w:p>
        </w:tc>
        <w:tc>
          <w:tcPr>
            <w:tcW w:w="13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3,076</w:t>
            </w:r>
          </w:p>
        </w:tc>
        <w:tc>
          <w:tcPr>
            <w:tcW w:w="172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3,149</w:t>
            </w: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3,073</w:t>
            </w:r>
          </w:p>
        </w:tc>
        <w:tc>
          <w:tcPr>
            <w:tcW w:w="11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3,138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24"/>
        </w:trPr>
        <w:tc>
          <w:tcPr>
            <w:tcW w:w="7700" w:type="dxa"/>
            <w:vAlign w:val="bottom"/>
            <w:gridSpan w:val="10"/>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3"/>
                <w:szCs w:val="13"/>
                <w:color w:val="auto"/>
                <w:w w:val="82"/>
              </w:rPr>
              <w:t>Average</w:t>
            </w:r>
          </w:p>
        </w:tc>
        <w:tc>
          <w:tcPr>
            <w:tcW w:w="1200" w:type="dxa"/>
            <w:vAlign w:val="bottom"/>
            <w:gridSpan w:val="2"/>
          </w:tcPr>
          <w:p>
            <w:pPr>
              <w:jc w:val="right"/>
              <w:ind w:right="77"/>
              <w:spacing w:after="0"/>
              <w:rPr>
                <w:sz w:val="20"/>
                <w:szCs w:val="20"/>
                <w:color w:val="auto"/>
              </w:rPr>
            </w:pPr>
            <w:r>
              <w:rPr>
                <w:rFonts w:ascii="Arial" w:cs="Arial" w:eastAsia="Arial" w:hAnsi="Arial"/>
                <w:sz w:val="13"/>
                <w:szCs w:val="13"/>
                <w:color w:val="auto"/>
                <w:w w:val="94"/>
              </w:rPr>
              <w:t>2008 Third Quarter</w:t>
            </w:r>
          </w:p>
        </w:tc>
        <w:tc>
          <w:tcPr>
            <w:tcW w:w="940" w:type="dxa"/>
            <w:vAlign w:val="bottom"/>
            <w:vMerge w:val="restart"/>
          </w:tcPr>
          <w:p>
            <w:pPr>
              <w:jc w:val="right"/>
              <w:ind w:right="317"/>
              <w:spacing w:after="0"/>
              <w:rPr>
                <w:sz w:val="20"/>
                <w:szCs w:val="20"/>
                <w:color w:val="auto"/>
              </w:rPr>
            </w:pPr>
            <w:r>
              <w:rPr>
                <w:rFonts w:ascii="Arial" w:cs="Arial" w:eastAsia="Arial" w:hAnsi="Arial"/>
                <w:sz w:val="13"/>
                <w:szCs w:val="13"/>
                <w:color w:val="auto"/>
              </w:rPr>
              <w:t>Average</w:t>
            </w:r>
          </w:p>
        </w:tc>
        <w:tc>
          <w:tcPr>
            <w:tcW w:w="780" w:type="dxa"/>
            <w:vAlign w:val="bottom"/>
            <w:vMerge w:val="restart"/>
          </w:tcPr>
          <w:p>
            <w:pPr>
              <w:jc w:val="right"/>
              <w:ind w:right="97"/>
              <w:spacing w:after="0"/>
              <w:rPr>
                <w:sz w:val="20"/>
                <w:szCs w:val="20"/>
                <w:color w:val="auto"/>
              </w:rPr>
            </w:pPr>
            <w:r>
              <w:rPr>
                <w:rFonts w:ascii="Arial" w:cs="Arial" w:eastAsia="Arial" w:hAnsi="Arial"/>
                <w:sz w:val="13"/>
                <w:szCs w:val="13"/>
                <w:color w:val="auto"/>
              </w:rPr>
              <w:t>Average</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w w:val="90"/>
              </w:rPr>
              <w:t>2008 Second Quarter</w:t>
            </w:r>
          </w:p>
        </w:tc>
        <w:tc>
          <w:tcPr>
            <w:tcW w:w="920" w:type="dxa"/>
            <w:vAlign w:val="bottom"/>
            <w:vMerge w:val="restart"/>
          </w:tcPr>
          <w:p>
            <w:pPr>
              <w:jc w:val="right"/>
              <w:ind w:right="317"/>
              <w:spacing w:after="0"/>
              <w:rPr>
                <w:sz w:val="20"/>
                <w:szCs w:val="20"/>
                <w:color w:val="auto"/>
              </w:rPr>
            </w:pPr>
            <w:r>
              <w:rPr>
                <w:rFonts w:ascii="Arial" w:cs="Arial" w:eastAsia="Arial" w:hAnsi="Arial"/>
                <w:sz w:val="13"/>
                <w:szCs w:val="13"/>
                <w:color w:val="auto"/>
              </w:rPr>
              <w:t>Average</w:t>
            </w:r>
          </w:p>
        </w:tc>
        <w:tc>
          <w:tcPr>
            <w:tcW w:w="840" w:type="dxa"/>
            <w:vAlign w:val="bottom"/>
            <w:vMerge w:val="restart"/>
          </w:tcPr>
          <w:p>
            <w:pPr>
              <w:jc w:val="right"/>
              <w:ind w:right="157"/>
              <w:spacing w:after="0"/>
              <w:rPr>
                <w:sz w:val="20"/>
                <w:szCs w:val="20"/>
                <w:color w:val="auto"/>
              </w:rPr>
            </w:pPr>
            <w:r>
              <w:rPr>
                <w:rFonts w:ascii="Arial" w:cs="Arial" w:eastAsia="Arial" w:hAnsi="Arial"/>
                <w:sz w:val="13"/>
                <w:szCs w:val="13"/>
                <w:color w:val="auto"/>
              </w:rPr>
              <w:t>Average</w:t>
            </w:r>
          </w:p>
        </w:tc>
        <w:tc>
          <w:tcPr>
            <w:tcW w:w="1060" w:type="dxa"/>
            <w:vAlign w:val="bottom"/>
          </w:tcPr>
          <w:p>
            <w:pPr>
              <w:jc w:val="right"/>
              <w:spacing w:after="0"/>
              <w:rPr>
                <w:sz w:val="20"/>
                <w:szCs w:val="20"/>
                <w:color w:val="auto"/>
              </w:rPr>
            </w:pPr>
            <w:r>
              <w:rPr>
                <w:rFonts w:ascii="Arial" w:cs="Arial" w:eastAsia="Arial" w:hAnsi="Arial"/>
                <w:sz w:val="13"/>
                <w:szCs w:val="13"/>
                <w:color w:val="auto"/>
                <w:w w:val="96"/>
              </w:rPr>
              <w:t>2008 First Quarter</w:t>
            </w:r>
          </w:p>
        </w:tc>
        <w:tc>
          <w:tcPr>
            <w:tcW w:w="900" w:type="dxa"/>
            <w:vAlign w:val="bottom"/>
            <w:vMerge w:val="restart"/>
          </w:tcPr>
          <w:p>
            <w:pPr>
              <w:jc w:val="right"/>
              <w:ind w:right="115"/>
              <w:spacing w:after="0"/>
              <w:rPr>
                <w:sz w:val="20"/>
                <w:szCs w:val="20"/>
                <w:color w:val="auto"/>
              </w:rPr>
            </w:pPr>
            <w:r>
              <w:rPr>
                <w:rFonts w:ascii="Arial" w:cs="Arial" w:eastAsia="Arial" w:hAnsi="Arial"/>
                <w:sz w:val="13"/>
                <w:szCs w:val="13"/>
                <w:color w:val="auto"/>
              </w:rPr>
              <w:t>Average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680" w:type="dxa"/>
            <w:vAlign w:val="bottom"/>
            <w:gridSpan w:val="3"/>
          </w:tcPr>
          <w:p>
            <w:pPr>
              <w:spacing w:after="0"/>
              <w:rPr>
                <w:sz w:val="20"/>
                <w:szCs w:val="20"/>
                <w:color w:val="auto"/>
              </w:rPr>
            </w:pPr>
            <w:r>
              <w:rPr>
                <w:rFonts w:ascii="Arial" w:cs="Arial" w:eastAsia="Arial" w:hAnsi="Arial"/>
                <w:sz w:val="13"/>
                <w:szCs w:val="13"/>
                <w:i w:val="1"/>
                <w:iCs w:val="1"/>
                <w:color w:val="auto"/>
                <w:w w:val="93"/>
              </w:rPr>
              <w:t>Average balance in millions; interest in thousands</w:t>
            </w:r>
          </w:p>
        </w:tc>
        <w:tc>
          <w:tcPr>
            <w:tcW w:w="220" w:type="dxa"/>
            <w:vAlign w:val="bottom"/>
          </w:tcPr>
          <w:p>
            <w:pPr>
              <w:spacing w:after="0"/>
              <w:rPr>
                <w:sz w:val="13"/>
                <w:szCs w:val="13"/>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color w:val="auto"/>
                <w:w w:val="85"/>
              </w:rPr>
              <w:t>Balance</w:t>
            </w:r>
          </w:p>
        </w:tc>
        <w:tc>
          <w:tcPr>
            <w:tcW w:w="380" w:type="dxa"/>
            <w:vAlign w:val="bottom"/>
          </w:tcPr>
          <w:p>
            <w:pPr>
              <w:spacing w:after="0"/>
              <w:rPr>
                <w:sz w:val="13"/>
                <w:szCs w:val="13"/>
                <w:color w:val="auto"/>
              </w:rPr>
            </w:pPr>
          </w:p>
        </w:tc>
        <w:tc>
          <w:tcPr>
            <w:tcW w:w="820" w:type="dxa"/>
            <w:vAlign w:val="bottom"/>
          </w:tcPr>
          <w:p>
            <w:pPr>
              <w:jc w:val="right"/>
              <w:ind w:right="377"/>
              <w:spacing w:after="0"/>
              <w:rPr>
                <w:sz w:val="20"/>
                <w:szCs w:val="20"/>
                <w:color w:val="auto"/>
              </w:rPr>
            </w:pPr>
            <w:r>
              <w:rPr>
                <w:rFonts w:ascii="Arial" w:cs="Arial" w:eastAsia="Arial" w:hAnsi="Arial"/>
                <w:sz w:val="13"/>
                <w:szCs w:val="13"/>
                <w:color w:val="auto"/>
                <w:w w:val="82"/>
              </w:rPr>
              <w:t>Interest</w:t>
            </w:r>
          </w:p>
        </w:tc>
        <w:tc>
          <w:tcPr>
            <w:tcW w:w="940" w:type="dxa"/>
            <w:vAlign w:val="bottom"/>
          </w:tcPr>
          <w:p>
            <w:pPr>
              <w:jc w:val="right"/>
              <w:ind w:right="397"/>
              <w:spacing w:after="0"/>
              <w:rPr>
                <w:sz w:val="20"/>
                <w:szCs w:val="20"/>
                <w:color w:val="auto"/>
              </w:rPr>
            </w:pPr>
            <w:r>
              <w:rPr>
                <w:rFonts w:ascii="Arial" w:cs="Arial" w:eastAsia="Arial" w:hAnsi="Arial"/>
                <w:sz w:val="13"/>
                <w:szCs w:val="13"/>
                <w:color w:val="auto"/>
              </w:rPr>
              <w:t>Rate</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Balance</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Interest</w:t>
            </w:r>
          </w:p>
        </w:tc>
        <w:tc>
          <w:tcPr>
            <w:tcW w:w="920" w:type="dxa"/>
            <w:vAlign w:val="bottom"/>
          </w:tcPr>
          <w:p>
            <w:pPr>
              <w:jc w:val="right"/>
              <w:ind w:right="397"/>
              <w:spacing w:after="0"/>
              <w:rPr>
                <w:sz w:val="20"/>
                <w:szCs w:val="20"/>
                <w:color w:val="auto"/>
              </w:rPr>
            </w:pPr>
            <w:r>
              <w:rPr>
                <w:rFonts w:ascii="Arial" w:cs="Arial" w:eastAsia="Arial" w:hAnsi="Arial"/>
                <w:sz w:val="13"/>
                <w:szCs w:val="13"/>
                <w:color w:val="auto"/>
              </w:rPr>
              <w:t>Rate</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Balance</w:t>
            </w:r>
          </w:p>
        </w:tc>
        <w:tc>
          <w:tcPr>
            <w:tcW w:w="1060" w:type="dxa"/>
            <w:vAlign w:val="bottom"/>
          </w:tcPr>
          <w:p>
            <w:pPr>
              <w:jc w:val="right"/>
              <w:ind w:right="237"/>
              <w:spacing w:after="0"/>
              <w:rPr>
                <w:sz w:val="20"/>
                <w:szCs w:val="20"/>
                <w:color w:val="auto"/>
              </w:rPr>
            </w:pPr>
            <w:r>
              <w:rPr>
                <w:rFonts w:ascii="Arial" w:cs="Arial" w:eastAsia="Arial" w:hAnsi="Arial"/>
                <w:sz w:val="13"/>
                <w:szCs w:val="13"/>
                <w:color w:val="auto"/>
              </w:rPr>
              <w:t>Interest</w:t>
            </w:r>
          </w:p>
        </w:tc>
        <w:tc>
          <w:tcPr>
            <w:tcW w:w="900" w:type="dxa"/>
            <w:vAlign w:val="bottom"/>
          </w:tcPr>
          <w:p>
            <w:pPr>
              <w:jc w:val="right"/>
              <w:ind w:right="195"/>
              <w:spacing w:after="0"/>
              <w:rPr>
                <w:sz w:val="20"/>
                <w:szCs w:val="20"/>
                <w:color w:val="auto"/>
              </w:rPr>
            </w:pPr>
            <w:r>
              <w:rPr>
                <w:rFonts w:ascii="Arial" w:cs="Arial" w:eastAsia="Arial" w:hAnsi="Arial"/>
                <w:sz w:val="13"/>
                <w:szCs w:val="13"/>
                <w:color w:val="auto"/>
              </w:rPr>
              <w:t>Rate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top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spacing w:after="0" w:line="135" w:lineRule="exact"/>
              <w:rPr>
                <w:sz w:val="20"/>
                <w:szCs w:val="20"/>
                <w:color w:val="auto"/>
              </w:rPr>
            </w:pPr>
            <w:r>
              <w:rPr>
                <w:rFonts w:ascii="Arial" w:cs="Arial" w:eastAsia="Arial" w:hAnsi="Arial"/>
                <w:sz w:val="13"/>
                <w:szCs w:val="13"/>
                <w:color w:val="auto"/>
              </w:rPr>
              <w:t>Earning assets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Loans and leases, net of unearned discount*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ind w:left="60"/>
              <w:spacing w:after="0" w:line="135" w:lineRule="exact"/>
              <w:rPr>
                <w:sz w:val="20"/>
                <w:szCs w:val="20"/>
                <w:color w:val="auto"/>
              </w:rPr>
            </w:pPr>
            <w:r>
              <w:rPr>
                <w:rFonts w:ascii="Arial" w:cs="Arial" w:eastAsia="Arial" w:hAnsi="Arial"/>
                <w:sz w:val="13"/>
                <w:szCs w:val="13"/>
                <w:color w:val="auto"/>
              </w:rPr>
              <w:t>Commercial, financial, etc.</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13,882</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77"/>
              <w:spacing w:after="0" w:line="135" w:lineRule="exact"/>
              <w:rPr>
                <w:sz w:val="20"/>
                <w:szCs w:val="20"/>
                <w:color w:val="auto"/>
              </w:rPr>
            </w:pPr>
            <w:r>
              <w:rPr>
                <w:rFonts w:ascii="Arial" w:cs="Arial" w:eastAsia="Arial" w:hAnsi="Arial"/>
                <w:sz w:val="13"/>
                <w:szCs w:val="13"/>
                <w:color w:val="auto"/>
                <w:w w:val="97"/>
              </w:rPr>
              <w:t>177,497</w:t>
            </w: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5.09%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13,800</w:t>
            </w:r>
          </w:p>
        </w:tc>
        <w:tc>
          <w:tcPr>
            <w:tcW w:w="12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176,353</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5.14%</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13,308</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200,509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Real estate — commercial</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18,557</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w w:val="97"/>
              </w:rPr>
              <w:t>260,879</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5.62</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18,491</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266,323</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5.76</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17,994</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285,831</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ind w:left="60"/>
              <w:spacing w:after="0" w:line="135" w:lineRule="exact"/>
              <w:rPr>
                <w:sz w:val="20"/>
                <w:szCs w:val="20"/>
                <w:color w:val="auto"/>
              </w:rPr>
            </w:pPr>
            <w:r>
              <w:rPr>
                <w:rFonts w:ascii="Arial" w:cs="Arial" w:eastAsia="Arial" w:hAnsi="Arial"/>
                <w:sz w:val="13"/>
                <w:szCs w:val="13"/>
                <w:color w:val="auto"/>
              </w:rPr>
              <w:t>Real estate — consumer</w:t>
            </w:r>
          </w:p>
        </w:tc>
        <w:tc>
          <w:tcPr>
            <w:tcW w:w="2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4,964</w:t>
            </w:r>
          </w:p>
        </w:tc>
        <w:tc>
          <w:tcPr>
            <w:tcW w:w="380" w:type="dxa"/>
            <w:vAlign w:val="bottom"/>
          </w:tcPr>
          <w:p>
            <w:pPr>
              <w:spacing w:after="0"/>
              <w:rPr>
                <w:sz w:val="11"/>
                <w:szCs w:val="11"/>
                <w:color w:val="auto"/>
              </w:rPr>
            </w:pPr>
          </w:p>
        </w:tc>
        <w:tc>
          <w:tcPr>
            <w:tcW w:w="8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74,582</w:t>
            </w: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6.01</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6,026</w:t>
            </w:r>
          </w:p>
        </w:tc>
        <w:tc>
          <w:tcPr>
            <w:tcW w:w="12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91,035</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6.04</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5,977</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92,179</w:t>
            </w:r>
          </w:p>
        </w:tc>
        <w:tc>
          <w:tcPr>
            <w:tcW w:w="900" w:type="dxa"/>
            <w:vAlign w:val="bottom"/>
          </w:tcPr>
          <w:p>
            <w:pPr>
              <w:jc w:val="right"/>
              <w:ind w:right="35"/>
              <w:spacing w:after="0" w:line="135" w:lineRule="exact"/>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color w:val="auto"/>
              </w:rPr>
              <w:t>Consumer</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11,074</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w w:val="97"/>
              </w:rPr>
              <w:t>175,558</w:t>
            </w: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6.31</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11,205</w:t>
            </w:r>
          </w:p>
        </w:tc>
        <w:tc>
          <w:tcPr>
            <w:tcW w:w="126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178,598</w:t>
            </w: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6.41</w:t>
            </w: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11,296</w:t>
            </w: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193,938</w:t>
            </w: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260"/>
              <w:spacing w:after="0" w:line="143" w:lineRule="exact"/>
              <w:rPr>
                <w:sz w:val="20"/>
                <w:szCs w:val="20"/>
                <w:color w:val="auto"/>
              </w:rPr>
            </w:pPr>
            <w:r>
              <w:rPr>
                <w:rFonts w:ascii="Arial" w:cs="Arial" w:eastAsia="Arial" w:hAnsi="Arial"/>
                <w:sz w:val="13"/>
                <w:szCs w:val="13"/>
                <w:color w:val="auto"/>
              </w:rPr>
              <w:t>Total loans and leases, net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48,477</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w w:val="97"/>
              </w:rPr>
              <w:t>688,516</w:t>
            </w:r>
          </w:p>
        </w:tc>
        <w:tc>
          <w:tcPr>
            <w:tcW w:w="94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5.65</w:t>
            </w: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49,522</w:t>
            </w:r>
          </w:p>
        </w:tc>
        <w:tc>
          <w:tcPr>
            <w:tcW w:w="1260" w:type="dxa"/>
            <w:vAlign w:val="bottom"/>
            <w:tcBorders>
              <w:bottom w:val="single" w:sz="8" w:color="auto"/>
            </w:tcBorders>
          </w:tcPr>
          <w:p>
            <w:pPr>
              <w:jc w:val="right"/>
              <w:ind w:right="317"/>
              <w:spacing w:after="0" w:line="143" w:lineRule="exact"/>
              <w:rPr>
                <w:sz w:val="20"/>
                <w:szCs w:val="20"/>
                <w:color w:val="auto"/>
              </w:rPr>
            </w:pPr>
            <w:r>
              <w:rPr>
                <w:rFonts w:ascii="Arial" w:cs="Arial" w:eastAsia="Arial" w:hAnsi="Arial"/>
                <w:sz w:val="13"/>
                <w:szCs w:val="13"/>
                <w:color w:val="auto"/>
              </w:rPr>
              <w:t>712,309</w:t>
            </w:r>
          </w:p>
        </w:tc>
        <w:tc>
          <w:tcPr>
            <w:tcW w:w="92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5.79</w:t>
            </w:r>
          </w:p>
        </w:tc>
        <w:tc>
          <w:tcPr>
            <w:tcW w:w="84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48,575</w:t>
            </w:r>
          </w:p>
        </w:tc>
        <w:tc>
          <w:tcPr>
            <w:tcW w:w="106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772,457</w:t>
            </w:r>
          </w:p>
        </w:tc>
        <w:tc>
          <w:tcPr>
            <w:tcW w:w="900" w:type="dxa"/>
            <w:vAlign w:val="bottom"/>
            <w:tcBorders>
              <w:bottom w:val="single" w:sz="8" w:color="auto"/>
            </w:tcBorders>
          </w:tcPr>
          <w:p>
            <w:pPr>
              <w:jc w:val="right"/>
              <w:ind w:right="35"/>
              <w:spacing w:after="0" w:line="143" w:lineRule="exact"/>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Interest-bearing deposits at banks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25</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1.09</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22</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1.14</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44</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gridSpan w:val="2"/>
          </w:tcPr>
          <w:p>
            <w:pPr>
              <w:spacing w:after="0" w:line="121" w:lineRule="exact"/>
              <w:rPr>
                <w:sz w:val="20"/>
                <w:szCs w:val="20"/>
                <w:color w:val="auto"/>
              </w:rPr>
            </w:pPr>
            <w:r>
              <w:rPr>
                <w:rFonts w:ascii="Arial" w:cs="Arial" w:eastAsia="Arial" w:hAnsi="Arial"/>
                <w:sz w:val="13"/>
                <w:szCs w:val="13"/>
                <w:color w:val="auto"/>
              </w:rPr>
              <w:t>Federal funds sold and agreements to resell</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securities</w:t>
            </w:r>
          </w:p>
        </w:tc>
        <w:tc>
          <w:tcPr>
            <w:tcW w:w="220" w:type="dxa"/>
            <w:vAlign w:val="bottom"/>
          </w:tcPr>
          <w:p>
            <w:pPr>
              <w:spacing w:after="0"/>
              <w:rPr>
                <w:sz w:val="12"/>
                <w:szCs w:val="12"/>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102</w:t>
            </w:r>
          </w:p>
        </w:tc>
        <w:tc>
          <w:tcPr>
            <w:tcW w:w="380" w:type="dxa"/>
            <w:vAlign w:val="bottom"/>
          </w:tcPr>
          <w:p>
            <w:pPr>
              <w:spacing w:after="0"/>
              <w:rPr>
                <w:sz w:val="12"/>
                <w:szCs w:val="12"/>
                <w:color w:val="auto"/>
              </w:rPr>
            </w:pPr>
          </w:p>
        </w:tc>
        <w:tc>
          <w:tcPr>
            <w:tcW w:w="820" w:type="dxa"/>
            <w:vAlign w:val="bottom"/>
          </w:tcPr>
          <w:p>
            <w:pPr>
              <w:jc w:val="right"/>
              <w:ind w:right="277"/>
              <w:spacing w:after="0"/>
              <w:rPr>
                <w:sz w:val="20"/>
                <w:szCs w:val="20"/>
                <w:color w:val="auto"/>
              </w:rPr>
            </w:pPr>
            <w:r>
              <w:rPr>
                <w:rFonts w:ascii="Arial" w:cs="Arial" w:eastAsia="Arial" w:hAnsi="Arial"/>
                <w:sz w:val="13"/>
                <w:szCs w:val="13"/>
                <w:color w:val="auto"/>
              </w:rPr>
              <w:t>515</w:t>
            </w: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2.01</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101</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492</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1.96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129</w:t>
            </w:r>
          </w:p>
        </w:tc>
        <w:tc>
          <w:tcPr>
            <w:tcW w:w="1060" w:type="dxa"/>
            <w:vAlign w:val="bottom"/>
          </w:tcPr>
          <w:p>
            <w:pPr>
              <w:jc w:val="right"/>
              <w:ind w:right="137"/>
              <w:spacing w:after="0"/>
              <w:rPr>
                <w:sz w:val="20"/>
                <w:szCs w:val="20"/>
                <w:color w:val="auto"/>
              </w:rPr>
            </w:pPr>
            <w:r>
              <w:rPr>
                <w:rFonts w:ascii="Arial" w:cs="Arial" w:eastAsia="Arial" w:hAnsi="Arial"/>
                <w:sz w:val="13"/>
                <w:szCs w:val="13"/>
                <w:color w:val="auto"/>
              </w:rPr>
              <w:t>956</w:t>
            </w: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Trading account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80</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359</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1.81</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64</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143</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.90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259</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spacing w:after="0" w:line="135" w:lineRule="exact"/>
              <w:rPr>
                <w:sz w:val="20"/>
                <w:szCs w:val="20"/>
                <w:color w:val="auto"/>
              </w:rPr>
            </w:pPr>
            <w:r>
              <w:rPr>
                <w:rFonts w:ascii="Arial" w:cs="Arial" w:eastAsia="Arial" w:hAnsi="Arial"/>
                <w:sz w:val="13"/>
                <w:szCs w:val="13"/>
                <w:color w:val="auto"/>
              </w:rPr>
              <w:t>Investment securities**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U.S. Treasury and federal agencies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4,067</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50,085</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4.90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3,462</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40,996</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4.76</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3,523</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41,757</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Pr>
          <w:p>
            <w:pPr>
              <w:ind w:left="60"/>
              <w:spacing w:after="0" w:line="121" w:lineRule="exact"/>
              <w:rPr>
                <w:sz w:val="20"/>
                <w:szCs w:val="20"/>
                <w:color w:val="auto"/>
              </w:rPr>
            </w:pPr>
            <w:r>
              <w:rPr>
                <w:rFonts w:ascii="Arial" w:cs="Arial" w:eastAsia="Arial" w:hAnsi="Arial"/>
                <w:sz w:val="13"/>
                <w:szCs w:val="13"/>
                <w:color w:val="auto"/>
              </w:rPr>
              <w:t>Obligations of states and political</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ind w:left="260"/>
              <w:spacing w:after="0"/>
              <w:rPr>
                <w:sz w:val="20"/>
                <w:szCs w:val="20"/>
                <w:color w:val="auto"/>
              </w:rPr>
            </w:pPr>
            <w:r>
              <w:rPr>
                <w:rFonts w:ascii="Arial" w:cs="Arial" w:eastAsia="Arial" w:hAnsi="Arial"/>
                <w:sz w:val="13"/>
                <w:szCs w:val="13"/>
                <w:color w:val="auto"/>
              </w:rPr>
              <w:t>subdivisions</w:t>
            </w:r>
          </w:p>
        </w:tc>
        <w:tc>
          <w:tcPr>
            <w:tcW w:w="220" w:type="dxa"/>
            <w:vAlign w:val="bottom"/>
          </w:tcPr>
          <w:p>
            <w:pPr>
              <w:spacing w:after="0"/>
              <w:rPr>
                <w:sz w:val="12"/>
                <w:szCs w:val="12"/>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129</w:t>
            </w:r>
          </w:p>
        </w:tc>
        <w:tc>
          <w:tcPr>
            <w:tcW w:w="380" w:type="dxa"/>
            <w:vAlign w:val="bottom"/>
          </w:tcPr>
          <w:p>
            <w:pPr>
              <w:spacing w:after="0"/>
              <w:rPr>
                <w:sz w:val="12"/>
                <w:szCs w:val="12"/>
                <w:color w:val="auto"/>
              </w:rPr>
            </w:pPr>
          </w:p>
        </w:tc>
        <w:tc>
          <w:tcPr>
            <w:tcW w:w="820" w:type="dxa"/>
            <w:vAlign w:val="bottom"/>
          </w:tcPr>
          <w:p>
            <w:pPr>
              <w:jc w:val="right"/>
              <w:ind w:right="277"/>
              <w:spacing w:after="0"/>
              <w:rPr>
                <w:sz w:val="20"/>
                <w:szCs w:val="20"/>
                <w:color w:val="auto"/>
              </w:rPr>
            </w:pPr>
            <w:r>
              <w:rPr>
                <w:rFonts w:ascii="Arial" w:cs="Arial" w:eastAsia="Arial" w:hAnsi="Arial"/>
                <w:sz w:val="13"/>
                <w:szCs w:val="13"/>
                <w:color w:val="auto"/>
              </w:rPr>
              <w:t>2,191</w:t>
            </w: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6.79</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2,455</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7.03</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060" w:type="dxa"/>
            <w:vAlign w:val="bottom"/>
          </w:tcPr>
          <w:p>
            <w:pPr>
              <w:jc w:val="right"/>
              <w:ind w:right="137"/>
              <w:spacing w:after="0"/>
              <w:rPr>
                <w:sz w:val="20"/>
                <w:szCs w:val="20"/>
                <w:color w:val="auto"/>
              </w:rPr>
            </w:pPr>
            <w:r>
              <w:rPr>
                <w:rFonts w:ascii="Arial" w:cs="Arial" w:eastAsia="Arial" w:hAnsi="Arial"/>
                <w:sz w:val="13"/>
                <w:szCs w:val="13"/>
                <w:color w:val="auto"/>
              </w:rPr>
              <w:t>2,436</w:t>
            </w: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5,107</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64,923</w:t>
            </w: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5.06</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5,168</w:t>
            </w:r>
          </w:p>
        </w:tc>
        <w:tc>
          <w:tcPr>
            <w:tcW w:w="126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67,008</w:t>
            </w: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5.22</w:t>
            </w: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5,252</w:t>
            </w: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72,036</w:t>
            </w: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260"/>
              <w:spacing w:after="0" w:line="143" w:lineRule="exact"/>
              <w:rPr>
                <w:sz w:val="20"/>
                <w:szCs w:val="20"/>
                <w:color w:val="auto"/>
              </w:rPr>
            </w:pPr>
            <w:r>
              <w:rPr>
                <w:rFonts w:ascii="Arial" w:cs="Arial" w:eastAsia="Arial" w:hAnsi="Arial"/>
                <w:sz w:val="13"/>
                <w:szCs w:val="13"/>
                <w:color w:val="auto"/>
              </w:rPr>
              <w:t>Total investment securities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9,303</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w w:val="97"/>
              </w:rPr>
              <w:t>117,199</w:t>
            </w:r>
          </w:p>
        </w:tc>
        <w:tc>
          <w:tcPr>
            <w:tcW w:w="94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5.01</w:t>
            </w: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8,770</w:t>
            </w:r>
          </w:p>
        </w:tc>
        <w:tc>
          <w:tcPr>
            <w:tcW w:w="1260" w:type="dxa"/>
            <w:vAlign w:val="bottom"/>
            <w:tcBorders>
              <w:bottom w:val="single" w:sz="8" w:color="auto"/>
            </w:tcBorders>
          </w:tcPr>
          <w:p>
            <w:pPr>
              <w:jc w:val="right"/>
              <w:ind w:right="317"/>
              <w:spacing w:after="0" w:line="143" w:lineRule="exact"/>
              <w:rPr>
                <w:sz w:val="20"/>
                <w:szCs w:val="20"/>
                <w:color w:val="auto"/>
              </w:rPr>
            </w:pPr>
            <w:r>
              <w:rPr>
                <w:rFonts w:ascii="Arial" w:cs="Arial" w:eastAsia="Arial" w:hAnsi="Arial"/>
                <w:sz w:val="13"/>
                <w:szCs w:val="13"/>
                <w:color w:val="auto"/>
              </w:rPr>
              <w:t>110,459</w:t>
            </w:r>
          </w:p>
        </w:tc>
        <w:tc>
          <w:tcPr>
            <w:tcW w:w="92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5.07</w:t>
            </w:r>
          </w:p>
        </w:tc>
        <w:tc>
          <w:tcPr>
            <w:tcW w:w="84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8,924</w:t>
            </w:r>
          </w:p>
        </w:tc>
        <w:tc>
          <w:tcPr>
            <w:tcW w:w="106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116,229</w:t>
            </w:r>
          </w:p>
        </w:tc>
        <w:tc>
          <w:tcPr>
            <w:tcW w:w="900" w:type="dxa"/>
            <w:vAlign w:val="bottom"/>
            <w:tcBorders>
              <w:bottom w:val="single" w:sz="8" w:color="auto"/>
            </w:tcBorders>
          </w:tcPr>
          <w:p>
            <w:pPr>
              <w:jc w:val="right"/>
              <w:ind w:right="35"/>
              <w:spacing w:after="0" w:line="143" w:lineRule="exact"/>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b w:val="1"/>
                <w:bCs w:val="1"/>
                <w:color w:val="auto"/>
              </w:rPr>
              <w:t>Total earning assets</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57,971</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w w:val="97"/>
              </w:rPr>
              <w:t>806,614</w:t>
            </w: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5.54</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58,465</w:t>
            </w:r>
          </w:p>
        </w:tc>
        <w:tc>
          <w:tcPr>
            <w:tcW w:w="126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823,425</w:t>
            </w: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5.66</w:t>
            </w: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57,713</w:t>
            </w: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889,945</w:t>
            </w: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2"/>
          </w:tcPr>
          <w:p>
            <w:pPr>
              <w:spacing w:after="0" w:line="143" w:lineRule="exact"/>
              <w:rPr>
                <w:sz w:val="20"/>
                <w:szCs w:val="20"/>
                <w:color w:val="auto"/>
              </w:rPr>
            </w:pPr>
            <w:r>
              <w:rPr>
                <w:rFonts w:ascii="Arial" w:cs="Arial" w:eastAsia="Arial" w:hAnsi="Arial"/>
                <w:sz w:val="13"/>
                <w:szCs w:val="13"/>
                <w:color w:val="auto"/>
              </w:rPr>
              <w:t>Allowance for credit losses</w:t>
            </w:r>
          </w:p>
        </w:tc>
        <w:tc>
          <w:tcPr>
            <w:tcW w:w="220" w:type="dxa"/>
            <w:vAlign w:val="bottom"/>
          </w:tcPr>
          <w:p>
            <w:pPr>
              <w:spacing w:after="0"/>
              <w:rPr>
                <w:sz w:val="12"/>
                <w:szCs w:val="12"/>
                <w:color w:val="auto"/>
              </w:rPr>
            </w:pPr>
          </w:p>
        </w:tc>
        <w:tc>
          <w:tcPr>
            <w:tcW w:w="620" w:type="dxa"/>
            <w:vAlign w:val="bottom"/>
          </w:tcPr>
          <w:p>
            <w:pPr>
              <w:jc w:val="right"/>
              <w:ind w:right="37"/>
              <w:spacing w:after="0" w:line="143" w:lineRule="exact"/>
              <w:rPr>
                <w:sz w:val="20"/>
                <w:szCs w:val="20"/>
                <w:color w:val="auto"/>
              </w:rPr>
            </w:pPr>
            <w:r>
              <w:rPr>
                <w:rFonts w:ascii="Arial" w:cs="Arial" w:eastAsia="Arial" w:hAnsi="Arial"/>
                <w:sz w:val="13"/>
                <w:szCs w:val="13"/>
                <w:color w:val="auto"/>
              </w:rPr>
              <w:t>(790)</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(792)</w:t>
            </w: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(778)</w:t>
            </w: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and due from banks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1,236</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1,209</w:t>
            </w: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1,297</w:t>
            </w: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6,580</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6,702</w:t>
            </w:r>
          </w:p>
        </w:tc>
        <w:tc>
          <w:tcPr>
            <w:tcW w:w="1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6,783</w:t>
            </w:r>
          </w:p>
        </w:tc>
        <w:tc>
          <w:tcPr>
            <w:tcW w:w="10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64,997</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65,584</w:t>
            </w:r>
          </w:p>
        </w:tc>
        <w:tc>
          <w:tcPr>
            <w:tcW w:w="1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65,015</w:t>
            </w:r>
          </w:p>
        </w:tc>
        <w:tc>
          <w:tcPr>
            <w:tcW w:w="10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Interest-bearing liabilities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tcPr>
          <w:p>
            <w:pPr>
              <w:spacing w:after="0" w:line="135" w:lineRule="exact"/>
              <w:rPr>
                <w:sz w:val="20"/>
                <w:szCs w:val="20"/>
                <w:color w:val="auto"/>
              </w:rPr>
            </w:pPr>
            <w:r>
              <w:rPr>
                <w:rFonts w:ascii="Arial" w:cs="Arial" w:eastAsia="Arial" w:hAnsi="Arial"/>
                <w:sz w:val="13"/>
                <w:szCs w:val="13"/>
                <w:color w:val="auto"/>
              </w:rPr>
              <w:t>Interest-bearing deposits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NOW accounts</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484</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655</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.54</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512</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629</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.49</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484</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1,018</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ind w:left="60"/>
              <w:spacing w:after="0" w:line="135" w:lineRule="exact"/>
              <w:rPr>
                <w:sz w:val="20"/>
                <w:szCs w:val="20"/>
                <w:color w:val="auto"/>
              </w:rPr>
            </w:pPr>
            <w:r>
              <w:rPr>
                <w:rFonts w:ascii="Arial" w:cs="Arial" w:eastAsia="Arial" w:hAnsi="Arial"/>
                <w:sz w:val="13"/>
                <w:szCs w:val="13"/>
                <w:color w:val="auto"/>
              </w:rPr>
              <w:t>Savings deposits</w:t>
            </w:r>
          </w:p>
        </w:tc>
        <w:tc>
          <w:tcPr>
            <w:tcW w:w="2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18,191</w:t>
            </w:r>
          </w:p>
        </w:tc>
        <w:tc>
          <w:tcPr>
            <w:tcW w:w="380" w:type="dxa"/>
            <w:vAlign w:val="bottom"/>
          </w:tcPr>
          <w:p>
            <w:pPr>
              <w:spacing w:after="0"/>
              <w:rPr>
                <w:sz w:val="11"/>
                <w:szCs w:val="11"/>
                <w:color w:val="auto"/>
              </w:rPr>
            </w:pPr>
          </w:p>
        </w:tc>
        <w:tc>
          <w:tcPr>
            <w:tcW w:w="8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58,917</w:t>
            </w: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1.29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18,092</w:t>
            </w:r>
          </w:p>
        </w:tc>
        <w:tc>
          <w:tcPr>
            <w:tcW w:w="12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60,317</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1.34</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16,843</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66,622</w:t>
            </w:r>
          </w:p>
        </w:tc>
        <w:tc>
          <w:tcPr>
            <w:tcW w:w="900" w:type="dxa"/>
            <w:vAlign w:val="bottom"/>
          </w:tcPr>
          <w:p>
            <w:pPr>
              <w:jc w:val="right"/>
              <w:ind w:right="35"/>
              <w:spacing w:after="0" w:line="135"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Time deposits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9,318</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72,100</w:t>
            </w:r>
          </w:p>
        </w:tc>
        <w:tc>
          <w:tcPr>
            <w:tcW w:w="9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3.08</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9,216</w:t>
            </w:r>
          </w:p>
        </w:tc>
        <w:tc>
          <w:tcPr>
            <w:tcW w:w="126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79,467</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3.47</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10,416</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106,643</w:t>
            </w:r>
          </w:p>
        </w:tc>
        <w:tc>
          <w:tcPr>
            <w:tcW w:w="9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3"/>
                <w:szCs w:val="13"/>
                <w:color w:val="auto"/>
              </w:rPr>
              <w:t>Deposits at foreign office</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3,837</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35" w:lineRule="exact"/>
              <w:rPr>
                <w:sz w:val="20"/>
                <w:szCs w:val="20"/>
                <w:color w:val="auto"/>
              </w:rPr>
            </w:pPr>
            <w:r>
              <w:rPr>
                <w:rFonts w:ascii="Arial" w:cs="Arial" w:eastAsia="Arial" w:hAnsi="Arial"/>
                <w:sz w:val="13"/>
                <w:szCs w:val="13"/>
                <w:color w:val="auto"/>
              </w:rPr>
              <w:t>18,709</w:t>
            </w:r>
          </w:p>
        </w:tc>
        <w:tc>
          <w:tcPr>
            <w:tcW w:w="94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color w:val="auto"/>
              </w:rPr>
              <w:t>1.94</w:t>
            </w:r>
          </w:p>
        </w:tc>
        <w:tc>
          <w:tcPr>
            <w:tcW w:w="7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4,314</w:t>
            </w:r>
          </w:p>
        </w:tc>
        <w:tc>
          <w:tcPr>
            <w:tcW w:w="12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22,075</w:t>
            </w:r>
          </w:p>
        </w:tc>
        <w:tc>
          <w:tcPr>
            <w:tcW w:w="92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color w:val="auto"/>
              </w:rPr>
              <w:t>2.06</w:t>
            </w:r>
          </w:p>
        </w:tc>
        <w:tc>
          <w:tcPr>
            <w:tcW w:w="8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4,821</w:t>
            </w:r>
          </w:p>
        </w:tc>
        <w:tc>
          <w:tcPr>
            <w:tcW w:w="106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38,373</w:t>
            </w:r>
          </w:p>
        </w:tc>
        <w:tc>
          <w:tcPr>
            <w:tcW w:w="900" w:type="dxa"/>
            <w:vAlign w:val="bottom"/>
            <w:tcBorders>
              <w:bottom w:val="single" w:sz="8" w:color="auto"/>
            </w:tcBorders>
          </w:tcPr>
          <w:p>
            <w:pPr>
              <w:jc w:val="right"/>
              <w:ind w:right="35"/>
              <w:spacing w:after="0" w:line="135" w:lineRule="exact"/>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Total interest-bearing deposits</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31,830</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w w:val="97"/>
              </w:rPr>
              <w:t>150,381</w:t>
            </w: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1.88</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32,134</w:t>
            </w:r>
          </w:p>
        </w:tc>
        <w:tc>
          <w:tcPr>
            <w:tcW w:w="126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162,488</w:t>
            </w: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2.03</w:t>
            </w: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32,564</w:t>
            </w: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212,656</w:t>
            </w: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2"/>
          </w:tcPr>
          <w:p>
            <w:pPr>
              <w:spacing w:after="0" w:line="143" w:lineRule="exact"/>
              <w:rPr>
                <w:sz w:val="20"/>
                <w:szCs w:val="20"/>
                <w:color w:val="auto"/>
              </w:rPr>
            </w:pPr>
            <w:r>
              <w:rPr>
                <w:rFonts w:ascii="Arial" w:cs="Arial" w:eastAsia="Arial" w:hAnsi="Arial"/>
                <w:sz w:val="13"/>
                <w:szCs w:val="13"/>
                <w:color w:val="auto"/>
              </w:rPr>
              <w:t>Short-term borrowings</w:t>
            </w:r>
          </w:p>
        </w:tc>
        <w:tc>
          <w:tcPr>
            <w:tcW w:w="220" w:type="dxa"/>
            <w:vAlign w:val="bottom"/>
          </w:tcPr>
          <w:p>
            <w:pPr>
              <w:spacing w:after="0"/>
              <w:rPr>
                <w:sz w:val="12"/>
                <w:szCs w:val="12"/>
                <w:color w:val="auto"/>
              </w:rPr>
            </w:pPr>
          </w:p>
        </w:tc>
        <w:tc>
          <w:tcPr>
            <w:tcW w:w="6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5,392</w:t>
            </w:r>
          </w:p>
        </w:tc>
        <w:tc>
          <w:tcPr>
            <w:tcW w:w="380" w:type="dxa"/>
            <w:vAlign w:val="bottom"/>
          </w:tcPr>
          <w:p>
            <w:pPr>
              <w:spacing w:after="0"/>
              <w:rPr>
                <w:sz w:val="12"/>
                <w:szCs w:val="12"/>
                <w:color w:val="auto"/>
              </w:rPr>
            </w:pPr>
          </w:p>
        </w:tc>
        <w:tc>
          <w:tcPr>
            <w:tcW w:w="82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28,155</w:t>
            </w:r>
          </w:p>
        </w:tc>
        <w:tc>
          <w:tcPr>
            <w:tcW w:w="94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2.08</w:t>
            </w:r>
          </w:p>
        </w:tc>
        <w:tc>
          <w:tcPr>
            <w:tcW w:w="780" w:type="dxa"/>
            <w:vAlign w:val="bottom"/>
          </w:tcPr>
          <w:p>
            <w:pPr>
              <w:jc w:val="right"/>
              <w:ind w:right="37"/>
              <w:spacing w:after="0" w:line="143" w:lineRule="exact"/>
              <w:rPr>
                <w:sz w:val="20"/>
                <w:szCs w:val="20"/>
                <w:color w:val="auto"/>
              </w:rPr>
            </w:pPr>
            <w:r>
              <w:rPr>
                <w:rFonts w:ascii="Arial" w:cs="Arial" w:eastAsia="Arial" w:hAnsi="Arial"/>
                <w:sz w:val="13"/>
                <w:szCs w:val="13"/>
                <w:color w:val="auto"/>
              </w:rPr>
              <w:t>6,869</w:t>
            </w:r>
          </w:p>
        </w:tc>
        <w:tc>
          <w:tcPr>
            <w:tcW w:w="126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42,612</w:t>
            </w:r>
          </w:p>
        </w:tc>
        <w:tc>
          <w:tcPr>
            <w:tcW w:w="9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2.49</w:t>
            </w:r>
          </w:p>
        </w:tc>
        <w:tc>
          <w:tcPr>
            <w:tcW w:w="840" w:type="dxa"/>
            <w:vAlign w:val="bottom"/>
          </w:tcPr>
          <w:p>
            <w:pPr>
              <w:jc w:val="right"/>
              <w:ind w:right="77"/>
              <w:spacing w:after="0" w:line="143" w:lineRule="exact"/>
              <w:rPr>
                <w:sz w:val="20"/>
                <w:szCs w:val="20"/>
                <w:color w:val="auto"/>
              </w:rPr>
            </w:pPr>
            <w:r>
              <w:rPr>
                <w:rFonts w:ascii="Arial" w:cs="Arial" w:eastAsia="Arial" w:hAnsi="Arial"/>
                <w:sz w:val="13"/>
                <w:szCs w:val="13"/>
                <w:color w:val="auto"/>
              </w:rPr>
              <w:t>7,153</w:t>
            </w:r>
          </w:p>
        </w:tc>
        <w:tc>
          <w:tcPr>
            <w:tcW w:w="106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61,621</w:t>
            </w:r>
          </w:p>
        </w:tc>
        <w:tc>
          <w:tcPr>
            <w:tcW w:w="900" w:type="dxa"/>
            <w:vAlign w:val="bottom"/>
          </w:tcPr>
          <w:p>
            <w:pPr>
              <w:jc w:val="right"/>
              <w:ind w:right="35"/>
              <w:spacing w:after="0" w:line="143" w:lineRule="exact"/>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color w:val="auto"/>
              </w:rPr>
              <w:t>Long-term borrowings</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12,666</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w w:val="97"/>
              </w:rPr>
              <w:t>134,579</w:t>
            </w: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4.23</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11,407</w:t>
            </w:r>
          </w:p>
        </w:tc>
        <w:tc>
          <w:tcPr>
            <w:tcW w:w="126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125,842</w:t>
            </w: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4.44</w:t>
            </w: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10,270</w:t>
            </w: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131,035</w:t>
            </w: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260"/>
              <w:spacing w:after="0" w:line="143" w:lineRule="exact"/>
              <w:rPr>
                <w:sz w:val="20"/>
                <w:szCs w:val="20"/>
                <w:color w:val="auto"/>
              </w:rPr>
            </w:pPr>
            <w:r>
              <w:rPr>
                <w:rFonts w:ascii="Arial" w:cs="Arial" w:eastAsia="Arial" w:hAnsi="Arial"/>
                <w:sz w:val="13"/>
                <w:szCs w:val="13"/>
                <w:b w:val="1"/>
                <w:bCs w:val="1"/>
                <w:color w:val="auto"/>
              </w:rPr>
              <w:t>Total interest-bearing liabilities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49,888</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w w:val="97"/>
              </w:rPr>
              <w:t>313,115</w:t>
            </w:r>
          </w:p>
        </w:tc>
        <w:tc>
          <w:tcPr>
            <w:tcW w:w="94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2.50</w:t>
            </w: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50,410</w:t>
            </w:r>
          </w:p>
        </w:tc>
        <w:tc>
          <w:tcPr>
            <w:tcW w:w="1260" w:type="dxa"/>
            <w:vAlign w:val="bottom"/>
            <w:tcBorders>
              <w:bottom w:val="single" w:sz="8" w:color="auto"/>
            </w:tcBorders>
          </w:tcPr>
          <w:p>
            <w:pPr>
              <w:jc w:val="right"/>
              <w:ind w:right="317"/>
              <w:spacing w:after="0" w:line="143" w:lineRule="exact"/>
              <w:rPr>
                <w:sz w:val="20"/>
                <w:szCs w:val="20"/>
                <w:color w:val="auto"/>
              </w:rPr>
            </w:pPr>
            <w:r>
              <w:rPr>
                <w:rFonts w:ascii="Arial" w:cs="Arial" w:eastAsia="Arial" w:hAnsi="Arial"/>
                <w:sz w:val="13"/>
                <w:szCs w:val="13"/>
                <w:color w:val="auto"/>
              </w:rPr>
              <w:t>330,942</w:t>
            </w:r>
          </w:p>
        </w:tc>
        <w:tc>
          <w:tcPr>
            <w:tcW w:w="92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color w:val="auto"/>
              </w:rPr>
              <w:t>2.64</w:t>
            </w:r>
          </w:p>
        </w:tc>
        <w:tc>
          <w:tcPr>
            <w:tcW w:w="84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49,987</w:t>
            </w:r>
          </w:p>
        </w:tc>
        <w:tc>
          <w:tcPr>
            <w:tcW w:w="106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405,312</w:t>
            </w:r>
          </w:p>
        </w:tc>
        <w:tc>
          <w:tcPr>
            <w:tcW w:w="900" w:type="dxa"/>
            <w:vAlign w:val="bottom"/>
            <w:tcBorders>
              <w:bottom w:val="single" w:sz="8" w:color="auto"/>
            </w:tcBorders>
          </w:tcPr>
          <w:p>
            <w:pPr>
              <w:jc w:val="right"/>
              <w:ind w:right="35"/>
              <w:spacing w:after="0" w:line="143" w:lineRule="exact"/>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Noninterest-bearing deposits</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7,673</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7,577</w:t>
            </w: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7,435</w:t>
            </w: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1,021</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1,128</w:t>
            </w:r>
          </w:p>
        </w:tc>
        <w:tc>
          <w:tcPr>
            <w:tcW w:w="1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1,080</w:t>
            </w:r>
          </w:p>
        </w:tc>
        <w:tc>
          <w:tcPr>
            <w:tcW w:w="10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58,582</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59,115</w:t>
            </w:r>
          </w:p>
        </w:tc>
        <w:tc>
          <w:tcPr>
            <w:tcW w:w="1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58,502</w:t>
            </w:r>
          </w:p>
        </w:tc>
        <w:tc>
          <w:tcPr>
            <w:tcW w:w="10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3"/>
                <w:szCs w:val="13"/>
                <w:color w:val="auto"/>
              </w:rPr>
              <w:t>Stockholders’ equity</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6,415</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6,469</w:t>
            </w:r>
          </w:p>
        </w:tc>
        <w:tc>
          <w:tcPr>
            <w:tcW w:w="1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6,513</w:t>
            </w:r>
          </w:p>
        </w:tc>
        <w:tc>
          <w:tcPr>
            <w:tcW w:w="10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w w:val="99"/>
              </w:rPr>
              <w:t>Total liabilities and stockholders’ equity</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64,997</w:t>
            </w: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65,584</w:t>
            </w:r>
          </w:p>
        </w:tc>
        <w:tc>
          <w:tcPr>
            <w:tcW w:w="1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65,015</w:t>
            </w:r>
          </w:p>
        </w:tc>
        <w:tc>
          <w:tcPr>
            <w:tcW w:w="10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2"/>
          </w:tcPr>
          <w:p>
            <w:pPr>
              <w:spacing w:after="0" w:line="143" w:lineRule="exact"/>
              <w:rPr>
                <w:sz w:val="20"/>
                <w:szCs w:val="20"/>
                <w:color w:val="auto"/>
              </w:rPr>
            </w:pPr>
            <w:r>
              <w:rPr>
                <w:rFonts w:ascii="Arial" w:cs="Arial" w:eastAsia="Arial" w:hAnsi="Arial"/>
                <w:sz w:val="13"/>
                <w:szCs w:val="13"/>
                <w:color w:val="auto"/>
              </w:rPr>
              <w:t>Net interest spread</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3.04</w:t>
            </w:r>
          </w:p>
        </w:tc>
        <w:tc>
          <w:tcPr>
            <w:tcW w:w="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3.02</w:t>
            </w: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jc w:val="right"/>
              <w:ind w:right="35"/>
              <w:spacing w:after="0" w:line="143" w:lineRule="exact"/>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color w:val="auto"/>
              </w:rPr>
              <w:t>Contribution of interest-free funds</w:t>
            </w: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.35</w:t>
            </w:r>
          </w:p>
        </w:tc>
        <w:tc>
          <w:tcPr>
            <w:tcW w:w="7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.37</w:t>
            </w:r>
          </w:p>
        </w:tc>
        <w:tc>
          <w:tcPr>
            <w:tcW w:w="8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3"/>
                <w:szCs w:val="13"/>
                <w:color w:val="auto"/>
              </w:rPr>
              <w:t>Net interest income/margin on earning assets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w w:val="97"/>
              </w:rPr>
              <w:t>493,499</w:t>
            </w:r>
          </w:p>
        </w:tc>
        <w:tc>
          <w:tcPr>
            <w:tcW w:w="94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3.39%</w:t>
            </w: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17"/>
              <w:spacing w:after="0" w:line="143" w:lineRule="exact"/>
              <w:rPr>
                <w:sz w:val="20"/>
                <w:szCs w:val="20"/>
                <w:color w:val="auto"/>
              </w:rPr>
            </w:pPr>
            <w:r>
              <w:rPr>
                <w:rFonts w:ascii="Arial" w:cs="Arial" w:eastAsia="Arial" w:hAnsi="Arial"/>
                <w:sz w:val="13"/>
                <w:szCs w:val="13"/>
                <w:color w:val="auto"/>
              </w:rPr>
              <w:t>492,483</w:t>
            </w:r>
          </w:p>
        </w:tc>
        <w:tc>
          <w:tcPr>
            <w:tcW w:w="92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3.39%</w:t>
            </w:r>
          </w:p>
        </w:tc>
        <w:tc>
          <w:tcPr>
            <w:tcW w:w="8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rPr>
              <w:t>484,633</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380"/>
              <w:spacing w:after="0"/>
              <w:rPr>
                <w:sz w:val="20"/>
                <w:szCs w:val="20"/>
                <w:color w:val="auto"/>
              </w:rPr>
            </w:pPr>
            <w:r>
              <w:rPr>
                <w:rFonts w:ascii="Arial" w:cs="Arial" w:eastAsia="Arial" w:hAnsi="Arial"/>
                <w:sz w:val="18"/>
                <w:szCs w:val="18"/>
                <w:i w:val="1"/>
                <w:iCs w:val="1"/>
                <w:color w:val="auto"/>
                <w:w w:val="99"/>
              </w:rPr>
              <w:t>Includes nonaccrual loans.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(continued)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w w:val="91"/>
              </w:rPr>
              <w:t>Table 3 (continued)</w:t>
            </w:r>
          </w:p>
        </w:tc>
      </w:tr>
      <w:tr>
        <w:trPr>
          <w:trHeight w:val="324"/>
        </w:trPr>
        <w:tc>
          <w:tcPr>
            <w:tcW w:w="7820" w:type="dxa"/>
            <w:vAlign w:val="bottom"/>
            <w:gridSpan w:val="7"/>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jc w:val="right"/>
              <w:ind w:right="200"/>
              <w:spacing w:after="0"/>
              <w:rPr>
                <w:sz w:val="20"/>
                <w:szCs w:val="20"/>
                <w:color w:val="auto"/>
              </w:rPr>
            </w:pPr>
            <w:r>
              <w:rPr>
                <w:rFonts w:ascii="Arial" w:cs="Arial" w:eastAsia="Arial" w:hAnsi="Arial"/>
                <w:sz w:val="14"/>
                <w:szCs w:val="14"/>
                <w:color w:val="auto"/>
              </w:rPr>
              <w:t>2007 Fourth Quarter</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80" w:type="dxa"/>
            <w:vAlign w:val="bottom"/>
            <w:gridSpan w:val="2"/>
          </w:tcPr>
          <w:p>
            <w:pPr>
              <w:jc w:val="right"/>
              <w:ind w:right="1179"/>
              <w:spacing w:after="0"/>
              <w:rPr>
                <w:sz w:val="20"/>
                <w:szCs w:val="20"/>
                <w:color w:val="auto"/>
              </w:rPr>
            </w:pPr>
            <w:r>
              <w:rPr>
                <w:rFonts w:ascii="Arial" w:cs="Arial" w:eastAsia="Arial" w:hAnsi="Arial"/>
                <w:sz w:val="14"/>
                <w:szCs w:val="14"/>
                <w:color w:val="auto"/>
              </w:rPr>
              <w:t>2007 Third Quarter</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260"/>
              <w:spacing w:after="0" w:line="149" w:lineRule="exact"/>
              <w:rPr>
                <w:sz w:val="20"/>
                <w:szCs w:val="20"/>
                <w:color w:val="auto"/>
              </w:rPr>
            </w:pPr>
            <w:r>
              <w:rPr>
                <w:rFonts w:ascii="Arial" w:cs="Arial" w:eastAsia="Arial" w:hAnsi="Arial"/>
                <w:sz w:val="14"/>
                <w:szCs w:val="14"/>
                <w:color w:val="auto"/>
                <w:w w:val="91"/>
              </w:rPr>
              <w:t>Average</w:t>
            </w:r>
          </w:p>
        </w:tc>
        <w:tc>
          <w:tcPr>
            <w:tcW w:w="1640" w:type="dxa"/>
            <w:vAlign w:val="bottom"/>
          </w:tcPr>
          <w:p>
            <w:pPr>
              <w:spacing w:after="0"/>
              <w:rPr>
                <w:sz w:val="12"/>
                <w:szCs w:val="12"/>
                <w:color w:val="auto"/>
              </w:rPr>
            </w:pPr>
          </w:p>
        </w:tc>
        <w:tc>
          <w:tcPr>
            <w:tcW w:w="1460" w:type="dxa"/>
            <w:vAlign w:val="bottom"/>
          </w:tcPr>
          <w:p>
            <w:pPr>
              <w:jc w:val="right"/>
              <w:ind w:right="640"/>
              <w:spacing w:after="0" w:line="149" w:lineRule="exact"/>
              <w:rPr>
                <w:sz w:val="20"/>
                <w:szCs w:val="20"/>
                <w:color w:val="auto"/>
              </w:rPr>
            </w:pPr>
            <w:r>
              <w:rPr>
                <w:rFonts w:ascii="Arial" w:cs="Arial" w:eastAsia="Arial" w:hAnsi="Arial"/>
                <w:sz w:val="14"/>
                <w:szCs w:val="14"/>
                <w:color w:val="auto"/>
              </w:rPr>
              <w:t>Average</w:t>
            </w:r>
          </w:p>
        </w:tc>
        <w:tc>
          <w:tcPr>
            <w:tcW w:w="102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Average</w:t>
            </w:r>
          </w:p>
        </w:tc>
        <w:tc>
          <w:tcPr>
            <w:tcW w:w="1140" w:type="dxa"/>
            <w:vAlign w:val="bottom"/>
          </w:tcPr>
          <w:p>
            <w:pPr>
              <w:spacing w:after="0"/>
              <w:rPr>
                <w:sz w:val="12"/>
                <w:szCs w:val="12"/>
                <w:color w:val="auto"/>
              </w:rPr>
            </w:pPr>
          </w:p>
        </w:tc>
        <w:tc>
          <w:tcPr>
            <w:tcW w:w="14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400" w:type="dxa"/>
            <w:vAlign w:val="bottom"/>
            <w:gridSpan w:val="3"/>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8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color w:val="auto"/>
                <w:w w:val="94"/>
              </w:rPr>
              <w:t>Balance</w:t>
            </w:r>
          </w:p>
        </w:tc>
        <w:tc>
          <w:tcPr>
            <w:tcW w:w="1640" w:type="dxa"/>
            <w:vAlign w:val="bottom"/>
          </w:tcPr>
          <w:p>
            <w:pPr>
              <w:jc w:val="right"/>
              <w:ind w:right="540"/>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740"/>
              <w:spacing w:after="0"/>
              <w:rPr>
                <w:sz w:val="20"/>
                <w:szCs w:val="20"/>
                <w:color w:val="auto"/>
              </w:rPr>
            </w:pPr>
            <w:r>
              <w:rPr>
                <w:rFonts w:ascii="Arial" w:cs="Arial" w:eastAsia="Arial" w:hAnsi="Arial"/>
                <w:sz w:val="14"/>
                <w:szCs w:val="14"/>
                <w:color w:val="auto"/>
              </w:rPr>
              <w:t>Rate</w:t>
            </w:r>
          </w:p>
        </w:tc>
        <w:tc>
          <w:tcPr>
            <w:tcW w:w="1020" w:type="dxa"/>
            <w:vAlign w:val="bottom"/>
          </w:tcPr>
          <w:p>
            <w:pPr>
              <w:jc w:val="right"/>
              <w:ind w:right="280"/>
              <w:spacing w:after="0"/>
              <w:rPr>
                <w:sz w:val="20"/>
                <w:szCs w:val="20"/>
                <w:color w:val="auto"/>
              </w:rPr>
            </w:pPr>
            <w:r>
              <w:rPr>
                <w:rFonts w:ascii="Arial" w:cs="Arial" w:eastAsia="Arial" w:hAnsi="Arial"/>
                <w:sz w:val="14"/>
                <w:szCs w:val="14"/>
                <w:color w:val="auto"/>
              </w:rPr>
              <w:t>Balance</w:t>
            </w:r>
          </w:p>
        </w:tc>
        <w:tc>
          <w:tcPr>
            <w:tcW w:w="1140" w:type="dxa"/>
            <w:vAlign w:val="bottom"/>
          </w:tcPr>
          <w:p>
            <w:pPr>
              <w:jc w:val="right"/>
              <w:ind w:right="80"/>
              <w:spacing w:after="0"/>
              <w:rPr>
                <w:sz w:val="20"/>
                <w:szCs w:val="20"/>
                <w:color w:val="auto"/>
              </w:rPr>
            </w:pPr>
            <w:r>
              <w:rPr>
                <w:rFonts w:ascii="Arial" w:cs="Arial" w:eastAsia="Arial" w:hAnsi="Arial"/>
                <w:sz w:val="14"/>
                <w:szCs w:val="14"/>
                <w:color w:val="auto"/>
              </w:rPr>
              <w:t>Interest</w:t>
            </w:r>
          </w:p>
        </w:tc>
        <w:tc>
          <w:tcPr>
            <w:tcW w:w="1440" w:type="dxa"/>
            <w:vAlign w:val="bottom"/>
          </w:tcPr>
          <w:p>
            <w:pPr>
              <w:jc w:val="right"/>
              <w:ind w:right="259"/>
              <w:spacing w:after="0"/>
              <w:rPr>
                <w:sz w:val="20"/>
                <w:szCs w:val="20"/>
                <w:color w:val="auto"/>
              </w:rPr>
            </w:pPr>
            <w:r>
              <w:rPr>
                <w:rFonts w:ascii="Arial" w:cs="Arial" w:eastAsia="Arial" w:hAnsi="Arial"/>
                <w:sz w:val="14"/>
                <w:szCs w:val="14"/>
                <w:color w:val="auto"/>
              </w:rPr>
              <w:t>Rate</w:t>
            </w:r>
          </w:p>
        </w:tc>
      </w:tr>
      <w:tr>
        <w:trPr>
          <w:trHeight w:val="203"/>
        </w:trPr>
        <w:tc>
          <w:tcPr>
            <w:tcW w:w="20" w:type="dxa"/>
            <w:vAlign w:val="bottom"/>
          </w:tcPr>
          <w:p>
            <w:pPr>
              <w:spacing w:after="0"/>
              <w:rPr>
                <w:sz w:val="17"/>
                <w:szCs w:val="17"/>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Earning assets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and leases, net of unearned discount*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60"/>
              <w:spacing w:after="0"/>
              <w:rPr>
                <w:sz w:val="20"/>
                <w:szCs w:val="20"/>
                <w:color w:val="auto"/>
              </w:rPr>
            </w:pPr>
            <w:r>
              <w:rPr>
                <w:rFonts w:ascii="Arial" w:cs="Arial" w:eastAsia="Arial" w:hAnsi="Arial"/>
                <w:sz w:val="16"/>
                <w:szCs w:val="16"/>
                <w:color w:val="auto"/>
              </w:rPr>
              <w:t>Commercial, financial, etc.</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12,551</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$ 218,318</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6.90%</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12,239</w:t>
            </w:r>
          </w:p>
        </w:tc>
        <w:tc>
          <w:tcPr>
            <w:tcW w:w="1140" w:type="dxa"/>
            <w:vAlign w:val="bottom"/>
          </w:tcPr>
          <w:p>
            <w:pPr>
              <w:jc w:val="right"/>
              <w:spacing w:after="0"/>
              <w:rPr>
                <w:sz w:val="20"/>
                <w:szCs w:val="20"/>
                <w:color w:val="auto"/>
              </w:rPr>
            </w:pPr>
            <w:r>
              <w:rPr>
                <w:rFonts w:ascii="Arial" w:cs="Arial" w:eastAsia="Arial" w:hAnsi="Arial"/>
                <w:sz w:val="16"/>
                <w:szCs w:val="16"/>
                <w:color w:val="auto"/>
              </w:rPr>
              <w:t>223,525</w:t>
            </w:r>
          </w:p>
        </w:tc>
        <w:tc>
          <w:tcPr>
            <w:tcW w:w="144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Real estate — commercial</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16,459</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293,135</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7.12</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15,474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291,569</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60"/>
              <w:spacing w:after="0"/>
              <w:rPr>
                <w:sz w:val="20"/>
                <w:szCs w:val="20"/>
                <w:color w:val="auto"/>
              </w:rPr>
            </w:pPr>
            <w:r>
              <w:rPr>
                <w:rFonts w:ascii="Arial" w:cs="Arial" w:eastAsia="Arial" w:hAnsi="Arial"/>
                <w:sz w:val="16"/>
                <w:szCs w:val="16"/>
                <w:color w:val="auto"/>
              </w:rPr>
              <w:t>Real estate — consumer</w:t>
            </w:r>
          </w:p>
        </w:tc>
        <w:tc>
          <w:tcPr>
            <w:tcW w:w="48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6,327</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97,009</w:t>
            </w: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6.13</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5,915</w:t>
            </w:r>
          </w:p>
        </w:tc>
        <w:tc>
          <w:tcPr>
            <w:tcW w:w="1140" w:type="dxa"/>
            <w:vAlign w:val="bottom"/>
          </w:tcPr>
          <w:p>
            <w:pPr>
              <w:jc w:val="right"/>
              <w:spacing w:after="0"/>
              <w:rPr>
                <w:sz w:val="20"/>
                <w:szCs w:val="20"/>
                <w:color w:val="auto"/>
              </w:rPr>
            </w:pPr>
            <w:r>
              <w:rPr>
                <w:rFonts w:ascii="Arial" w:cs="Arial" w:eastAsia="Arial" w:hAnsi="Arial"/>
                <w:sz w:val="16"/>
                <w:szCs w:val="16"/>
                <w:color w:val="auto"/>
              </w:rPr>
              <w:t>95,629</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6.47</w:t>
            </w: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Consumer</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10,718</w:t>
            </w:r>
          </w:p>
        </w:tc>
        <w:tc>
          <w:tcPr>
            <w:tcW w:w="1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198,509</w:t>
            </w: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7.35</w:t>
            </w: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10,122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191,628</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7.51</w:t>
            </w:r>
          </w:p>
        </w:tc>
      </w:tr>
      <w:tr>
        <w:trPr>
          <w:trHeight w:val="217"/>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loans and leases, net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46,055</w:t>
            </w: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806,971</w:t>
            </w: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6.95</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43,750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802,351</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7.28</w:t>
            </w: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Interest-bearing deposits at banks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103</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3.48</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w:t>
            </w:r>
          </w:p>
        </w:tc>
      </w:tr>
      <w:tr>
        <w:trPr>
          <w:trHeight w:val="193"/>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Federal funds sold and agreements to resell</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60"/>
              <w:spacing w:after="0"/>
              <w:rPr>
                <w:sz w:val="20"/>
                <w:szCs w:val="20"/>
                <w:color w:val="auto"/>
              </w:rPr>
            </w:pPr>
            <w:r>
              <w:rPr>
                <w:rFonts w:ascii="Arial" w:cs="Arial" w:eastAsia="Arial" w:hAnsi="Arial"/>
                <w:sz w:val="16"/>
                <w:szCs w:val="16"/>
                <w:color w:val="auto"/>
              </w:rPr>
              <w:t>securities</w:t>
            </w:r>
          </w:p>
        </w:tc>
        <w:tc>
          <w:tcPr>
            <w:tcW w:w="48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725</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8,871</w:t>
            </w: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4.86</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248</w:t>
            </w:r>
          </w:p>
        </w:tc>
        <w:tc>
          <w:tcPr>
            <w:tcW w:w="1140" w:type="dxa"/>
            <w:vAlign w:val="bottom"/>
          </w:tcPr>
          <w:p>
            <w:pPr>
              <w:jc w:val="right"/>
              <w:spacing w:after="0"/>
              <w:rPr>
                <w:sz w:val="20"/>
                <w:szCs w:val="20"/>
                <w:color w:val="auto"/>
              </w:rPr>
            </w:pPr>
            <w:r>
              <w:rPr>
                <w:rFonts w:ascii="Arial" w:cs="Arial" w:eastAsia="Arial" w:hAnsi="Arial"/>
                <w:sz w:val="16"/>
                <w:szCs w:val="16"/>
                <w:color w:val="auto"/>
              </w:rPr>
              <w:t>3,429</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5.47</w:t>
            </w:r>
          </w:p>
        </w:tc>
      </w:tr>
      <w:tr>
        <w:trPr>
          <w:trHeight w:val="209"/>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Trading account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68</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253</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1.48</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r>
      <w:tr>
        <w:trPr>
          <w:trHeight w:val="203"/>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Investment securities**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U.S. Treasury and federal agencies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2,364</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26,828</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4.50</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2,156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23,935</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4.40</w:t>
            </w: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tcPr>
          <w:p>
            <w:pPr>
              <w:ind w:left="60"/>
              <w:spacing w:after="0"/>
              <w:rPr>
                <w:sz w:val="20"/>
                <w:szCs w:val="20"/>
                <w:color w:val="auto"/>
              </w:rPr>
            </w:pPr>
            <w:r>
              <w:rPr>
                <w:rFonts w:ascii="Arial" w:cs="Arial" w:eastAsia="Arial" w:hAnsi="Arial"/>
                <w:sz w:val="16"/>
                <w:szCs w:val="16"/>
                <w:color w:val="auto"/>
              </w:rPr>
              <w:t>Obligations of states and political</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Pr>
          <w:p>
            <w:pPr>
              <w:ind w:left="260"/>
              <w:spacing w:after="0"/>
              <w:rPr>
                <w:sz w:val="20"/>
                <w:szCs w:val="20"/>
                <w:color w:val="auto"/>
              </w:rPr>
            </w:pPr>
            <w:r>
              <w:rPr>
                <w:rFonts w:ascii="Arial" w:cs="Arial" w:eastAsia="Arial" w:hAnsi="Arial"/>
                <w:sz w:val="16"/>
                <w:szCs w:val="16"/>
                <w:color w:val="auto"/>
              </w:rPr>
              <w:t>subdivisions</w:t>
            </w:r>
          </w:p>
        </w:tc>
        <w:tc>
          <w:tcPr>
            <w:tcW w:w="480" w:type="dxa"/>
            <w:vAlign w:val="bottom"/>
          </w:tcPr>
          <w:p>
            <w:pPr>
              <w:spacing w:after="0"/>
              <w:rPr>
                <w:sz w:val="18"/>
                <w:szCs w:val="18"/>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121</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2,046</w:t>
            </w: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6.75</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108</w:t>
            </w:r>
          </w:p>
        </w:tc>
        <w:tc>
          <w:tcPr>
            <w:tcW w:w="1140" w:type="dxa"/>
            <w:vAlign w:val="bottom"/>
          </w:tcPr>
          <w:p>
            <w:pPr>
              <w:jc w:val="right"/>
              <w:spacing w:after="0"/>
              <w:rPr>
                <w:sz w:val="20"/>
                <w:szCs w:val="20"/>
                <w:color w:val="auto"/>
              </w:rPr>
            </w:pPr>
            <w:r>
              <w:rPr>
                <w:rFonts w:ascii="Arial" w:cs="Arial" w:eastAsia="Arial" w:hAnsi="Arial"/>
                <w:sz w:val="16"/>
                <w:szCs w:val="16"/>
                <w:color w:val="auto"/>
              </w:rPr>
              <w:t>2,040</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7.55</w:t>
            </w:r>
          </w:p>
        </w:tc>
      </w:tr>
      <w:tr>
        <w:trPr>
          <w:trHeight w:val="206"/>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5,420</w:t>
            </w:r>
          </w:p>
        </w:tc>
        <w:tc>
          <w:tcPr>
            <w:tcW w:w="1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73,128</w:t>
            </w: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5.35</w:t>
            </w: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4,996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66,162</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5.25</w:t>
            </w:r>
          </w:p>
        </w:tc>
      </w:tr>
      <w:tr>
        <w:trPr>
          <w:trHeight w:val="217"/>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investment securities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7,905</w:t>
            </w: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102,002</w:t>
            </w: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5.12</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7,260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92,137</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5.04</w:t>
            </w: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earning assets</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54,765</w:t>
            </w:r>
          </w:p>
        </w:tc>
        <w:tc>
          <w:tcPr>
            <w:tcW w:w="1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918,200</w:t>
            </w: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6.65</w:t>
            </w: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51,325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898,126</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6.94</w:t>
            </w:r>
          </w:p>
        </w:tc>
      </w:tr>
      <w:tr>
        <w:trPr>
          <w:trHeight w:val="204"/>
        </w:trPr>
        <w:tc>
          <w:tcPr>
            <w:tcW w:w="3400" w:type="dxa"/>
            <w:vAlign w:val="bottom"/>
            <w:gridSpan w:val="3"/>
          </w:tcPr>
          <w:p>
            <w:pPr>
              <w:spacing w:after="0"/>
              <w:rPr>
                <w:sz w:val="20"/>
                <w:szCs w:val="20"/>
                <w:color w:val="auto"/>
              </w:rPr>
            </w:pPr>
            <w:r>
              <w:rPr>
                <w:rFonts w:ascii="Arial" w:cs="Arial" w:eastAsia="Arial" w:hAnsi="Arial"/>
                <w:sz w:val="16"/>
                <w:szCs w:val="16"/>
                <w:color w:val="auto"/>
              </w:rPr>
              <w:t>Allowance for credit losses</w:t>
            </w:r>
          </w:p>
        </w:tc>
        <w:tc>
          <w:tcPr>
            <w:tcW w:w="48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(711)</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(675)</w:t>
            </w: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1,302</w:t>
            </w:r>
          </w:p>
        </w:tc>
        <w:tc>
          <w:tcPr>
            <w:tcW w:w="1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1,235</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6,193</w:t>
            </w:r>
          </w:p>
        </w:tc>
        <w:tc>
          <w:tcPr>
            <w:tcW w:w="1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5,977</w:t>
            </w:r>
          </w:p>
        </w:tc>
        <w:tc>
          <w:tcPr>
            <w:tcW w:w="1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61,549</w:t>
            </w:r>
          </w:p>
        </w:tc>
        <w:tc>
          <w:tcPr>
            <w:tcW w:w="16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57,862</w:t>
            </w:r>
          </w:p>
        </w:tc>
        <w:tc>
          <w:tcPr>
            <w:tcW w:w="1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r>
      <w:tr>
        <w:trPr>
          <w:trHeight w:val="20"/>
        </w:trPr>
        <w:tc>
          <w:tcPr>
            <w:tcW w:w="3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Interest-bearing liabilities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Interest-bearing deposits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NOW accounts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491</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1,465</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1.18</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464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60"/>
              <w:spacing w:after="0"/>
              <w:rPr>
                <w:sz w:val="20"/>
                <w:szCs w:val="20"/>
                <w:color w:val="auto"/>
              </w:rPr>
            </w:pPr>
            <w:r>
              <w:rPr>
                <w:rFonts w:ascii="Arial" w:cs="Arial" w:eastAsia="Arial" w:hAnsi="Arial"/>
                <w:sz w:val="16"/>
                <w:szCs w:val="16"/>
                <w:color w:val="auto"/>
              </w:rPr>
              <w:t>Savings deposits</w:t>
            </w:r>
          </w:p>
        </w:tc>
        <w:tc>
          <w:tcPr>
            <w:tcW w:w="48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15,265</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65,635</w:t>
            </w: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1.71</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14,908</w:t>
            </w:r>
          </w:p>
        </w:tc>
        <w:tc>
          <w:tcPr>
            <w:tcW w:w="1140" w:type="dxa"/>
            <w:vAlign w:val="bottom"/>
          </w:tcPr>
          <w:p>
            <w:pPr>
              <w:jc w:val="right"/>
              <w:spacing w:after="0"/>
              <w:rPr>
                <w:sz w:val="20"/>
                <w:szCs w:val="20"/>
                <w:color w:val="auto"/>
              </w:rPr>
            </w:pPr>
            <w:r>
              <w:rPr>
                <w:rFonts w:ascii="Arial" w:cs="Arial" w:eastAsia="Arial" w:hAnsi="Arial"/>
                <w:sz w:val="16"/>
                <w:szCs w:val="16"/>
                <w:color w:val="auto"/>
              </w:rPr>
              <w:t>62,883</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1.67</w:t>
            </w: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Time deposits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10,353</w:t>
            </w: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118,612</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4.55</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9,880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117,064</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4.70</w:t>
            </w:r>
          </w:p>
        </w:tc>
      </w:tr>
      <w:tr>
        <w:trPr>
          <w:trHeight w:val="210"/>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Deposits at foreign office</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4,975</w:t>
            </w: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56,674</w:t>
            </w: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4.52</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55,666</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5.11</w:t>
            </w: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Total interest-bearing deposits</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31,084</w:t>
            </w:r>
          </w:p>
        </w:tc>
        <w:tc>
          <w:tcPr>
            <w:tcW w:w="1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242,386</w:t>
            </w: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3.09</w:t>
            </w: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29,576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236,595</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3.17</w:t>
            </w:r>
          </w:p>
        </w:tc>
      </w:tr>
      <w:tr>
        <w:trPr>
          <w:trHeight w:val="204"/>
        </w:trPr>
        <w:tc>
          <w:tcPr>
            <w:tcW w:w="3400" w:type="dxa"/>
            <w:vAlign w:val="bottom"/>
            <w:gridSpan w:val="3"/>
          </w:tcPr>
          <w:p>
            <w:pPr>
              <w:spacing w:after="0"/>
              <w:rPr>
                <w:sz w:val="20"/>
                <w:szCs w:val="20"/>
                <w:color w:val="auto"/>
              </w:rPr>
            </w:pPr>
            <w:r>
              <w:rPr>
                <w:rFonts w:ascii="Arial" w:cs="Arial" w:eastAsia="Arial" w:hAnsi="Arial"/>
                <w:sz w:val="16"/>
                <w:szCs w:val="16"/>
                <w:color w:val="auto"/>
              </w:rPr>
              <w:t>Short-term borrowings</w:t>
            </w:r>
          </w:p>
        </w:tc>
        <w:tc>
          <w:tcPr>
            <w:tcW w:w="48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5,899</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68,639</w:t>
            </w: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4.62</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5,228</w:t>
            </w:r>
          </w:p>
        </w:tc>
        <w:tc>
          <w:tcPr>
            <w:tcW w:w="1140" w:type="dxa"/>
            <w:vAlign w:val="bottom"/>
          </w:tcPr>
          <w:p>
            <w:pPr>
              <w:jc w:val="right"/>
              <w:spacing w:after="0"/>
              <w:rPr>
                <w:sz w:val="20"/>
                <w:szCs w:val="20"/>
                <w:color w:val="auto"/>
              </w:rPr>
            </w:pPr>
            <w:r>
              <w:rPr>
                <w:rFonts w:ascii="Arial" w:cs="Arial" w:eastAsia="Arial" w:hAnsi="Arial"/>
                <w:sz w:val="16"/>
                <w:szCs w:val="16"/>
                <w:color w:val="auto"/>
              </w:rPr>
              <w:t>68,376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5.19</w:t>
            </w:r>
          </w:p>
        </w:tc>
      </w:tr>
      <w:tr>
        <w:trPr>
          <w:trHeight w:val="209"/>
        </w:trPr>
        <w:tc>
          <w:tcPr>
            <w:tcW w:w="20" w:type="dxa"/>
            <w:vAlign w:val="bottom"/>
          </w:tcPr>
          <w:p>
            <w:pPr>
              <w:spacing w:after="0"/>
              <w:rPr>
                <w:sz w:val="18"/>
                <w:szCs w:val="18"/>
                <w:color w:val="auto"/>
              </w:rPr>
            </w:pPr>
          </w:p>
        </w:tc>
        <w:tc>
          <w:tcPr>
            <w:tcW w:w="3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Long-term borrowings</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9,809</w:t>
            </w:r>
          </w:p>
        </w:tc>
        <w:tc>
          <w:tcPr>
            <w:tcW w:w="1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131,339</w:t>
            </w: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5.31</w:t>
            </w: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8,661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120,355</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5.51</w:t>
            </w:r>
          </w:p>
        </w:tc>
      </w:tr>
      <w:tr>
        <w:trPr>
          <w:trHeight w:val="217"/>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Total interest-bearing liabilities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46,792</w:t>
            </w: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442,364</w:t>
            </w: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3.75</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43,465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425,326</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3.88</w:t>
            </w: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Noninterest-bearing deposits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7,481</w:t>
            </w:r>
          </w:p>
        </w:tc>
        <w:tc>
          <w:tcPr>
            <w:tcW w:w="1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7,360</w:t>
            </w: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916</w:t>
            </w:r>
          </w:p>
        </w:tc>
        <w:tc>
          <w:tcPr>
            <w:tcW w:w="1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851</w:t>
            </w:r>
          </w:p>
        </w:tc>
        <w:tc>
          <w:tcPr>
            <w:tcW w:w="1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55,189</w:t>
            </w:r>
          </w:p>
        </w:tc>
        <w:tc>
          <w:tcPr>
            <w:tcW w:w="16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51,676</w:t>
            </w:r>
          </w:p>
        </w:tc>
        <w:tc>
          <w:tcPr>
            <w:tcW w:w="1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r>
      <w:tr>
        <w:trPr>
          <w:trHeight w:val="217"/>
        </w:trPr>
        <w:tc>
          <w:tcPr>
            <w:tcW w:w="34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8"/>
                <w:szCs w:val="18"/>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6,360</w:t>
            </w: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6,186</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32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61,549</w:t>
            </w:r>
          </w:p>
        </w:tc>
        <w:tc>
          <w:tcPr>
            <w:tcW w:w="164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57,862</w:t>
            </w: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1"/>
        </w:trPr>
        <w:tc>
          <w:tcPr>
            <w:tcW w:w="3400" w:type="dxa"/>
            <w:vAlign w:val="bottom"/>
            <w:gridSpan w:val="3"/>
          </w:tcPr>
          <w:p>
            <w:pPr>
              <w:spacing w:after="0"/>
              <w:rPr>
                <w:sz w:val="20"/>
                <w:szCs w:val="20"/>
                <w:color w:val="auto"/>
              </w:rPr>
            </w:pPr>
            <w:r>
              <w:rPr>
                <w:rFonts w:ascii="Arial" w:cs="Arial" w:eastAsia="Arial" w:hAnsi="Arial"/>
                <w:sz w:val="16"/>
                <w:szCs w:val="16"/>
                <w:color w:val="auto"/>
              </w:rPr>
              <w:t>Net interest spread</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tcPr>
          <w:p>
            <w:pPr>
              <w:jc w:val="right"/>
              <w:ind w:right="540"/>
              <w:spacing w:after="0"/>
              <w:rPr>
                <w:sz w:val="20"/>
                <w:szCs w:val="20"/>
                <w:color w:val="auto"/>
              </w:rPr>
            </w:pPr>
            <w:r>
              <w:rPr>
                <w:rFonts w:ascii="Arial" w:cs="Arial" w:eastAsia="Arial" w:hAnsi="Arial"/>
                <w:sz w:val="16"/>
                <w:szCs w:val="16"/>
                <w:color w:val="auto"/>
              </w:rPr>
              <w:t>2.90</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3.06</w:t>
            </w:r>
          </w:p>
        </w:tc>
      </w:tr>
      <w:tr>
        <w:trPr>
          <w:trHeight w:val="209"/>
        </w:trPr>
        <w:tc>
          <w:tcPr>
            <w:tcW w:w="20" w:type="dxa"/>
            <w:vAlign w:val="bottom"/>
          </w:tcPr>
          <w:p>
            <w:pPr>
              <w:spacing w:after="0"/>
              <w:rPr>
                <w:sz w:val="18"/>
                <w:szCs w:val="18"/>
                <w:color w:val="auto"/>
              </w:rPr>
            </w:pPr>
          </w:p>
        </w:tc>
        <w:tc>
          <w:tcPr>
            <w:tcW w:w="3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Contribution of interest-free funds</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rPr>
              <w:t>.55</w:t>
            </w:r>
          </w:p>
        </w:tc>
        <w:tc>
          <w:tcPr>
            <w:tcW w:w="10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r>
      <w:tr>
        <w:trPr>
          <w:trHeight w:val="207"/>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Net interest income/margin on earning assets</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$ 475,836</w:t>
            </w: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3.45%</w:t>
            </w:r>
          </w:p>
        </w:tc>
        <w:tc>
          <w:tcPr>
            <w:tcW w:w="10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472,800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21"/>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300"/>
              <w:spacing w:after="0"/>
              <w:rPr>
                <w:sz w:val="20"/>
                <w:szCs w:val="20"/>
                <w:color w:val="auto"/>
              </w:rPr>
            </w:pPr>
            <w:r>
              <w:rPr>
                <w:rFonts w:ascii="Arial" w:cs="Arial" w:eastAsia="Arial" w:hAnsi="Arial"/>
                <w:sz w:val="18"/>
                <w:szCs w:val="18"/>
                <w:i w:val="1"/>
                <w:iCs w:val="1"/>
                <w:color w:val="auto"/>
              </w:rPr>
              <w:t>Includes nonaccrual loans.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0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60" w:firstLine="233"/>
        <w:spacing w:after="0" w:line="312" w:lineRule="auto"/>
        <w:tabs>
          <w:tab w:leader="none" w:pos="4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2008.</w:t>
      </w:r>
    </w:p>
    <w:p>
      <w:pPr>
        <w:spacing w:after="0" w:line="38" w:lineRule="exact"/>
        <w:rPr>
          <w:rFonts w:ascii="Arial" w:cs="Arial" w:eastAsia="Arial" w:hAnsi="Arial"/>
          <w:sz w:val="16"/>
          <w:szCs w:val="16"/>
          <w:color w:val="auto"/>
        </w:rPr>
      </w:pPr>
    </w:p>
    <w:p>
      <w:pPr>
        <w:ind w:right="40" w:firstLine="233"/>
        <w:spacing w:after="0" w:line="279"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2008 that have materially affected, or are reasonably likely to materially affect, M&amp;T’s internal control over financial reporting.</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For a discussion of risk factors relating to M&amp;T, refer to the response to Item 1A. to Part I of Form 10-K for the year ended December 31, 2007, as well as to Part I, Item I, “Financial Statements” and Part I, Item 2, “Management’s Discussion and Analysis of Financial Condition and Results of Operations” included in this Quarterly Report on Form 10-Q. Additional risk factors for M&amp;T include:</w:t>
      </w:r>
    </w:p>
    <w:p>
      <w:pPr>
        <w:spacing w:after="0" w:line="73" w:lineRule="exact"/>
        <w:rPr>
          <w:sz w:val="20"/>
          <w:szCs w:val="20"/>
          <w:color w:val="auto"/>
        </w:rPr>
      </w:pPr>
    </w:p>
    <w:p>
      <w:pPr>
        <w:jc w:val="both"/>
        <w:ind w:left="660" w:right="6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significant downturn in the residential real estate market that began in 2007 has continued in 2008. The impact of that downturn has resulted in declining home prices, higher foreclosures and loan charge-offs, and lower market prices on investment securities backed by residential real estate. These factors could negatively impact M&amp;T’s results of operations.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Lower demand for M&amp;T’s products and services and lower revenues and earnings could result from an economic recession.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Lower fee income from M&amp;T’s brokerage, and trust businesses could result from significant declines in stock market prices.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Lower earnings could result from other-than temporary impairment charges related to M&amp;T’s investment securities portfolio.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Higher FDIC insurance costs due to bank failures that have caused the FDIC Deposit Insurance Fund to fall below minimum required levels.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There is no assurance that the Emergency Economic Stabilization Act of 2008 will improve the condition of the financial markets.</w:t>
      </w:r>
    </w:p>
    <w:p>
      <w:pPr>
        <w:spacing w:after="0" w:line="198" w:lineRule="exact"/>
        <w:rPr>
          <w:rFonts w:ascii="Arial" w:cs="Arial" w:eastAsia="Arial" w:hAnsi="Arial"/>
          <w:sz w:val="18"/>
          <w:szCs w:val="18"/>
          <w:b w:val="1"/>
          <w:bCs w:val="1"/>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 (b)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color w:val="auto"/>
              </w:rPr>
              <w:t>Issuer Purchases of Equity Securities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(a)Total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Number</w:t>
            </w:r>
          </w:p>
        </w:tc>
        <w:tc>
          <w:tcPr>
            <w:tcW w:w="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(b)Average</w:t>
            </w:r>
          </w:p>
        </w:tc>
        <w:tc>
          <w:tcPr>
            <w:tcW w:w="6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Price Paid</w:t>
            </w: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(or Units)</w:t>
            </w:r>
          </w:p>
        </w:tc>
        <w:tc>
          <w:tcPr>
            <w:tcW w:w="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per Share</w:t>
            </w: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44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980" w:type="dxa"/>
            <w:vAlign w:val="bottom"/>
            <w:gridSpan w:val="3"/>
          </w:tcPr>
          <w:p>
            <w:pPr>
              <w:jc w:val="center"/>
              <w:ind w:left="1496"/>
              <w:spacing w:after="0"/>
              <w:rPr>
                <w:sz w:val="20"/>
                <w:szCs w:val="20"/>
                <w:color w:val="auto"/>
              </w:rPr>
            </w:pPr>
            <w:r>
              <w:rPr>
                <w:rFonts w:ascii="Arial" w:cs="Arial" w:eastAsia="Arial" w:hAnsi="Arial"/>
                <w:sz w:val="14"/>
                <w:szCs w:val="14"/>
                <w:color w:val="auto"/>
                <w:w w:val="90"/>
              </w:rPr>
              <w:t>Purchased (1)</w:t>
            </w:r>
          </w:p>
        </w:tc>
        <w:tc>
          <w:tcPr>
            <w:tcW w:w="3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rPr>
              <w:t>(or Unit)</w:t>
            </w:r>
          </w:p>
        </w:tc>
        <w:tc>
          <w:tcPr>
            <w:tcW w:w="6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2008</w:t>
            </w:r>
          </w:p>
        </w:tc>
        <w:tc>
          <w:tcPr>
            <w:tcW w:w="18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August 1 - August 31, 2008</w:t>
            </w:r>
          </w:p>
        </w:tc>
        <w:tc>
          <w:tcPr>
            <w:tcW w:w="18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1 - - September 30, 2008</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24"/>
                <w:szCs w:val="2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93.50</w:t>
            </w:r>
          </w:p>
        </w:tc>
        <w:tc>
          <w:tcPr>
            <w:tcW w:w="66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4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shares in satisfaction of the exercise price, as is permitted under M&amp;T’s stock option plans.</w:t>
      </w:r>
    </w:p>
    <w:p>
      <w:pPr>
        <w:spacing w:after="0" w:line="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260"/>
        <w:spacing w:after="0"/>
        <w:rPr>
          <w:sz w:val="20"/>
          <w:szCs w:val="20"/>
          <w:color w:val="auto"/>
        </w:rPr>
      </w:pPr>
      <w:r>
        <w:rPr>
          <w:rFonts w:ascii="Arial" w:cs="Arial" w:eastAsia="Arial" w:hAnsi="Arial"/>
          <w:sz w:val="14"/>
          <w:szCs w:val="14"/>
          <w:color w:val="auto"/>
        </w:rPr>
        <w:t>Exhibit</w:t>
      </w:r>
    </w:p>
    <w:p>
      <w:pPr>
        <w:jc w:val="center"/>
        <w:ind w:right="102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November 7, 2008</w:t>
            </w:r>
          </w:p>
        </w:tc>
        <w:tc>
          <w:tcPr>
            <w:tcW w:w="6160" w:type="dxa"/>
            <w:vAlign w:val="bottom"/>
            <w:gridSpan w:val="2"/>
          </w:tcPr>
          <w:p>
            <w:pPr>
              <w:jc w:val="right"/>
              <w:ind w:right="273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621"/>
        </w:trPr>
        <w:tc>
          <w:tcPr>
            <w:tcW w:w="3580" w:type="dxa"/>
            <w:vAlign w:val="bottom"/>
          </w:tcPr>
          <w:p>
            <w:pPr>
              <w:spacing w:after="0"/>
              <w:rPr>
                <w:sz w:val="24"/>
                <w:szCs w:val="24"/>
                <w:color w:val="auto"/>
              </w:rPr>
            </w:pPr>
          </w:p>
        </w:tc>
        <w:tc>
          <w:tcPr>
            <w:tcW w:w="6160" w:type="dxa"/>
            <w:vAlign w:val="bottom"/>
            <w:gridSpan w:val="2"/>
          </w:tcPr>
          <w:p>
            <w:pPr>
              <w:jc w:val="right"/>
              <w:ind w:right="3750"/>
              <w:spacing w:after="0"/>
              <w:rPr>
                <w:sz w:val="20"/>
                <w:szCs w:val="20"/>
                <w:color w:val="auto"/>
              </w:rPr>
            </w:pPr>
            <w:r>
              <w:rPr>
                <w:rFonts w:ascii="Arial" w:cs="Arial" w:eastAsia="Arial" w:hAnsi="Arial"/>
                <w:sz w:val="18"/>
                <w:szCs w:val="18"/>
                <w:color w:val="auto"/>
              </w:rPr>
              <w:t>- 69 -</w:t>
            </w:r>
          </w:p>
        </w:tc>
        <w:tc>
          <w:tcPr>
            <w:tcW w:w="168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jc w:val="center"/>
        <w:ind w:right="10180"/>
        <w:spacing w:after="0"/>
        <w:rPr>
          <w:sz w:val="20"/>
          <w:szCs w:val="20"/>
          <w:color w:val="auto"/>
        </w:rPr>
      </w:pPr>
      <w:r>
        <w:rPr>
          <w:rFonts w:ascii="Arial" w:cs="Arial" w:eastAsia="Arial" w:hAnsi="Arial"/>
          <w:sz w:val="14"/>
          <w:szCs w:val="14"/>
          <w:color w:val="auto"/>
        </w:rPr>
        <w:t>Exhibit</w:t>
      </w:r>
    </w:p>
    <w:p>
      <w:pPr>
        <w:jc w:val="center"/>
        <w:ind w:right="1018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jc w:val="center"/>
        <w:ind w:left="600" w:right="60"/>
        <w:spacing w:after="0" w:line="496" w:lineRule="auto"/>
        <w:rPr>
          <w:sz w:val="20"/>
          <w:szCs w:val="20"/>
          <w:color w:val="auto"/>
        </w:rPr>
      </w:pPr>
      <w:r>
        <w:rPr>
          <w:rFonts w:ascii="Arial" w:cs="Arial" w:eastAsia="Arial" w:hAnsi="Arial"/>
          <w:sz w:val="18"/>
          <w:szCs w:val="18"/>
          <w:color w:val="auto"/>
        </w:rPr>
        <w:t>32.2      Certification of Chief Financial Officer under 18 U.S.C. §1350 pursuant to Section 906 of the Sarbanes-Oxley Act of 2002. Filed herewith. - 70 -</w:t>
      </w:r>
    </w:p>
    <w:p>
      <w:pPr>
        <w:sectPr>
          <w:pgSz w:w="11900" w:h="16838" w:orient="portrait"/>
          <w:cols w:equalWidth="0" w:num="1">
            <w:col w:w="11340"/>
          </w:cols>
          <w:pgMar w:left="240" w:top="419"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225"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60" w:right="16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260" w:right="2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60" w:right="32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260" w:right="380" w:hanging="252"/>
        <w:spacing w:after="0" w:line="308"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260" w:right="26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60" w:right="48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838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ind w:left="220" w:right="240" w:hanging="212"/>
        <w:spacing w:after="0" w:line="342" w:lineRule="auto"/>
        <w:tabs>
          <w:tab w:leader="none" w:pos="2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20" w:hanging="212"/>
        <w:spacing w:after="0" w:line="277" w:lineRule="auto"/>
        <w:tabs>
          <w:tab w:leader="none" w:pos="2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220" w:right="60" w:hanging="212"/>
        <w:spacing w:after="0" w:line="264"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220" w:right="220" w:hanging="212"/>
        <w:spacing w:after="0" w:line="264"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20" w:right="60" w:hanging="212"/>
        <w:spacing w:after="0" w:line="264" w:lineRule="auto"/>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20" w:right="120" w:hanging="212"/>
        <w:spacing w:after="0" w:line="277"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20" w:right="60" w:hanging="212"/>
        <w:spacing w:after="0" w:line="264" w:lineRule="auto"/>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left="220" w:right="420" w:hanging="212"/>
        <w:spacing w:after="0" w:line="308" w:lineRule="auto"/>
        <w:tabs>
          <w:tab w:leader="none" w:pos="23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20" w:right="320" w:hanging="212"/>
        <w:spacing w:after="0" w:line="277" w:lineRule="auto"/>
        <w:tabs>
          <w:tab w:leader="none" w:pos="2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20" w:right="560" w:hanging="212"/>
        <w:spacing w:after="0" w:line="277" w:lineRule="auto"/>
        <w:tabs>
          <w:tab w:leader="none" w:pos="2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838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2008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1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2008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1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2"/>
    </w:lvl>
  </w:abstractNum>
  <w:abstractNum w:abstractNumId="4">
    <w:nsid w:val="431BD7B7"/>
    <w:multiLevelType w:val="hybridMultilevel"/>
    <w:lvl w:ilvl="0">
      <w:lvlJc w:val="left"/>
      <w:lvlText w:val="•"/>
      <w:numFmt w:val="bullet"/>
      <w:start w:val="1"/>
    </w:lvl>
    <w:lvl w:ilvl="1">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Roman"/>
      <w:start w:val="3"/>
    </w:lvl>
  </w:abstractNum>
  <w:abstractNum w:abstractNumId="13">
    <w:nsid w:val="2443A858"/>
    <w:multiLevelType w:val="hybridMultilevel"/>
    <w:lvl w:ilvl="0">
      <w:lvlJc w:val="left"/>
      <w:lvlText w:val="&amp;"/>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2019-12-11T12:21:05Z</dcterms:created>
  <dcterms:modified xsi:type="dcterms:W3CDTF">2019-12-11T12:21:05Z</dcterms:modified>
</cp:coreProperties>
</file>