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New York</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5"/>
              </w:rPr>
              <w:t>One M &amp; T Plaza</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Buffalo, New York</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14203</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(716) 842-5445</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0" w:lineRule="exact"/>
        <w:rPr>
          <w:sz w:val="24"/>
          <w:szCs w:val="24"/>
          <w:color w:val="auto"/>
        </w:rPr>
      </w:pPr>
    </w:p>
    <w:p>
      <w:pPr>
        <w:sectPr>
          <w:pgSz w:w="11900" w:h="16838" w:orient="portrait"/>
          <w:cols w:equalWidth="0" w:num="4">
            <w:col w:w="7980" w:space="160"/>
            <w:col w:w="160" w:space="100"/>
            <w:col w:w="240" w:space="180"/>
            <w:col w:w="2600"/>
          </w:cols>
          <w:pgMar w:left="240" w:top="230"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July 31, 2013: 130,037,423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June 30,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Borders>
              <w:bottom w:val="single" w:sz="8" w:color="auto"/>
            </w:tcBorders>
            <w:gridSpan w:val="13"/>
          </w:tcPr>
          <w:p>
            <w:pPr>
              <w:spacing w:after="0"/>
              <w:rPr>
                <w:sz w:val="20"/>
                <w:szCs w:val="20"/>
                <w:color w:val="auto"/>
              </w:rPr>
            </w:pPr>
            <w:r>
              <w:rPr>
                <w:rFonts w:ascii="Arial" w:cs="Arial" w:eastAsia="Arial" w:hAnsi="Arial"/>
                <w:sz w:val="14"/>
                <w:szCs w:val="14"/>
                <w:color w:val="auto"/>
                <w:w w:val="93"/>
              </w:rPr>
              <w:t>Table of Contents of Information Required in Report</w:t>
            </w:r>
          </w:p>
        </w:tc>
        <w:tc>
          <w:tcPr>
            <w:tcW w:w="7960" w:type="dxa"/>
            <w:vAlign w:val="bottom"/>
            <w:gridSpan w:val="11"/>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57"/>
        </w:trPr>
        <w:tc>
          <w:tcPr>
            <w:tcW w:w="1100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3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0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180" w:type="dxa"/>
            <w:vAlign w:val="bottom"/>
            <w:tcBorders>
              <w:top w:val="single" w:sz="8" w:color="0000EE"/>
            </w:tcBorders>
          </w:tcPr>
          <w:p>
            <w:pPr>
              <w:spacing w:after="0"/>
              <w:rPr>
                <w:sz w:val="24"/>
                <w:szCs w:val="24"/>
                <w:color w:val="auto"/>
              </w:rPr>
            </w:pPr>
          </w:p>
        </w:tc>
        <w:tc>
          <w:tcPr>
            <w:tcW w:w="83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BALANCE SHEET - June 30, 2013 and December 31, 2012</w:t>
              </w:r>
            </w:hyperlink>
          </w:p>
        </w:tc>
        <w:tc>
          <w:tcPr>
            <w:tcW w:w="448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six months ended June 30, 2013 and 2012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COMPREHENSIVE INCOME - Three and six months ended June 30, 2013 and 2012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40" w:type="dxa"/>
            <w:vAlign w:val="bottom"/>
            <w:tcBorders>
              <w:top w:val="single" w:sz="8" w:color="0000EE"/>
            </w:tcBorders>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Six months ended June 30, 2013 and 2012</w:t>
              </w:r>
            </w:hyperlink>
          </w:p>
        </w:tc>
        <w:tc>
          <w:tcPr>
            <w:tcW w:w="138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 OF CHANGES IN SHAREHOLDERS’ EQUITY - Six months ended June 30, 2013 and 2012</w:t>
              </w:r>
            </w:hyperlink>
          </w:p>
        </w:tc>
        <w:tc>
          <w:tcPr>
            <w:tcW w:w="10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NOTES TO FINANCIAL STATEMENTS</w:t>
              </w:r>
            </w:hyperlink>
          </w:p>
        </w:tc>
        <w:tc>
          <w:tcPr>
            <w:tcW w:w="7140" w:type="dxa"/>
            <w:vAlign w:val="bottom"/>
            <w:gridSpan w:val="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440" w:type="dxa"/>
            <w:vAlign w:val="bottom"/>
          </w:tcPr>
          <w:p>
            <w:pPr>
              <w:spacing w:after="0"/>
              <w:rPr>
                <w:sz w:val="24"/>
                <w:szCs w:val="24"/>
                <w:color w:val="auto"/>
              </w:rPr>
            </w:pPr>
          </w:p>
        </w:tc>
        <w:tc>
          <w:tcPr>
            <w:tcW w:w="10560" w:type="dxa"/>
            <w:vAlign w:val="bottom"/>
            <w:gridSpan w:val="2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 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440" w:type="dxa"/>
            <w:vAlign w:val="bottom"/>
          </w:tcPr>
          <w:p>
            <w:pPr>
              <w:spacing w:after="0"/>
              <w:rPr>
                <w:sz w:val="24"/>
                <w:szCs w:val="24"/>
                <w:color w:val="auto"/>
              </w:rPr>
            </w:pPr>
          </w:p>
        </w:tc>
        <w:tc>
          <w:tcPr>
            <w:tcW w:w="6880" w:type="dxa"/>
            <w:vAlign w:val="bottom"/>
            <w:tcBorders>
              <w:top w:val="single" w:sz="8" w:color="0000EE"/>
            </w:tcBorders>
            <w:gridSpan w:val="1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Item 3. Quantitative and Qualitative Disclosures About Market Risk</w:t>
              </w:r>
            </w:hyperlink>
            <w:r>
              <w:rPr>
                <w:rFonts w:ascii="Arial" w:cs="Arial" w:eastAsia="Arial" w:hAnsi="Arial"/>
                <w:sz w:val="18"/>
                <w:szCs w:val="18"/>
                <w:color w:val="000000"/>
              </w:rPr>
              <w:t>.</w:t>
            </w:r>
          </w:p>
        </w:tc>
        <w:tc>
          <w:tcPr>
            <w:tcW w:w="368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tcBorders>
            <w:gridSpan w:val="1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Item 4. Controls and Procedures</w:t>
              </w:r>
            </w:hyperlink>
            <w:r>
              <w:rPr>
                <w:rFonts w:ascii="Arial" w:cs="Arial" w:eastAsia="Arial" w:hAnsi="Arial"/>
                <w:sz w:val="18"/>
                <w:szCs w:val="18"/>
                <w:color w:val="000000"/>
              </w:rPr>
              <w:t>.</w:t>
            </w:r>
          </w:p>
        </w:tc>
        <w:tc>
          <w:tcPr>
            <w:tcW w:w="576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23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Part II. OTHER INFORMATION</w:t>
              </w:r>
            </w:hyperlink>
          </w:p>
        </w:tc>
        <w:tc>
          <w:tcPr>
            <w:tcW w:w="8620" w:type="dxa"/>
            <w:vAlign w:val="bottom"/>
            <w:gridSpan w:val="15"/>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Item 1. Legal Proceedings</w:t>
              </w:r>
            </w:hyperlink>
            <w:r>
              <w:rPr>
                <w:rFonts w:ascii="Arial" w:cs="Arial" w:eastAsia="Arial" w:hAnsi="Arial"/>
                <w:sz w:val="18"/>
                <w:szCs w:val="18"/>
                <w:color w:val="000000"/>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304"/>
        </w:trPr>
        <w:tc>
          <w:tcPr>
            <w:tcW w:w="440" w:type="dxa"/>
            <w:vAlign w:val="bottom"/>
          </w:tcPr>
          <w:p>
            <w:pPr>
              <w:spacing w:after="0"/>
              <w:rPr>
                <w:sz w:val="24"/>
                <w:szCs w:val="24"/>
                <w:color w:val="auto"/>
              </w:rPr>
            </w:pPr>
          </w:p>
        </w:tc>
        <w:tc>
          <w:tcPr>
            <w:tcW w:w="1840" w:type="dxa"/>
            <w:vAlign w:val="bottom"/>
            <w:tcBorders>
              <w:top w:val="single" w:sz="8" w:color="0000EE"/>
            </w:tcBorders>
            <w:gridSpan w:val="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Item 1A. Risk Factors</w:t>
              </w:r>
            </w:hyperlink>
            <w:r>
              <w:rPr>
                <w:rFonts w:ascii="Arial" w:cs="Arial" w:eastAsia="Arial" w:hAnsi="Arial"/>
                <w:sz w:val="18"/>
                <w:szCs w:val="18"/>
                <w:color w:val="000000"/>
              </w:rPr>
              <w:t>.</w:t>
            </w:r>
          </w:p>
        </w:tc>
        <w:tc>
          <w:tcPr>
            <w:tcW w:w="872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105</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3"/>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2. Unregistered Sales of Equity Securities and Use of Proceeds</w:t>
              </w:r>
            </w:hyperlink>
            <w:r>
              <w:rPr>
                <w:rFonts w:ascii="Arial" w:cs="Arial" w:eastAsia="Arial" w:hAnsi="Arial"/>
                <w:sz w:val="18"/>
                <w:szCs w:val="18"/>
                <w:color w:val="000000"/>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3. Defaults Upon Senior Securities</w:t>
              </w:r>
            </w:hyperlink>
            <w:r>
              <w:rPr>
                <w:rFonts w:ascii="Arial" w:cs="Arial" w:eastAsia="Arial" w:hAnsi="Arial"/>
                <w:sz w:val="18"/>
                <w:szCs w:val="18"/>
                <w:color w:val="000000"/>
              </w:rPr>
              <w:t>.</w:t>
            </w:r>
          </w:p>
        </w:tc>
        <w:tc>
          <w:tcPr>
            <w:tcW w:w="578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3"/>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4. Mine Safety Disclosures</w:t>
              </w:r>
            </w:hyperlink>
            <w:r>
              <w:rPr>
                <w:rFonts w:ascii="Arial" w:cs="Arial" w:eastAsia="Arial" w:hAnsi="Arial"/>
                <w:sz w:val="18"/>
                <w:szCs w:val="18"/>
                <w:color w:val="000000"/>
              </w:rPr>
              <w:t>.</w:t>
            </w:r>
          </w:p>
        </w:tc>
        <w:tc>
          <w:tcPr>
            <w:tcW w:w="776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11"/>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5. Other Information</w:t>
              </w:r>
            </w:hyperlink>
            <w:r>
              <w:rPr>
                <w:rFonts w:ascii="Arial" w:cs="Arial" w:eastAsia="Arial" w:hAnsi="Arial"/>
                <w:sz w:val="18"/>
                <w:szCs w:val="18"/>
                <w:color w:val="000000"/>
              </w:rPr>
              <w:t>.</w:t>
            </w:r>
          </w:p>
        </w:tc>
        <w:tc>
          <w:tcPr>
            <w:tcW w:w="83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6. Exhibits</w:t>
              </w:r>
            </w:hyperlink>
            <w:r>
              <w:rPr>
                <w:rFonts w:ascii="Arial" w:cs="Arial" w:eastAsia="Arial" w:hAnsi="Arial"/>
                <w:sz w:val="18"/>
                <w:szCs w:val="18"/>
                <w:color w:val="000000"/>
              </w:rPr>
              <w:t>.</w:t>
            </w:r>
          </w:p>
        </w:tc>
        <w:tc>
          <w:tcPr>
            <w:tcW w:w="874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4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24"/>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20"/>
        </w:trPr>
        <w:tc>
          <w:tcPr>
            <w:tcW w:w="10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00" w:type="dxa"/>
            <w:vAlign w:val="bottom"/>
            <w:gridSpan w:val="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08">
              <w:r>
                <w:rPr>
                  <w:rFonts w:ascii="Arial" w:cs="Arial" w:eastAsia="Arial" w:hAnsi="Arial"/>
                  <w:sz w:val="18"/>
                  <w:szCs w:val="18"/>
                  <w:color w:val="0000EE"/>
                  <w:w w:val="98"/>
                </w:rPr>
                <w:t>EXHIBIT INDEX</w:t>
              </w:r>
            </w:hyperlink>
          </w:p>
        </w:tc>
        <w:tc>
          <w:tcPr>
            <w:tcW w:w="9700" w:type="dxa"/>
            <w:vAlign w:val="bottom"/>
            <w:gridSpan w:val="2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83"/>
        </w:trPr>
        <w:tc>
          <w:tcPr>
            <w:tcW w:w="6520" w:type="dxa"/>
            <w:vAlign w:val="bottom"/>
            <w:gridSpan w:val="18"/>
          </w:tcPr>
          <w:p>
            <w:pPr>
              <w:ind w:left="5560"/>
              <w:spacing w:after="0"/>
              <w:rPr>
                <w:sz w:val="20"/>
                <w:szCs w:val="20"/>
                <w:color w:val="auto"/>
              </w:rPr>
            </w:pPr>
            <w:r>
              <w:rPr>
                <w:rFonts w:ascii="Arial" w:cs="Arial" w:eastAsia="Arial" w:hAnsi="Arial"/>
                <w:sz w:val="18"/>
                <w:szCs w:val="18"/>
                <w:color w:val="auto"/>
              </w:rPr>
              <w:t>- 2 -</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vMerge w:val="restart"/>
          </w:tcPr>
          <w:p>
            <w:pPr>
              <w:spacing w:after="0"/>
              <w:rPr>
                <w:sz w:val="20"/>
                <w:szCs w:val="20"/>
                <w:color w:val="auto"/>
              </w:rPr>
            </w:pPr>
            <w:r>
              <w:rPr>
                <w:rFonts w:ascii="Arial" w:cs="Arial" w:eastAsia="Arial" w:hAnsi="Arial"/>
                <w:sz w:val="14"/>
                <w:szCs w:val="14"/>
                <w:i w:val="1"/>
                <w:iCs w:val="1"/>
                <w:color w:val="auto"/>
                <w:w w:val="87"/>
              </w:rPr>
              <w:t>Dollars in thousands, except per share</w:t>
            </w:r>
          </w:p>
        </w:tc>
        <w:tc>
          <w:tcPr>
            <w:tcW w:w="10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June 30,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66"/>
        </w:trPr>
        <w:tc>
          <w:tcPr>
            <w:tcW w:w="2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4"/>
                <w:szCs w:val="14"/>
                <w:color w:val="auto"/>
              </w:rPr>
            </w:pPr>
          </w:p>
        </w:tc>
        <w:tc>
          <w:tcPr>
            <w:tcW w:w="86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69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Cash and due from banks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1,350,015</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1,983,615</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Interest-bearing deposits at banks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2,555,354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129,945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Federal funds sold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124,487</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Trading account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378,235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488,966</w:t>
            </w:r>
          </w:p>
        </w:tc>
        <w:tc>
          <w:tcPr>
            <w:tcW w:w="0" w:type="dxa"/>
            <w:vAlign w:val="bottom"/>
          </w:tcPr>
          <w:p>
            <w:pPr>
              <w:spacing w:after="0"/>
              <w:rPr>
                <w:sz w:val="1"/>
                <w:szCs w:val="1"/>
                <w:color w:val="auto"/>
              </w:rPr>
            </w:pPr>
          </w:p>
        </w:tc>
      </w:tr>
      <w:tr>
        <w:trPr>
          <w:trHeight w:val="208"/>
        </w:trPr>
        <w:tc>
          <w:tcPr>
            <w:tcW w:w="212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1"/>
              </w:rPr>
              <w:t>Investment securities (includes pledged securities that can be sold or repledged of $1,724,073 at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June 30, 2013; $1,801,842 at December 31, 2012)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Available for sale (cost: $2,985,526 at June 30, 2013; $4,643,070 at December 31, 2012)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3,085,086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4,739,437</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94"/>
              </w:rPr>
              <w:t>Held to maturity (fair value: $1,737,578 at June 30, 2013; $976,883 at December 31, 2012)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1,819,691</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1,032,276</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(fair value: $305,749 at June 30, 2013; $302,648 at December 31, 2012)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305,749</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tcPr>
          <w:p>
            <w:pPr>
              <w:ind w:left="360"/>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5,210,526</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and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66,197,178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66,790,186</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Unearned discount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(225,312)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(219,229)</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and leases, net of unearned discount</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65,971,866</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66,570,957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rPr>
              <w:t>Allowance for credit losses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(927,065)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(925,860)</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and leases, net</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65,044,801</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65,645,097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19"/>
                <w:szCs w:val="19"/>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595,536</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594,652</w:t>
            </w: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3,524,625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3,524,625</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Core deposit and other intangible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89,918</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115,763</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interest and other assets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4,355,508</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83,229,005</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83,008,803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Noninterest-bearing deposits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24,074,815</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24,240,802</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1,791,995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1,979,619</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35,455,693</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33,783,947</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4,054,524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4,562,366</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284,443</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65,661,470</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65,611,253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19"/>
                <w:szCs w:val="19"/>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Federal funds purchased and agreements to repurchase securities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307,740</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1,074,482</w:t>
            </w: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interest and other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1,421,067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1,512,717</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Long-term borrowings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5,122,398</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72,512,675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72,806,210</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20"/>
                <w:szCs w:val="20"/>
                <w:color w:val="auto"/>
              </w:rPr>
            </w:pPr>
            <w:r>
              <w:rPr>
                <w:rFonts w:ascii="Arial" w:cs="Arial" w:eastAsia="Arial" w:hAnsi="Arial"/>
                <w:sz w:val="18"/>
                <w:szCs w:val="18"/>
                <w:color w:val="auto"/>
              </w:rPr>
              <w:t>Shareholders’ equity</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5"/>
              </w:rPr>
              <w:t>Preferred stock, $1.00 par, 1,000,000 shares authorized; Issued and outstanding: Liquidation</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94"/>
              </w:rPr>
              <w:t>preference of $1,000 per share: 381,500 shares at June 30, 2013 and December 31, 2012;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Arial" w:cs="Arial" w:eastAsia="Arial" w:hAnsi="Arial"/>
                <w:sz w:val="18"/>
                <w:szCs w:val="18"/>
                <w:color w:val="auto"/>
                <w:w w:val="89"/>
              </w:rPr>
              <w:t>Liquidation preference of $10,000 per share: 50,000 shares at June 30, 2013 and December 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7080" w:type="dxa"/>
            <w:vAlign w:val="bottom"/>
            <w:gridSpan w:val="2"/>
          </w:tcPr>
          <w:p>
            <w:pPr>
              <w:ind w:left="24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876,796</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872,500</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Common stock, $.50 par, 250,000,000 shares authorized, 129,416,718 shares issued at June 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2013; 128,176,912 shares issued at December 31, 2012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64,709</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64,088</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2"/>
              </w:rPr>
              <w:t>Common stock issuable, 46,813 shares at June 30, 2013; 57,409 shares at December 31, 2012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2,860</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3,112,666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3,025,520</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6,887,070</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6,477,276</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(227,771)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10,716,330</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10,202,593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83,229,005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83,008,803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080" w:type="dxa"/>
            <w:vAlign w:val="bottom"/>
            <w:gridSpan w:val="2"/>
            <w:vMerge w:val="restart"/>
          </w:tcPr>
          <w:p>
            <w:pPr>
              <w:ind w:left="3440"/>
              <w:spacing w:after="0"/>
              <w:rPr>
                <w:sz w:val="20"/>
                <w:szCs w:val="20"/>
                <w:color w:val="auto"/>
              </w:rPr>
            </w:pPr>
            <w:r>
              <w:rPr>
                <w:rFonts w:ascii="Arial" w:cs="Arial" w:eastAsia="Arial" w:hAnsi="Arial"/>
                <w:sz w:val="18"/>
                <w:szCs w:val="18"/>
                <w:color w:val="auto"/>
              </w:rPr>
              <w:t>- 3 -</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120" w:type="dxa"/>
            <w:vAlign w:val="bottom"/>
          </w:tcPr>
          <w:p>
            <w:pPr>
              <w:spacing w:after="0"/>
              <w:rPr>
                <w:sz w:val="24"/>
                <w:szCs w:val="24"/>
                <w:color w:val="auto"/>
              </w:rPr>
            </w:pPr>
          </w:p>
        </w:tc>
        <w:tc>
          <w:tcPr>
            <w:tcW w:w="7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760" w:firstLine="3770"/>
        <w:spacing w:after="0" w:line="456" w:lineRule="auto"/>
        <w:rPr>
          <w:sz w:val="20"/>
          <w:szCs w:val="20"/>
          <w:color w:val="auto"/>
        </w:rPr>
      </w:pPr>
      <w:r>
        <w:rPr>
          <w:rFonts w:ascii="Arial" w:cs="Arial" w:eastAsia="Arial" w:hAnsi="Arial"/>
          <w:sz w:val="18"/>
          <w:szCs w:val="18"/>
          <w:color w:val="auto"/>
        </w:rPr>
        <w:t>M&amp;T BANK CORPORATION AND SUBSIDIARIES CONSOLIDATED STATEMENT OF INCOME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vMerge w:val="restart"/>
          </w:tcPr>
          <w:p>
            <w:pPr>
              <w:spacing w:after="0"/>
              <w:rPr>
                <w:sz w:val="20"/>
                <w:szCs w:val="20"/>
                <w:color w:val="auto"/>
              </w:rPr>
            </w:pPr>
            <w:r>
              <w:rPr>
                <w:rFonts w:ascii="Arial" w:cs="Arial" w:eastAsia="Arial" w:hAnsi="Arial"/>
                <w:sz w:val="14"/>
                <w:szCs w:val="14"/>
                <w:i w:val="1"/>
                <w:iCs w:val="1"/>
                <w:color w:val="auto"/>
                <w:w w:val="85"/>
              </w:rPr>
              <w:t>In thousands, except per share</w:t>
            </w:r>
          </w:p>
        </w:tc>
        <w:tc>
          <w:tcPr>
            <w:tcW w:w="1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color w:val="auto"/>
                <w:w w:val="86"/>
              </w:rPr>
              <w:t>Three months ended June 30</w:t>
            </w:r>
          </w:p>
        </w:tc>
        <w:tc>
          <w:tcPr>
            <w:tcW w:w="100" w:type="dxa"/>
            <w:vAlign w:val="bottom"/>
          </w:tcPr>
          <w:p>
            <w:pPr>
              <w:spacing w:after="0"/>
              <w:rPr>
                <w:sz w:val="14"/>
                <w:szCs w:val="14"/>
                <w:color w:val="auto"/>
              </w:rPr>
            </w:pPr>
          </w:p>
        </w:tc>
        <w:tc>
          <w:tcPr>
            <w:tcW w:w="1780" w:type="dxa"/>
            <w:vAlign w:val="bottom"/>
            <w:gridSpan w:val="4"/>
          </w:tcPr>
          <w:p>
            <w:pPr>
              <w:jc w:val="right"/>
              <w:ind w:right="280"/>
              <w:spacing w:after="0"/>
              <w:rPr>
                <w:sz w:val="20"/>
                <w:szCs w:val="20"/>
                <w:color w:val="auto"/>
              </w:rPr>
            </w:pPr>
            <w:r>
              <w:rPr>
                <w:rFonts w:ascii="Arial" w:cs="Arial" w:eastAsia="Arial" w:hAnsi="Arial"/>
                <w:sz w:val="14"/>
                <w:szCs w:val="14"/>
                <w:color w:val="auto"/>
                <w:w w:val="89"/>
              </w:rPr>
              <w:t>Six months ended June 30</w:t>
            </w:r>
          </w:p>
        </w:tc>
        <w:tc>
          <w:tcPr>
            <w:tcW w:w="0" w:type="dxa"/>
            <w:vAlign w:val="bottom"/>
          </w:tcPr>
          <w:p>
            <w:pPr>
              <w:spacing w:after="0"/>
              <w:rPr>
                <w:sz w:val="1"/>
                <w:szCs w:val="1"/>
                <w:color w:val="auto"/>
              </w:rPr>
            </w:pPr>
          </w:p>
        </w:tc>
      </w:tr>
      <w:tr>
        <w:trPr>
          <w:trHeight w:val="166"/>
        </w:trPr>
        <w:tc>
          <w:tcPr>
            <w:tcW w:w="1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3"/>
              <w:spacing w:after="0" w:line="146"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4"/>
                <w:szCs w:val="14"/>
                <w:color w:val="auto"/>
              </w:rPr>
            </w:pPr>
          </w:p>
        </w:tc>
        <w:tc>
          <w:tcPr>
            <w:tcW w:w="700" w:type="dxa"/>
            <w:vAlign w:val="bottom"/>
          </w:tcPr>
          <w:p>
            <w:pPr>
              <w:jc w:val="right"/>
              <w:ind w:right="113"/>
              <w:spacing w:after="0" w:line="146"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line="146"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4"/>
                <w:szCs w:val="14"/>
                <w:color w:val="auto"/>
              </w:rPr>
            </w:pPr>
          </w:p>
        </w:tc>
        <w:tc>
          <w:tcPr>
            <w:tcW w:w="760" w:type="dxa"/>
            <w:vAlign w:val="bottom"/>
          </w:tcPr>
          <w:p>
            <w:pPr>
              <w:jc w:val="right"/>
              <w:ind w:right="173"/>
              <w:spacing w:after="0" w:line="146"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Loans and leases, including fees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705,395</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674,549</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1,387,850</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1,323,063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Deposits at banks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1,722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Agreements to resell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Fully taxable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86,053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122,688</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Exempt from federal taxes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interest income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750,207</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737,386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1,480,182</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1,451,481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Interest expense</w:t>
            </w:r>
          </w:p>
        </w:tc>
        <w:tc>
          <w:tcPr>
            <w:tcW w:w="5860" w:type="dxa"/>
            <w:vAlign w:val="bottom"/>
            <w:gridSpan w:val="2"/>
          </w:tcPr>
          <w:p>
            <w:pPr>
              <w:spacing w:after="0"/>
              <w:rPr>
                <w:sz w:val="20"/>
                <w:szCs w:val="20"/>
                <w:color w:val="auto"/>
              </w:rPr>
            </w:pPr>
            <w:r>
              <w:rPr>
                <w:rFonts w:ascii="Arial" w:cs="Arial" w:eastAsia="Arial" w:hAnsi="Arial"/>
                <w:sz w:val="18"/>
                <w:szCs w:val="18"/>
                <w:color w:val="auto"/>
              </w:rPr>
              <w:t>NOW accounts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7"/>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27,827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15,680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25,863</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at Cayman Islands office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50,729</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101,480</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Total interest expense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72,620</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89,403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146,545</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interest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677,587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1,333,637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1,268,372</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620,587</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587,983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1,238,637</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1,159,372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Other income</w:t>
            </w:r>
          </w:p>
        </w:tc>
        <w:tc>
          <w:tcPr>
            <w:tcW w:w="5860" w:type="dxa"/>
            <w:vAlign w:val="bottom"/>
            <w:gridSpan w:val="2"/>
          </w:tcPr>
          <w:p>
            <w:pPr>
              <w:spacing w:after="0"/>
              <w:rPr>
                <w:sz w:val="20"/>
                <w:szCs w:val="20"/>
                <w:color w:val="auto"/>
              </w:rPr>
            </w:pPr>
            <w:r>
              <w:rPr>
                <w:rFonts w:ascii="Arial" w:cs="Arial" w:eastAsia="Arial" w:hAnsi="Arial"/>
                <w:sz w:val="18"/>
                <w:szCs w:val="18"/>
                <w:color w:val="auto"/>
              </w:rPr>
              <w:t>Mortgage banking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91,262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184,365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125,706</w:t>
            </w:r>
          </w:p>
        </w:tc>
        <w:tc>
          <w:tcPr>
            <w:tcW w:w="0" w:type="dxa"/>
            <w:vAlign w:val="bottom"/>
          </w:tcPr>
          <w:p>
            <w:pPr>
              <w:spacing w:after="0"/>
              <w:rPr>
                <w:sz w:val="1"/>
                <w:szCs w:val="1"/>
                <w:color w:val="auto"/>
              </w:rPr>
            </w:pPr>
          </w:p>
        </w:tc>
      </w:tr>
      <w:tr>
        <w:trPr>
          <w:trHeight w:val="217"/>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111,717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222,666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219,871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Trust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124,728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122,275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246,331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239,228</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Brokerage services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Trading account and foreign exchange gains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18,151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16,809</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bank investment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Total other-than-temporary impairment (“OTTI”) losses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(1,884)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(24,112)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Portion of OTTI losses recognized in other comprehensive income (before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60" w:type="dxa"/>
            <w:vAlign w:val="bottom"/>
            <w:vMerge w:val="restart"/>
          </w:tcPr>
          <w:p>
            <w:pPr>
              <w:ind w:left="240"/>
              <w:spacing w:after="0"/>
              <w:rPr>
                <w:sz w:val="20"/>
                <w:szCs w:val="20"/>
                <w:color w:val="auto"/>
              </w:rPr>
            </w:pPr>
            <w:r>
              <w:rPr>
                <w:rFonts w:ascii="Arial" w:cs="Arial" w:eastAsia="Arial" w:hAnsi="Arial"/>
                <w:sz w:val="18"/>
                <w:szCs w:val="18"/>
                <w:color w:val="auto"/>
              </w:rPr>
              <w:t>Net OTTI losses recognized in earnings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(16,173)</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(9,800)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(27,659)</w:t>
            </w:r>
          </w:p>
        </w:tc>
        <w:tc>
          <w:tcPr>
            <w:tcW w:w="0" w:type="dxa"/>
            <w:vAlign w:val="bottom"/>
          </w:tcPr>
          <w:p>
            <w:pPr>
              <w:spacing w:after="0"/>
              <w:rPr>
                <w:sz w:val="1"/>
                <w:szCs w:val="1"/>
                <w:color w:val="auto"/>
              </w:rPr>
            </w:pPr>
          </w:p>
        </w:tc>
      </w:tr>
      <w:tr>
        <w:trPr>
          <w:trHeight w:val="28"/>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of Bayview Lending Group LLC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Other revenues from operations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100,496</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196,541</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income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508,689</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391,650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941,571</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Other expense</w:t>
            </w:r>
          </w:p>
        </w:tc>
        <w:tc>
          <w:tcPr>
            <w:tcW w:w="5860" w:type="dxa"/>
            <w:vAlign w:val="bottom"/>
            <w:gridSpan w:val="2"/>
          </w:tcPr>
          <w:p>
            <w:pPr>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323,136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323,686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679,687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669,784</w:t>
            </w:r>
          </w:p>
        </w:tc>
        <w:tc>
          <w:tcPr>
            <w:tcW w:w="0" w:type="dxa"/>
            <w:vAlign w:val="bottom"/>
          </w:tcPr>
          <w:p>
            <w:pPr>
              <w:spacing w:after="0"/>
              <w:rPr>
                <w:sz w:val="1"/>
                <w:szCs w:val="1"/>
                <w:color w:val="auto"/>
              </w:rPr>
            </w:pPr>
          </w:p>
        </w:tc>
      </w:tr>
      <w:tr>
        <w:trPr>
          <w:trHeight w:val="217"/>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129,437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130,419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Printing, postage and supplies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20,997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23,240</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25,845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FDIC assessments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17,695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37,133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53,911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170,682</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186,093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341,088</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Total other expense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598,591</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627,392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1,234,187</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1,267,087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530,685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946,021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660,658</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182,219</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323,442</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348,466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622,579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439,843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spacing w:after="0"/>
              <w:rPr>
                <w:sz w:val="18"/>
                <w:szCs w:val="18"/>
                <w:color w:val="auto"/>
              </w:rPr>
            </w:pPr>
          </w:p>
        </w:tc>
        <w:tc>
          <w:tcPr>
            <w:tcW w:w="5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328,538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583,597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402,947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328,557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214,716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583,633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402,958</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common shares outstanding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128,252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127,962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125,354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129,017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128,828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125,756</w:t>
            </w:r>
          </w:p>
        </w:tc>
        <w:tc>
          <w:tcPr>
            <w:tcW w:w="0" w:type="dxa"/>
            <w:vAlign w:val="bottom"/>
          </w:tcPr>
          <w:p>
            <w:pPr>
              <w:spacing w:after="0"/>
              <w:rPr>
                <w:sz w:val="1"/>
                <w:szCs w:val="1"/>
                <w:color w:val="auto"/>
              </w:rPr>
            </w:pPr>
          </w:p>
        </w:tc>
      </w:tr>
      <w:tr>
        <w:trPr>
          <w:trHeight w:val="363"/>
        </w:trPr>
        <w:tc>
          <w:tcPr>
            <w:tcW w:w="1660" w:type="dxa"/>
            <w:vAlign w:val="bottom"/>
          </w:tcPr>
          <w:p>
            <w:pPr>
              <w:spacing w:after="0"/>
              <w:rPr>
                <w:sz w:val="24"/>
                <w:szCs w:val="24"/>
                <w:color w:val="auto"/>
              </w:rPr>
            </w:pPr>
          </w:p>
        </w:tc>
        <w:tc>
          <w:tcPr>
            <w:tcW w:w="5860" w:type="dxa"/>
            <w:vAlign w:val="bottom"/>
            <w:gridSpan w:val="2"/>
          </w:tcPr>
          <w:p>
            <w:pPr>
              <w:ind w:left="3900"/>
              <w:spacing w:after="0"/>
              <w:rPr>
                <w:sz w:val="20"/>
                <w:szCs w:val="20"/>
                <w:color w:val="auto"/>
              </w:rPr>
            </w:pPr>
            <w:r>
              <w:rPr>
                <w:rFonts w:ascii="Arial" w:cs="Arial" w:eastAsia="Arial" w:hAnsi="Arial"/>
                <w:sz w:val="18"/>
                <w:szCs w:val="18"/>
                <w:color w:val="auto"/>
              </w:rPr>
              <w:t>- 4 -</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760" w:firstLine="3770"/>
        <w:spacing w:after="0" w:line="362" w:lineRule="auto"/>
        <w:rPr>
          <w:sz w:val="20"/>
          <w:szCs w:val="20"/>
          <w:color w:val="auto"/>
        </w:rPr>
      </w:pPr>
      <w:r>
        <w:rPr>
          <w:rFonts w:ascii="Arial" w:cs="Arial" w:eastAsia="Arial" w:hAnsi="Arial"/>
          <w:sz w:val="18"/>
          <w:szCs w:val="18"/>
          <w:color w:val="auto"/>
        </w:rPr>
        <w:t>M&amp;T BANK CORPORATION AND SUBSIDIARIES CONSOLIDATED STATEMENT OF COMPREHENSIVE INCOME (Unaudited)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6900" w:type="dxa"/>
            <w:vAlign w:val="bottom"/>
            <w:vMerge w:val="restart"/>
          </w:tcPr>
          <w:p>
            <w:pPr>
              <w:spacing w:after="0"/>
              <w:rPr>
                <w:sz w:val="14"/>
                <w:szCs w:val="14"/>
                <w:color w:val="auto"/>
              </w:rPr>
            </w:pPr>
          </w:p>
        </w:tc>
        <w:tc>
          <w:tcPr>
            <w:tcW w:w="1900" w:type="dxa"/>
            <w:vAlign w:val="bottom"/>
            <w:gridSpan w:val="4"/>
          </w:tcPr>
          <w:p>
            <w:pPr>
              <w:jc w:val="right"/>
              <w:ind w:right="260"/>
              <w:spacing w:after="0"/>
              <w:rPr>
                <w:sz w:val="20"/>
                <w:szCs w:val="20"/>
                <w:color w:val="auto"/>
              </w:rPr>
            </w:pPr>
            <w:r>
              <w:rPr>
                <w:rFonts w:ascii="Arial" w:cs="Arial" w:eastAsia="Arial" w:hAnsi="Arial"/>
                <w:sz w:val="14"/>
                <w:szCs w:val="14"/>
                <w:color w:val="auto"/>
                <w:w w:val="88"/>
              </w:rPr>
              <w:t>Three months ended June 30</w:t>
            </w:r>
          </w:p>
        </w:tc>
        <w:tc>
          <w:tcPr>
            <w:tcW w:w="140" w:type="dxa"/>
            <w:vAlign w:val="bottom"/>
          </w:tcPr>
          <w:p>
            <w:pPr>
              <w:spacing w:after="0"/>
              <w:rPr>
                <w:sz w:val="14"/>
                <w:szCs w:val="14"/>
                <w:color w:val="auto"/>
              </w:rPr>
            </w:pPr>
          </w:p>
        </w:tc>
        <w:tc>
          <w:tcPr>
            <w:tcW w:w="1720" w:type="dxa"/>
            <w:vAlign w:val="bottom"/>
            <w:gridSpan w:val="4"/>
          </w:tcPr>
          <w:p>
            <w:pPr>
              <w:jc w:val="right"/>
              <w:ind w:right="200"/>
              <w:spacing w:after="0"/>
              <w:rPr>
                <w:sz w:val="20"/>
                <w:szCs w:val="20"/>
                <w:color w:val="auto"/>
              </w:rPr>
            </w:pPr>
            <w:r>
              <w:rPr>
                <w:rFonts w:ascii="Arial" w:cs="Arial" w:eastAsia="Arial" w:hAnsi="Arial"/>
                <w:sz w:val="14"/>
                <w:szCs w:val="14"/>
                <w:color w:val="auto"/>
                <w:w w:val="90"/>
              </w:rPr>
              <w:t>Six months ended June 30</w:t>
            </w:r>
          </w:p>
        </w:tc>
        <w:tc>
          <w:tcPr>
            <w:tcW w:w="0" w:type="dxa"/>
            <w:vAlign w:val="bottom"/>
          </w:tcPr>
          <w:p>
            <w:pPr>
              <w:spacing w:after="0"/>
              <w:rPr>
                <w:sz w:val="1"/>
                <w:szCs w:val="1"/>
                <w:color w:val="auto"/>
              </w:rPr>
            </w:pPr>
          </w:p>
        </w:tc>
      </w:tr>
      <w:tr>
        <w:trPr>
          <w:trHeight w:val="166"/>
        </w:trPr>
        <w:tc>
          <w:tcPr>
            <w:tcW w:w="76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700" w:type="dxa"/>
            <w:vAlign w:val="bottom"/>
          </w:tcPr>
          <w:p>
            <w:pPr>
              <w:jc w:val="right"/>
              <w:ind w:right="117"/>
              <w:spacing w:after="0" w:line="146"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4"/>
                <w:szCs w:val="14"/>
                <w:color w:val="auto"/>
              </w:rPr>
            </w:pPr>
          </w:p>
        </w:tc>
        <w:tc>
          <w:tcPr>
            <w:tcW w:w="700" w:type="dxa"/>
            <w:vAlign w:val="bottom"/>
          </w:tcPr>
          <w:p>
            <w:pPr>
              <w:jc w:val="right"/>
              <w:ind w:right="135"/>
              <w:spacing w:after="0" w:line="146"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4"/>
                <w:szCs w:val="14"/>
                <w:color w:val="auto"/>
              </w:rPr>
            </w:pPr>
          </w:p>
        </w:tc>
        <w:tc>
          <w:tcPr>
            <w:tcW w:w="800" w:type="dxa"/>
            <w:vAlign w:val="bottom"/>
            <w:gridSpan w:val="2"/>
          </w:tcPr>
          <w:p>
            <w:pPr>
              <w:jc w:val="right"/>
              <w:ind w:right="119"/>
              <w:spacing w:after="0" w:line="146"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4"/>
                <w:szCs w:val="14"/>
                <w:color w:val="auto"/>
              </w:rPr>
            </w:pPr>
          </w:p>
        </w:tc>
        <w:tc>
          <w:tcPr>
            <w:tcW w:w="640" w:type="dxa"/>
            <w:vAlign w:val="bottom"/>
          </w:tcPr>
          <w:p>
            <w:pPr>
              <w:jc w:val="right"/>
              <w:ind w:right="115"/>
              <w:spacing w:after="0" w:line="146"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$ 348,466</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233,380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$622,579</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439,843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 and reclassification adjustments: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unrealized gains (losses) on investment securities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3,357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69,371</w:t>
            </w: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(1,046)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Defined benefit plans liability adjustment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5,018</w:t>
            </w:r>
          </w:p>
        </w:tc>
        <w:tc>
          <w:tcPr>
            <w:tcW w:w="700" w:type="dxa"/>
            <w:vAlign w:val="bottom"/>
          </w:tcPr>
          <w:p>
            <w:pPr>
              <w:jc w:val="right"/>
              <w:spacing w:after="0"/>
              <w:rPr>
                <w:sz w:val="20"/>
                <w:szCs w:val="20"/>
                <w:color w:val="auto"/>
              </w:rPr>
            </w:pPr>
            <w:r>
              <w:rPr>
                <w:rFonts w:ascii="Arial" w:cs="Arial" w:eastAsia="Arial" w:hAnsi="Arial"/>
                <w:sz w:val="18"/>
                <w:szCs w:val="18"/>
                <w:color w:val="auto"/>
              </w:rPr>
              <w:t>4,695</w:t>
            </w:r>
          </w:p>
        </w:tc>
        <w:tc>
          <w:tcPr>
            <w:tcW w:w="1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10,182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Total other comprehensive income</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12,493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90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Total comprehensive income</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 w:type="dxa"/>
            <w:vAlign w:val="bottom"/>
          </w:tcPr>
          <w:p>
            <w:pPr>
              <w:spacing w:after="0"/>
              <w:rPr>
                <w:sz w:val="19"/>
                <w:szCs w:val="19"/>
                <w:color w:val="auto"/>
              </w:rPr>
            </w:pPr>
          </w:p>
        </w:tc>
        <w:tc>
          <w:tcPr>
            <w:tcW w:w="6900" w:type="dxa"/>
            <w:vAlign w:val="bottom"/>
            <w:vMerge w:val="continue"/>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$ 346,648</w:t>
            </w:r>
          </w:p>
        </w:tc>
        <w:tc>
          <w:tcPr>
            <w:tcW w:w="700" w:type="dxa"/>
            <w:vAlign w:val="bottom"/>
          </w:tcPr>
          <w:p>
            <w:pPr>
              <w:jc w:val="right"/>
              <w:spacing w:after="0"/>
              <w:rPr>
                <w:sz w:val="20"/>
                <w:szCs w:val="20"/>
                <w:color w:val="auto"/>
              </w:rPr>
            </w:pPr>
            <w:r>
              <w:rPr>
                <w:rFonts w:ascii="Arial" w:cs="Arial" w:eastAsia="Arial" w:hAnsi="Arial"/>
                <w:sz w:val="18"/>
                <w:szCs w:val="18"/>
                <w:color w:val="auto"/>
              </w:rPr>
              <w:t>286,789</w:t>
            </w:r>
          </w:p>
        </w:tc>
        <w:tc>
          <w:tcPr>
            <w:tcW w:w="18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635,072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518,435</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5560"/>
              <w:spacing w:after="0"/>
              <w:rPr>
                <w:sz w:val="20"/>
                <w:szCs w:val="20"/>
                <w:color w:val="auto"/>
              </w:rPr>
            </w:pPr>
            <w:r>
              <w:rPr>
                <w:rFonts w:ascii="Arial" w:cs="Arial" w:eastAsia="Arial" w:hAnsi="Arial"/>
                <w:sz w:val="18"/>
                <w:szCs w:val="18"/>
                <w:color w:val="auto"/>
              </w:rPr>
              <w:t>- 5 -</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right="3760" w:firstLine="3765"/>
        <w:spacing w:after="0" w:line="456" w:lineRule="auto"/>
        <w:rPr>
          <w:sz w:val="20"/>
          <w:szCs w:val="20"/>
          <w:color w:val="auto"/>
        </w:rPr>
      </w:pPr>
      <w:r>
        <w:rPr>
          <w:rFonts w:ascii="Arial" w:cs="Arial" w:eastAsia="Arial" w:hAnsi="Arial"/>
          <w:sz w:val="18"/>
          <w:szCs w:val="18"/>
          <w:color w:val="auto"/>
        </w:rPr>
        <w:t>M&amp;T BANK CORPORATION AND SUBSIDIARIES CONSOLIDATED STATEMENT OF CASH FLOWS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360"/>
              <w:spacing w:after="0"/>
              <w:rPr>
                <w:sz w:val="20"/>
                <w:szCs w:val="20"/>
                <w:color w:val="auto"/>
              </w:rPr>
            </w:pPr>
            <w:r>
              <w:rPr>
                <w:rFonts w:ascii="Arial" w:cs="Arial" w:eastAsia="Arial" w:hAnsi="Arial"/>
                <w:sz w:val="14"/>
                <w:szCs w:val="14"/>
                <w:color w:val="auto"/>
                <w:w w:val="92"/>
              </w:rPr>
              <w:t>Six months ended June 30</w:t>
            </w:r>
          </w:p>
        </w:tc>
        <w:tc>
          <w:tcPr>
            <w:tcW w:w="0" w:type="dxa"/>
            <w:vAlign w:val="bottom"/>
          </w:tcPr>
          <w:p>
            <w:pPr>
              <w:spacing w:after="0"/>
              <w:rPr>
                <w:sz w:val="1"/>
                <w:szCs w:val="1"/>
                <w:color w:val="auto"/>
              </w:rPr>
            </w:pPr>
          </w:p>
        </w:tc>
      </w:tr>
      <w:tr>
        <w:trPr>
          <w:trHeight w:val="146"/>
        </w:trPr>
        <w:tc>
          <w:tcPr>
            <w:tcW w:w="2020" w:type="dxa"/>
            <w:vAlign w:val="bottom"/>
            <w:gridSpan w:val="3"/>
            <w:vMerge w:val="continue"/>
          </w:tcPr>
          <w:p>
            <w:pPr>
              <w:spacing w:after="0"/>
              <w:rPr>
                <w:sz w:val="12"/>
                <w:szCs w:val="12"/>
                <w:color w:val="auto"/>
              </w:rPr>
            </w:pPr>
          </w:p>
        </w:tc>
        <w:tc>
          <w:tcPr>
            <w:tcW w:w="6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2"/>
                <w:szCs w:val="12"/>
                <w:color w:val="auto"/>
              </w:rPr>
            </w:pPr>
          </w:p>
        </w:tc>
        <w:tc>
          <w:tcPr>
            <w:tcW w:w="840" w:type="dxa"/>
            <w:vAlign w:val="bottom"/>
          </w:tcPr>
          <w:p>
            <w:pPr>
              <w:jc w:val="right"/>
              <w:ind w:right="193"/>
              <w:spacing w:after="0" w:line="146"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Cash flows from operating</w:t>
            </w:r>
          </w:p>
        </w:tc>
        <w:tc>
          <w:tcPr>
            <w:tcW w:w="6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622,579</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Provision for credit losses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540"/>
              <w:spacing w:after="0"/>
              <w:rPr>
                <w:sz w:val="20"/>
                <w:szCs w:val="20"/>
                <w:color w:val="auto"/>
              </w:rPr>
            </w:pPr>
            <w:r>
              <w:rPr>
                <w:rFonts w:ascii="Arial" w:cs="Arial" w:eastAsia="Arial" w:hAnsi="Arial"/>
                <w:sz w:val="18"/>
                <w:szCs w:val="18"/>
                <w:color w:val="auto"/>
              </w:rPr>
              <w:t>Depreciation and amortization of premises and equipment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43,354</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capitalized servicing rights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540"/>
              <w:spacing w:after="0"/>
              <w:rPr>
                <w:sz w:val="20"/>
                <w:szCs w:val="20"/>
                <w:color w:val="auto"/>
              </w:rPr>
            </w:pPr>
            <w:r>
              <w:rPr>
                <w:rFonts w:ascii="Arial" w:cs="Arial" w:eastAsia="Arial" w:hAnsi="Arial"/>
                <w:sz w:val="18"/>
                <w:szCs w:val="18"/>
                <w:color w:val="auto"/>
              </w:rPr>
              <w:t>Amortization of core deposit and other intangible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25,845</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Provision for deferred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540"/>
              <w:spacing w:after="0"/>
              <w:rPr>
                <w:sz w:val="20"/>
                <w:szCs w:val="20"/>
                <w:color w:val="auto"/>
              </w:rPr>
            </w:pPr>
            <w:r>
              <w:rPr>
                <w:rFonts w:ascii="Arial" w:cs="Arial" w:eastAsia="Arial" w:hAnsi="Arial"/>
                <w:sz w:val="18"/>
                <w:szCs w:val="18"/>
                <w:color w:val="auto"/>
              </w:rPr>
              <w:t>Asset write-downs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15,043</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gain on sales of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(59,134)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540"/>
              <w:spacing w:after="0"/>
              <w:rPr>
                <w:sz w:val="20"/>
                <w:szCs w:val="20"/>
                <w:color w:val="auto"/>
              </w:rPr>
            </w:pPr>
            <w:r>
              <w:rPr>
                <w:rFonts w:ascii="Arial" w:cs="Arial" w:eastAsia="Arial" w:hAnsi="Arial"/>
                <w:sz w:val="18"/>
                <w:szCs w:val="18"/>
                <w:color w:val="auto"/>
              </w:rPr>
              <w:t>Net change in accrued interest receivable, payable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change in other accrued income and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540"/>
              <w:spacing w:after="0"/>
              <w:rPr>
                <w:sz w:val="20"/>
                <w:szCs w:val="20"/>
                <w:color w:val="auto"/>
              </w:rPr>
            </w:pPr>
            <w:r>
              <w:rPr>
                <w:rFonts w:ascii="Arial" w:cs="Arial" w:eastAsia="Arial" w:hAnsi="Arial"/>
                <w:sz w:val="18"/>
                <w:szCs w:val="18"/>
                <w:color w:val="auto"/>
              </w:rPr>
              <w:t>Net change in loans originated for sale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(220,784)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change in trading account assets and liabilities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56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616,496</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644,628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Cash flows from investing</w:t>
            </w:r>
          </w:p>
        </w:tc>
        <w:tc>
          <w:tcPr>
            <w:tcW w:w="6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sales of investment securities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Available for sale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1,081,496</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Proceeds from maturities of investment securities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Available for sale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652,074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Held to maturity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141,255</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investment securities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Available for sale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(39,411)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Held to maturity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(8,540)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increase in loans and leases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(228,853)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(2,805,640)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Net increase in interest-bearing deposits at banks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(2,425,409)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(914,757)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investments,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Capital expenditures,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(43,663)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sales of real estate acquired in settlement of loans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53,842</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(38,849)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by investing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(791,502)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(3,056,103)</w:t>
            </w:r>
          </w:p>
        </w:tc>
        <w:tc>
          <w:tcPr>
            <w:tcW w:w="0" w:type="dxa"/>
            <w:vAlign w:val="bottom"/>
          </w:tcPr>
          <w:p>
            <w:pPr>
              <w:spacing w:after="0"/>
              <w:rPr>
                <w:sz w:val="1"/>
                <w:szCs w:val="1"/>
                <w:color w:val="auto"/>
              </w:rPr>
            </w:pPr>
          </w:p>
        </w:tc>
      </w:tr>
      <w:tr>
        <w:trPr>
          <w:trHeight w:val="215"/>
        </w:trPr>
        <w:tc>
          <w:tcPr>
            <w:tcW w:w="2020" w:type="dxa"/>
            <w:vAlign w:val="bottom"/>
            <w:gridSpan w:val="3"/>
          </w:tcPr>
          <w:p>
            <w:pPr>
              <w:spacing w:after="0"/>
              <w:rPr>
                <w:sz w:val="20"/>
                <w:szCs w:val="20"/>
                <w:color w:val="auto"/>
              </w:rPr>
            </w:pPr>
            <w:r>
              <w:rPr>
                <w:rFonts w:ascii="Arial" w:cs="Arial" w:eastAsia="Arial" w:hAnsi="Arial"/>
                <w:sz w:val="18"/>
                <w:szCs w:val="18"/>
                <w:color w:val="auto"/>
                <w:w w:val="97"/>
              </w:rPr>
              <w:t>Cash flows from financing</w:t>
            </w:r>
          </w:p>
        </w:tc>
        <w:tc>
          <w:tcPr>
            <w:tcW w:w="6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activities</w:t>
            </w:r>
          </w:p>
        </w:tc>
        <w:tc>
          <w:tcPr>
            <w:tcW w:w="6560" w:type="dxa"/>
            <w:vAlign w:val="bottom"/>
          </w:tcPr>
          <w:p>
            <w:pPr>
              <w:ind w:left="100"/>
              <w:spacing w:after="0"/>
              <w:rPr>
                <w:sz w:val="20"/>
                <w:szCs w:val="20"/>
                <w:color w:val="auto"/>
              </w:rPr>
            </w:pPr>
            <w:r>
              <w:rPr>
                <w:rFonts w:ascii="Arial" w:cs="Arial" w:eastAsia="Arial" w:hAnsi="Arial"/>
                <w:sz w:val="18"/>
                <w:szCs w:val="18"/>
                <w:color w:val="auto"/>
              </w:rPr>
              <w:t>Net increase in deposits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54,101</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3,162,352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increase (decrease) in short-term borrowings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(766,742)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Proceeds from long-term borrowings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799,760</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long-term borrowings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(257,178)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(1,006,539)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Dividends paid - common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(181,842)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(179,446)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paid - preferred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(26,725)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41,519</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(used) by financing activities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(337,107)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Net decrease in cash and cash equivalents</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(512,113)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(29,566)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at beginning of period</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1,986,615</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1,474,502</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1,422,831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1"/>
              </w:rPr>
              <w:t>Supplemental disclosure of</w:t>
            </w:r>
          </w:p>
        </w:tc>
        <w:tc>
          <w:tcPr>
            <w:tcW w:w="6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flow information</w:t>
            </w: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received during the period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1,459,142</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Interest paid during the period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151,737</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paid during the period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226,406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w w:val="95"/>
              </w:rPr>
              <w:t>Supplemental schedule of</w:t>
            </w:r>
          </w:p>
        </w:tc>
        <w:tc>
          <w:tcPr>
            <w:tcW w:w="6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w w:val="99"/>
              </w:rPr>
              <w:t>noncash investing and</w:t>
            </w:r>
          </w:p>
        </w:tc>
        <w:tc>
          <w:tcPr>
            <w:tcW w:w="6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financing activities</w:t>
            </w:r>
          </w:p>
        </w:tc>
        <w:tc>
          <w:tcPr>
            <w:tcW w:w="6560" w:type="dxa"/>
            <w:vAlign w:val="bottom"/>
          </w:tcPr>
          <w:p>
            <w:pPr>
              <w:ind w:left="100"/>
              <w:spacing w:after="0"/>
              <w:rPr>
                <w:sz w:val="20"/>
                <w:szCs w:val="20"/>
                <w:color w:val="auto"/>
              </w:rPr>
            </w:pPr>
            <w:r>
              <w:rPr>
                <w:rFonts w:ascii="Arial" w:cs="Arial" w:eastAsia="Arial" w:hAnsi="Arial"/>
                <w:sz w:val="18"/>
                <w:szCs w:val="18"/>
                <w:color w:val="auto"/>
              </w:rPr>
              <w:t>Securitization of residential mortgage loans allocated to</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Held to maturity investment securities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917,045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Capitalized servicing rights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8,907</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 estate acquired in settlement of loans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560" w:type="dxa"/>
            <w:vAlign w:val="bottom"/>
          </w:tcPr>
          <w:p>
            <w:pPr>
              <w:ind w:left="3540"/>
              <w:spacing w:after="0"/>
              <w:rPr>
                <w:sz w:val="20"/>
                <w:szCs w:val="20"/>
                <w:color w:val="auto"/>
              </w:rPr>
            </w:pPr>
            <w:r>
              <w:rPr>
                <w:rFonts w:ascii="Arial" w:cs="Arial" w:eastAsia="Arial" w:hAnsi="Arial"/>
                <w:sz w:val="18"/>
                <w:szCs w:val="18"/>
                <w:color w:val="auto"/>
              </w:rPr>
              <w:t>- 6 -</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760" w:firstLine="3770"/>
        <w:spacing w:after="0" w:line="437" w:lineRule="auto"/>
        <w:rPr>
          <w:sz w:val="20"/>
          <w:szCs w:val="20"/>
          <w:color w:val="auto"/>
        </w:rPr>
      </w:pPr>
      <w:r>
        <w:rPr>
          <w:rFonts w:ascii="Arial" w:cs="Arial" w:eastAsia="Arial" w:hAnsi="Arial"/>
          <w:sz w:val="16"/>
          <w:szCs w:val="16"/>
          <w:color w:val="auto"/>
        </w:rPr>
        <w:t>M&amp;T BANK CORPORATION AND SUBSIDIARIES CONSOLIDATED STATEMENT OF CHANGES IN SHAREHOLDERS’ EQUITY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Accumulated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other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7"/>
              </w:rPr>
              <w:t>Common</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Additional</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comprehensive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200" w:type="dxa"/>
            <w:vAlign w:val="bottom"/>
          </w:tcPr>
          <w:p>
            <w:pPr>
              <w:spacing w:after="0"/>
              <w:rPr>
                <w:sz w:val="12"/>
                <w:szCs w:val="12"/>
                <w:color w:val="auto"/>
              </w:rPr>
            </w:pPr>
          </w:p>
        </w:tc>
        <w:tc>
          <w:tcPr>
            <w:tcW w:w="68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5"/>
              </w:rPr>
              <w:t>Preferred</w:t>
            </w:r>
          </w:p>
        </w:tc>
        <w:tc>
          <w:tcPr>
            <w:tcW w:w="3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2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stock</w:t>
            </w: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paid-in</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Retained</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income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14"/>
              <w:spacing w:after="0" w:line="146" w:lineRule="exact"/>
              <w:rPr>
                <w:sz w:val="20"/>
                <w:szCs w:val="20"/>
                <w:color w:val="auto"/>
              </w:rPr>
            </w:pPr>
            <w:r>
              <w:rPr>
                <w:rFonts w:ascii="Arial" w:cs="Arial" w:eastAsia="Arial" w:hAnsi="Arial"/>
                <w:sz w:val="14"/>
                <w:szCs w:val="14"/>
                <w:color w:val="auto"/>
              </w:rPr>
              <w:t>stock</w:t>
            </w:r>
          </w:p>
        </w:tc>
        <w:tc>
          <w:tcPr>
            <w:tcW w:w="300" w:type="dxa"/>
            <w:vAlign w:val="bottom"/>
          </w:tcPr>
          <w:p>
            <w:pPr>
              <w:spacing w:after="0"/>
              <w:rPr>
                <w:sz w:val="14"/>
                <w:szCs w:val="14"/>
                <w:color w:val="auto"/>
              </w:rPr>
            </w:pPr>
          </w:p>
        </w:tc>
        <w:tc>
          <w:tcPr>
            <w:tcW w:w="540" w:type="dxa"/>
            <w:vAlign w:val="bottom"/>
          </w:tcPr>
          <w:p>
            <w:pPr>
              <w:jc w:val="center"/>
              <w:spacing w:after="0" w:line="146" w:lineRule="exact"/>
              <w:rPr>
                <w:sz w:val="20"/>
                <w:szCs w:val="20"/>
                <w:color w:val="auto"/>
              </w:rPr>
            </w:pPr>
            <w:r>
              <w:rPr>
                <w:rFonts w:ascii="Arial" w:cs="Arial" w:eastAsia="Arial" w:hAnsi="Arial"/>
                <w:sz w:val="14"/>
                <w:szCs w:val="14"/>
                <w:color w:val="auto"/>
                <w:w w:val="85"/>
              </w:rPr>
              <w:t>stock</w:t>
            </w:r>
          </w:p>
        </w:tc>
        <w:tc>
          <w:tcPr>
            <w:tcW w:w="280" w:type="dxa"/>
            <w:vAlign w:val="bottom"/>
          </w:tcPr>
          <w:p>
            <w:pPr>
              <w:spacing w:after="0"/>
              <w:rPr>
                <w:sz w:val="14"/>
                <w:szCs w:val="14"/>
                <w:color w:val="auto"/>
              </w:rPr>
            </w:pPr>
          </w:p>
        </w:tc>
        <w:tc>
          <w:tcPr>
            <w:tcW w:w="820" w:type="dxa"/>
            <w:vAlign w:val="bottom"/>
            <w:gridSpan w:val="2"/>
          </w:tcPr>
          <w:p>
            <w:pPr>
              <w:jc w:val="center"/>
              <w:ind w:right="300"/>
              <w:spacing w:after="0" w:line="146" w:lineRule="exact"/>
              <w:rPr>
                <w:sz w:val="20"/>
                <w:szCs w:val="20"/>
                <w:color w:val="auto"/>
              </w:rPr>
            </w:pPr>
            <w:r>
              <w:rPr>
                <w:rFonts w:ascii="Arial" w:cs="Arial" w:eastAsia="Arial" w:hAnsi="Arial"/>
                <w:sz w:val="14"/>
                <w:szCs w:val="14"/>
                <w:color w:val="auto"/>
                <w:w w:val="85"/>
              </w:rPr>
              <w:t>issuable</w:t>
            </w:r>
          </w:p>
        </w:tc>
        <w:tc>
          <w:tcPr>
            <w:tcW w:w="1060" w:type="dxa"/>
            <w:vAlign w:val="bottom"/>
            <w:gridSpan w:val="2"/>
          </w:tcPr>
          <w:p>
            <w:pPr>
              <w:jc w:val="right"/>
              <w:ind w:right="500"/>
              <w:spacing w:after="0" w:line="146" w:lineRule="exact"/>
              <w:rPr>
                <w:sz w:val="20"/>
                <w:szCs w:val="20"/>
                <w:color w:val="auto"/>
              </w:rPr>
            </w:pPr>
            <w:r>
              <w:rPr>
                <w:rFonts w:ascii="Arial" w:cs="Arial" w:eastAsia="Arial" w:hAnsi="Arial"/>
                <w:sz w:val="14"/>
                <w:szCs w:val="14"/>
                <w:color w:val="auto"/>
              </w:rPr>
              <w:t>capital</w:t>
            </w:r>
          </w:p>
        </w:tc>
        <w:tc>
          <w:tcPr>
            <w:tcW w:w="1040" w:type="dxa"/>
            <w:vAlign w:val="bottom"/>
            <w:gridSpan w:val="2"/>
          </w:tcPr>
          <w:p>
            <w:pPr>
              <w:jc w:val="right"/>
              <w:ind w:right="440"/>
              <w:spacing w:after="0" w:line="146" w:lineRule="exact"/>
              <w:rPr>
                <w:sz w:val="20"/>
                <w:szCs w:val="20"/>
                <w:color w:val="auto"/>
              </w:rPr>
            </w:pPr>
            <w:r>
              <w:rPr>
                <w:rFonts w:ascii="Arial" w:cs="Arial" w:eastAsia="Arial" w:hAnsi="Arial"/>
                <w:sz w:val="14"/>
                <w:szCs w:val="14"/>
                <w:color w:val="auto"/>
              </w:rPr>
              <w:t>earnings</w:t>
            </w:r>
          </w:p>
        </w:tc>
        <w:tc>
          <w:tcPr>
            <w:tcW w:w="1140" w:type="dxa"/>
            <w:vAlign w:val="bottom"/>
            <w:gridSpan w:val="2"/>
          </w:tcPr>
          <w:p>
            <w:pPr>
              <w:jc w:val="center"/>
              <w:ind w:right="300"/>
              <w:spacing w:after="0" w:line="146" w:lineRule="exact"/>
              <w:rPr>
                <w:sz w:val="20"/>
                <w:szCs w:val="20"/>
                <w:color w:val="auto"/>
              </w:rPr>
            </w:pPr>
            <w:r>
              <w:rPr>
                <w:rFonts w:ascii="Arial" w:cs="Arial" w:eastAsia="Arial" w:hAnsi="Arial"/>
                <w:sz w:val="14"/>
                <w:szCs w:val="14"/>
                <w:color w:val="auto"/>
                <w:w w:val="84"/>
              </w:rPr>
              <w:t>(loss), net</w:t>
            </w:r>
          </w:p>
        </w:tc>
        <w:tc>
          <w:tcPr>
            <w:tcW w:w="96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2012</w:t>
            </w:r>
          </w:p>
        </w:tc>
        <w:tc>
          <w:tcPr>
            <w:tcW w:w="26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 January 1, 2012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$864,585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62,842</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4,072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2,828,986</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5,867,165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(356,441)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9,271,209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439,843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(26,725)</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expense, net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6"/>
              </w:rPr>
              <w:t>216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18,289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Exercises of stock options, net</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86"/>
              </w:rPr>
              <w:t>227</w:t>
            </w:r>
          </w:p>
        </w:tc>
        <w:tc>
          <w:tcPr>
            <w:tcW w:w="2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24,912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Directors’ stock plan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w w:val="93"/>
              </w:rPr>
              <w:t>Deferred compensation plans, net, including dividend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jc w:val="center"/>
              <w:ind w:right="2300"/>
              <w:spacing w:after="0"/>
              <w:rPr>
                <w:sz w:val="20"/>
                <w:szCs w:val="20"/>
                <w:color w:val="auto"/>
              </w:rPr>
            </w:pPr>
            <w:r>
              <w:rPr>
                <w:rFonts w:ascii="Arial" w:cs="Arial" w:eastAsia="Arial" w:hAnsi="Arial"/>
                <w:sz w:val="18"/>
                <w:szCs w:val="18"/>
                <w:color w:val="auto"/>
                <w:w w:val="87"/>
              </w:rPr>
              <w:t>equivalents</w:t>
            </w:r>
          </w:p>
        </w:tc>
        <w:tc>
          <w:tcPr>
            <w:tcW w:w="20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(643)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549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stock cash dividends - $1.40 per share</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(178,271)</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(178,271)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30, 2012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868,433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63,294</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3,429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2,874,516</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6,098,084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(277,849)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9,629,907</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2013</w:t>
            </w: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60" w:type="dxa"/>
            <w:vAlign w:val="bottom"/>
            <w:gridSpan w:val="2"/>
            <w:vMerge w:val="continue"/>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64,088</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3,473</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3,025,520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6,477,276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(240,264)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10,202,593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622,579</w:t>
            </w:r>
          </w:p>
        </w:tc>
        <w:tc>
          <w:tcPr>
            <w:tcW w:w="840" w:type="dxa"/>
            <w:vAlign w:val="bottom"/>
          </w:tcPr>
          <w:p>
            <w:pPr>
              <w:jc w:val="right"/>
              <w:spacing w:after="0"/>
              <w:rPr>
                <w:sz w:val="20"/>
                <w:szCs w:val="20"/>
                <w:color w:val="auto"/>
              </w:rPr>
            </w:pPr>
            <w:r>
              <w:rPr>
                <w:rFonts w:ascii="Arial" w:cs="Arial" w:eastAsia="Arial" w:hAnsi="Arial"/>
                <w:sz w:val="18"/>
                <w:szCs w:val="18"/>
                <w:color w:val="auto"/>
              </w:rPr>
              <w:t>12,493</w:t>
            </w: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cash dividends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(26,725)</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Amortization of preferred stock discount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4,296</w:t>
            </w:r>
          </w:p>
        </w:tc>
        <w:tc>
          <w:tcPr>
            <w:tcW w:w="3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(4,296)</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Exercise of 407,542 Series C stock warrants into 186,589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gridSpan w:val="2"/>
            <w:shd w:val="clear" w:color="auto" w:fill="CCEEFF"/>
          </w:tcPr>
          <w:p>
            <w:pPr>
              <w:jc w:val="center"/>
              <w:ind w:right="2280"/>
              <w:spacing w:after="0"/>
              <w:rPr>
                <w:sz w:val="20"/>
                <w:szCs w:val="20"/>
                <w:color w:val="auto"/>
              </w:rPr>
            </w:pPr>
            <w:r>
              <w:rPr>
                <w:rFonts w:ascii="Arial" w:cs="Arial" w:eastAsia="Arial" w:hAnsi="Arial"/>
                <w:sz w:val="18"/>
                <w:szCs w:val="18"/>
                <w:color w:val="auto"/>
                <w:w w:val="87"/>
              </w:rPr>
              <w:t>shares of common stock</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expense, net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6"/>
              </w:rPr>
              <w:t>153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21,056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rPr>
              <w:t>Exercises of stock options, net</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86"/>
              </w:rPr>
              <w:t>366</w:t>
            </w:r>
          </w:p>
        </w:tc>
        <w:tc>
          <w:tcPr>
            <w:tcW w:w="2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63,505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Directors’ stock plan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w w:val="93"/>
              </w:rPr>
              <w:t>Deferred compensation plans, net, including dividend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jc w:val="center"/>
              <w:ind w:right="2300"/>
              <w:spacing w:after="0"/>
              <w:rPr>
                <w:sz w:val="20"/>
                <w:szCs w:val="20"/>
                <w:color w:val="auto"/>
              </w:rPr>
            </w:pPr>
            <w:r>
              <w:rPr>
                <w:rFonts w:ascii="Arial" w:cs="Arial" w:eastAsia="Arial" w:hAnsi="Arial"/>
                <w:sz w:val="18"/>
                <w:szCs w:val="18"/>
                <w:color w:val="auto"/>
                <w:w w:val="87"/>
              </w:rPr>
              <w:t>equivalents</w:t>
            </w:r>
          </w:p>
        </w:tc>
        <w:tc>
          <w:tcPr>
            <w:tcW w:w="20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(613)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564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stock cash dividends - $1.40 per share</w:t>
            </w:r>
          </w:p>
        </w:tc>
        <w:tc>
          <w:tcPr>
            <w:tcW w:w="2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(181,698)</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(181,698)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30, 2013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876,796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64,709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2,860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3,112,666</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6,887,070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(227,771)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10,716,330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gridSpan w:val="2"/>
          </w:tcPr>
          <w:p>
            <w:pPr>
              <w:jc w:val="right"/>
              <w:ind w:right="176"/>
              <w:spacing w:after="0"/>
              <w:rPr>
                <w:sz w:val="20"/>
                <w:szCs w:val="20"/>
                <w:color w:val="auto"/>
              </w:rPr>
            </w:pPr>
            <w:r>
              <w:rPr>
                <w:rFonts w:ascii="Arial" w:cs="Arial" w:eastAsia="Arial" w:hAnsi="Arial"/>
                <w:sz w:val="18"/>
                <w:szCs w:val="18"/>
                <w:color w:val="auto"/>
              </w:rPr>
              <w:t>- 7 -</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2012 Annual Report. In the opinion of management, all adjustments necessary for a fair presentation have been made and were all of a normal recurring nature.</w:t>
      </w:r>
    </w:p>
    <w:p>
      <w:pPr>
        <w:spacing w:after="0" w:line="22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June 30, 2013, total consideration to be paid was valued at approximately $4.7 billion. At June 30, 2013, Hudson City had $39.7 billion of assets, including $25.3 billion of loans and $10.6 billion of investment securities, and $35.0 billion of liabilities, including $22.6 billion of deposits. The merger has received the approval of the common shareholders of M&amp;T and Hudson City. However, the merger is subject to a number of other conditions, including regulatory approvals.</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On April 12, 2013, M&amp;T announced that additional time would be required to obtain a regulatory determination on the applications for the proposed merger with Hudson City. M&amp;T learned that the Federal Reserve Bank of New York (“Federal Reserve Bank”) identified certain concerns with the Company’s procedures, systems and processes related to the Company’s Bank Secrecy Act and anti-money-laundering compliance program. On June 17, 2013, M&amp;T and Manufacturers and Traders Trust Company (“M&amp;T Bank”), M&amp;T’s principal banking subsidiary, entered into a written agreement with the Federal Reserve Bank. Under the terms of the agreement, M&amp;T and M&amp;T Bank are required to submit to the Federal Reserve Bank a revised compliance risk management program designed to ensure compliance with anti-money-laundering laws and regulations and to take certain other steps to enhance their compliance practices. M&amp;T has commenced a major initiative, including the hiring of outside consulting firms, intended to fully address the Federal Reserve Bank’s concerns. In view of the potential timeframe required to implement this initiative, demonstrate its efficacy to the satisfaction of the Federal Reserve Bank and otherwise meet any other regulatory requirements that may be imposed in connection with these matters, M&amp;T and Hudson City extended the date after which either party may elect to terminate the merger agreement if the merger has not yet been completed from August 27, 2013 to January 31, 2014. There can be no assurances that the merger will be completed by that date.</w:t>
      </w:r>
    </w:p>
    <w:p>
      <w:pPr>
        <w:spacing w:after="0" w:line="12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connection with the pending acquisition, the Company incurred merger-related expenses related to preparing for systems conversions and other costs of integrating and conforming acquired operations with and into the Company. Those expenses consisted largely of professional services and other temporary help fees associated with planning for the conversion of systems and/or integration of operations; initial marketing and promotion expenses designed to introduce M&amp;T Bank to its new customers; travel costs; and printing, postage, supplies and other costs of planning for the transaction and commencing operations in new markets and offices.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 summary of merger-related expenses in 2013 associated with the pending Hudson City acquisition and in 2012 associated with the May 16, 2011 acquisition of Wilmington Trust Corporation (“Wilmington Trust”) included in the consolidated statement of income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4"/>
                <w:szCs w:val="14"/>
                <w:color w:val="auto"/>
                <w:w w:val="86"/>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w w:val="81"/>
              </w:rPr>
              <w:t>June 30,</w:t>
            </w: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1"/>
              </w:rPr>
              <w:t>June 30,</w:t>
            </w:r>
          </w:p>
        </w:tc>
        <w:tc>
          <w:tcPr>
            <w:tcW w:w="40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4"/>
                <w:szCs w:val="14"/>
                <w:color w:val="auto"/>
                <w:w w:val="93"/>
              </w:rPr>
              <w:t>June 30,</w:t>
            </w: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1"/>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8"/>
              <w:spacing w:after="0" w:line="159" w:lineRule="exact"/>
              <w:rPr>
                <w:sz w:val="20"/>
                <w:szCs w:val="20"/>
                <w:color w:val="auto"/>
              </w:rPr>
            </w:pPr>
            <w:r>
              <w:rPr>
                <w:rFonts w:ascii="Arial" w:cs="Arial" w:eastAsia="Arial" w:hAnsi="Arial"/>
                <w:sz w:val="14"/>
                <w:szCs w:val="14"/>
                <w:color w:val="auto"/>
                <w:w w:val="89"/>
              </w:rPr>
              <w:t>2013</w:t>
            </w:r>
          </w:p>
        </w:tc>
        <w:tc>
          <w:tcPr>
            <w:tcW w:w="84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8"/>
              <w:spacing w:after="0" w:line="159" w:lineRule="exact"/>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4"/>
          </w:tcPr>
          <w:p>
            <w:pPr>
              <w:jc w:val="right"/>
              <w:ind w:right="278"/>
              <w:spacing w:after="0" w:line="142" w:lineRule="exact"/>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489</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3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5,845</w:t>
            </w:r>
          </w:p>
        </w:tc>
        <w:tc>
          <w:tcPr>
            <w:tcW w:w="3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4,127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3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12,364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580" w:type="dxa"/>
            <w:vAlign w:val="bottom"/>
            <w:vMerge w:val="restart"/>
          </w:tcPr>
          <w:p>
            <w:pPr>
              <w:jc w:val="right"/>
              <w:ind w:right="1792"/>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Gross</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1"/>
              </w:rPr>
              <w:t>Amortized</w:t>
            </w:r>
          </w:p>
        </w:tc>
        <w:tc>
          <w:tcPr>
            <w:tcW w:w="4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6"/>
              </w:rPr>
              <w:t>unrealized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unrealized</w:t>
            </w:r>
          </w:p>
        </w:tc>
        <w:tc>
          <w:tcPr>
            <w:tcW w:w="4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Estimated fair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3"/>
              <w:spacing w:after="0" w:line="159" w:lineRule="exact"/>
              <w:rPr>
                <w:sz w:val="20"/>
                <w:szCs w:val="20"/>
                <w:color w:val="auto"/>
              </w:rPr>
            </w:pPr>
            <w:r>
              <w:rPr>
                <w:rFonts w:ascii="Arial" w:cs="Arial" w:eastAsia="Arial" w:hAnsi="Arial"/>
                <w:sz w:val="14"/>
                <w:szCs w:val="14"/>
                <w:color w:val="auto"/>
              </w:rPr>
              <w:t>cost</w:t>
            </w:r>
          </w:p>
        </w:tc>
        <w:tc>
          <w:tcPr>
            <w:tcW w:w="400" w:type="dxa"/>
            <w:vAlign w:val="bottom"/>
          </w:tcPr>
          <w:p>
            <w:pPr>
              <w:spacing w:after="0"/>
              <w:rPr>
                <w:sz w:val="13"/>
                <w:szCs w:val="13"/>
                <w:color w:val="auto"/>
              </w:rPr>
            </w:pPr>
          </w:p>
        </w:tc>
        <w:tc>
          <w:tcPr>
            <w:tcW w:w="104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3"/>
              </w:rPr>
              <w:t>gains</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0"/>
              </w:rPr>
              <w:t>losses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ind w:right="354"/>
              <w:spacing w:after="0" w:line="142" w:lineRule="exact"/>
              <w:rPr>
                <w:sz w:val="20"/>
                <w:szCs w:val="20"/>
                <w:color w:val="auto"/>
              </w:rPr>
            </w:pPr>
            <w:r>
              <w:rPr>
                <w:rFonts w:ascii="Arial" w:cs="Arial" w:eastAsia="Arial" w:hAnsi="Arial"/>
                <w:sz w:val="14"/>
                <w:szCs w:val="14"/>
                <w:color w:val="auto"/>
              </w:rPr>
              <w:t>(in thousands)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18,874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364</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2,612,466</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83,452</w:t>
            </w:r>
          </w:p>
        </w:tc>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2,694,893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42,911</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18,140</w:t>
            </w:r>
          </w:p>
        </w:tc>
        <w:tc>
          <w:tcPr>
            <w:tcW w:w="640" w:type="dxa"/>
            <w:vAlign w:val="bottom"/>
          </w:tcPr>
          <w:p>
            <w:pPr>
              <w:jc w:val="right"/>
              <w:spacing w:after="0"/>
              <w:rPr>
                <w:sz w:val="20"/>
                <w:szCs w:val="20"/>
                <w:color w:val="auto"/>
              </w:rPr>
            </w:pPr>
            <w:r>
              <w:rPr>
                <w:rFonts w:ascii="Arial" w:cs="Arial" w:eastAsia="Arial" w:hAnsi="Arial"/>
                <w:sz w:val="18"/>
                <w:szCs w:val="18"/>
                <w:color w:val="auto"/>
              </w:rPr>
              <w:t>1,135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136,841</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Equity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132,177</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18,230</w:t>
            </w:r>
          </w:p>
        </w:tc>
        <w:tc>
          <w:tcPr>
            <w:tcW w:w="640" w:type="dxa"/>
            <w:vAlign w:val="bottom"/>
          </w:tcPr>
          <w:p>
            <w:pPr>
              <w:jc w:val="right"/>
              <w:spacing w:after="0"/>
              <w:rPr>
                <w:sz w:val="20"/>
                <w:szCs w:val="20"/>
                <w:color w:val="auto"/>
              </w:rPr>
            </w:pPr>
            <w:r>
              <w:rPr>
                <w:rFonts w:ascii="Arial" w:cs="Arial" w:eastAsia="Arial" w:hAnsi="Arial"/>
                <w:sz w:val="18"/>
                <w:szCs w:val="18"/>
                <w:color w:val="auto"/>
              </w:rPr>
              <w:t>692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2,985,526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123,093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3,085,086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177,824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4,355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1,401,569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1,383,245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Privately issued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230,625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22</w:t>
            </w:r>
          </w:p>
        </w:tc>
        <w:tc>
          <w:tcPr>
            <w:tcW w:w="640" w:type="dxa"/>
            <w:vAlign w:val="bottom"/>
          </w:tcPr>
          <w:p>
            <w:pPr>
              <w:jc w:val="right"/>
              <w:spacing w:after="0"/>
              <w:rPr>
                <w:sz w:val="20"/>
                <w:szCs w:val="20"/>
                <w:color w:val="auto"/>
              </w:rPr>
            </w:pPr>
            <w:r>
              <w:rPr>
                <w:rFonts w:ascii="Arial" w:cs="Arial" w:eastAsia="Arial" w:hAnsi="Arial"/>
                <w:sz w:val="18"/>
                <w:szCs w:val="18"/>
                <w:color w:val="auto"/>
              </w:rPr>
              <w:t>68,093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1,819,691</w:t>
            </w:r>
          </w:p>
        </w:tc>
        <w:tc>
          <w:tcPr>
            <w:tcW w:w="4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16,894</w:t>
            </w:r>
          </w:p>
        </w:tc>
        <w:tc>
          <w:tcPr>
            <w:tcW w:w="640" w:type="dxa"/>
            <w:vAlign w:val="bottom"/>
          </w:tcPr>
          <w:p>
            <w:pPr>
              <w:jc w:val="right"/>
              <w:spacing w:after="0"/>
              <w:rPr>
                <w:sz w:val="20"/>
                <w:szCs w:val="20"/>
                <w:color w:val="auto"/>
              </w:rPr>
            </w:pPr>
            <w:r>
              <w:rPr>
                <w:rFonts w:ascii="Arial" w:cs="Arial" w:eastAsia="Arial" w:hAnsi="Arial"/>
                <w:sz w:val="18"/>
                <w:szCs w:val="18"/>
                <w:color w:val="auto"/>
              </w:rPr>
              <w:t>99,007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1,737,578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305,749</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5,110,966</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139,987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122,540</w:t>
            </w:r>
          </w:p>
        </w:tc>
        <w:tc>
          <w:tcPr>
            <w:tcW w:w="500" w:type="dxa"/>
            <w:vAlign w:val="bottom"/>
            <w:gridSpan w:val="2"/>
          </w:tcPr>
          <w:p>
            <w:pPr>
              <w:ind w:left="4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5,128,413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20,375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534</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3,163,210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208,060</w:t>
            </w: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3,371,041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1,142,287</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125,673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1,023,886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43,228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19,663</w:t>
            </w:r>
          </w:p>
        </w:tc>
        <w:tc>
          <w:tcPr>
            <w:tcW w:w="640" w:type="dxa"/>
            <w:vAlign w:val="bottom"/>
          </w:tcPr>
          <w:p>
            <w:pPr>
              <w:jc w:val="right"/>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Equity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98,945</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14,921</w:t>
            </w:r>
          </w:p>
        </w:tc>
        <w:tc>
          <w:tcPr>
            <w:tcW w:w="640" w:type="dxa"/>
            <w:vAlign w:val="bottom"/>
          </w:tcPr>
          <w:p>
            <w:pPr>
              <w:jc w:val="right"/>
              <w:spacing w:after="0"/>
              <w:rPr>
                <w:sz w:val="20"/>
                <w:szCs w:val="20"/>
                <w:color w:val="auto"/>
              </w:rPr>
            </w:pPr>
            <w:r>
              <w:rPr>
                <w:rFonts w:ascii="Arial" w:cs="Arial" w:eastAsia="Arial" w:hAnsi="Arial"/>
                <w:sz w:val="18"/>
                <w:szCs w:val="18"/>
                <w:color w:val="auto"/>
              </w:rPr>
              <w:t>3,420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4,643,070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253,619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157,252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4,739,437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597,340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31,727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Privately issued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242,378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160</w:t>
            </w:r>
          </w:p>
        </w:tc>
        <w:tc>
          <w:tcPr>
            <w:tcW w:w="640" w:type="dxa"/>
            <w:vAlign w:val="bottom"/>
          </w:tcPr>
          <w:p>
            <w:pPr>
              <w:jc w:val="right"/>
              <w:spacing w:after="0"/>
              <w:rPr>
                <w:sz w:val="20"/>
                <w:szCs w:val="20"/>
                <w:color w:val="auto"/>
              </w:rPr>
            </w:pPr>
            <w:r>
              <w:rPr>
                <w:rFonts w:ascii="Arial" w:cs="Arial" w:eastAsia="Arial" w:hAnsi="Arial"/>
                <w:sz w:val="18"/>
                <w:szCs w:val="18"/>
                <w:color w:val="auto"/>
              </w:rPr>
              <w:t>94,900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1,032,276</w:t>
            </w:r>
          </w:p>
        </w:tc>
        <w:tc>
          <w:tcPr>
            <w:tcW w:w="4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39,534</w:t>
            </w:r>
          </w:p>
        </w:tc>
        <w:tc>
          <w:tcPr>
            <w:tcW w:w="640" w:type="dxa"/>
            <w:vAlign w:val="bottom"/>
          </w:tcPr>
          <w:p>
            <w:pPr>
              <w:jc w:val="right"/>
              <w:spacing w:after="0"/>
              <w:rPr>
                <w:sz w:val="20"/>
                <w:szCs w:val="20"/>
                <w:color w:val="auto"/>
              </w:rPr>
            </w:pPr>
            <w:r>
              <w:rPr>
                <w:rFonts w:ascii="Arial" w:cs="Arial" w:eastAsia="Arial" w:hAnsi="Arial"/>
                <w:sz w:val="18"/>
                <w:szCs w:val="18"/>
                <w:color w:val="auto"/>
              </w:rPr>
              <w:t>94,927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976,883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302,648</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5,977,994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293,153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252,179</w:t>
            </w:r>
          </w:p>
        </w:tc>
        <w:tc>
          <w:tcPr>
            <w:tcW w:w="500" w:type="dxa"/>
            <w:vAlign w:val="bottom"/>
            <w:gridSpan w:val="2"/>
          </w:tcPr>
          <w:p>
            <w:pPr>
              <w:ind w:left="4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6,018,968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20" w:type="dxa"/>
            <w:vAlign w:val="bottom"/>
            <w:vMerge w:val="restart"/>
          </w:tcPr>
          <w:p>
            <w:pPr>
              <w:jc w:val="right"/>
              <w:ind w:right="83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Gross realized gains on investment securities were $116 million for the three-month and six-month periods ended June 30, 2013. During the second quarter of 2013, the Company sold its holdings of Visa Class B shares for a gain of approximately $90 million and its holdings of MasterCard Class B shares for a gain of $13 million. Gross realized losses on investment securities were $60 million for the three-month and six-month periods ended June 30, 2013. During the second quarter of 2013, the Company sold substantially all of its privately issued mortgage-backed securities held in the available-for-sale investment securities portfolio. In total, $1.0 billion of such securities were sold for a net loss of approximately $46 million. Gross realized gains and losses from sales of investment securities were not significant for the three-month and six-month periods ended June 30, 2012.</w:t>
      </w:r>
    </w:p>
    <w:p>
      <w:pPr>
        <w:spacing w:after="0" w:line="120"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The Company recognized $10 million of pre-tax other-than-temporary impairment (“OTTI”) losses during the six months ended June 30, 2013 and $16 million and $28 million during the three months and six months ended June 30, 2012, respectively, related to privately issued mortgage-backed securities. There were no other-than-temporary impairment losses during the second quarter of 2013. The impairment charges were recognized in light of deterioration of real estate values and a rise in delinquencies and charge-offs of underlying mortgage loans collateralizing those securities. The OTTI losses represented management’s estimate of credit losses inherent in the debt securities considering projected cash flows using assumptions for delinquency rates, loss severities, and other estimates of future collateral performance.</w:t>
      </w:r>
    </w:p>
    <w:p>
      <w:pPr>
        <w:spacing w:after="0" w:line="12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Changes in credit losses associated with debt securities for which OTTI losses have been recognized in earnings for the three months and six months ended June 30, 2013 and 2012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220"/>
              <w:spacing w:after="0"/>
              <w:rPr>
                <w:sz w:val="20"/>
                <w:szCs w:val="20"/>
                <w:color w:val="auto"/>
              </w:rPr>
            </w:pPr>
            <w:r>
              <w:rPr>
                <w:rFonts w:ascii="Arial" w:cs="Arial" w:eastAsia="Arial" w:hAnsi="Arial"/>
                <w:sz w:val="14"/>
                <w:szCs w:val="14"/>
                <w:color w:val="auto"/>
                <w:w w:val="85"/>
              </w:rPr>
              <w:t>Three months ended June 30</w:t>
            </w: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1"/>
              <w:spacing w:after="0" w:line="159" w:lineRule="exact"/>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16"/>
              <w:spacing w:after="0" w:line="142" w:lineRule="exact"/>
              <w:rPr>
                <w:sz w:val="20"/>
                <w:szCs w:val="20"/>
                <w:color w:val="auto"/>
              </w:rPr>
            </w:pPr>
            <w:r>
              <w:rPr>
                <w:rFonts w:ascii="Arial" w:cs="Arial" w:eastAsia="Arial" w:hAnsi="Arial"/>
                <w:sz w:val="14"/>
                <w:szCs w:val="14"/>
                <w:color w:val="auto"/>
                <w:w w:val="85"/>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187,114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w w:val="95"/>
              </w:rPr>
              <w:t>Additions for credit losses not previously recognized</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realized losses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(186,320)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794</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264,197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4"/>
          </w:tcPr>
          <w:p>
            <w:pPr>
              <w:jc w:val="center"/>
              <w:ind w:right="200"/>
              <w:spacing w:after="0"/>
              <w:rPr>
                <w:sz w:val="20"/>
                <w:szCs w:val="20"/>
                <w:color w:val="auto"/>
              </w:rPr>
            </w:pPr>
            <w:r>
              <w:rPr>
                <w:rFonts w:ascii="Arial" w:cs="Arial" w:eastAsia="Arial" w:hAnsi="Arial"/>
                <w:sz w:val="14"/>
                <w:szCs w:val="14"/>
                <w:color w:val="auto"/>
                <w:w w:val="85"/>
              </w:rPr>
              <w:t>Six months ended June 30</w:t>
            </w:r>
          </w:p>
        </w:tc>
        <w:tc>
          <w:tcPr>
            <w:tcW w:w="0" w:type="dxa"/>
            <w:vAlign w:val="bottom"/>
          </w:tcPr>
          <w:p>
            <w:pPr>
              <w:spacing w:after="0"/>
              <w:rPr>
                <w:sz w:val="1"/>
                <w:szCs w:val="1"/>
                <w:color w:val="auto"/>
              </w:rPr>
            </w:pPr>
          </w:p>
        </w:tc>
      </w:tr>
      <w:tr>
        <w:trPr>
          <w:trHeight w:val="159"/>
        </w:trPr>
        <w:tc>
          <w:tcPr>
            <w:tcW w:w="39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1"/>
              <w:spacing w:after="0" w:line="159" w:lineRule="exact"/>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color w:val="auto"/>
              </w:rPr>
              <w:t>2012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center"/>
              <w:ind w:right="16"/>
              <w:spacing w:after="0" w:line="142" w:lineRule="exact"/>
              <w:rPr>
                <w:sz w:val="20"/>
                <w:szCs w:val="20"/>
                <w:color w:val="auto"/>
              </w:rPr>
            </w:pPr>
            <w:r>
              <w:rPr>
                <w:rFonts w:ascii="Arial" w:cs="Arial" w:eastAsia="Arial" w:hAnsi="Arial"/>
                <w:sz w:val="14"/>
                <w:szCs w:val="14"/>
                <w:color w:val="auto"/>
                <w:w w:val="85"/>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197,809</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w w:val="95"/>
              </w:rPr>
              <w:t>Additions for credit losses not previously recognized</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9,800</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realized losses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(206,815)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(48,861)</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vMerge w:val="continue"/>
          </w:tcPr>
          <w:p>
            <w:pPr>
              <w:spacing w:after="0"/>
              <w:rPr>
                <w:sz w:val="19"/>
                <w:szCs w:val="19"/>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794</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264,197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780" w:type="dxa"/>
            <w:vAlign w:val="bottom"/>
            <w:vMerge w:val="restart"/>
          </w:tcPr>
          <w:p>
            <w:pPr>
              <w:jc w:val="right"/>
              <w:ind w:right="217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 June 30, 2013, the amortized cost and estimated fair value of debt securities by contractual maturity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color w:val="auto"/>
                <w:w w:val="91"/>
              </w:rPr>
              <w:t>Amortized</w:t>
            </w:r>
          </w:p>
        </w:tc>
        <w:tc>
          <w:tcPr>
            <w:tcW w:w="4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cost</w:t>
            </w:r>
          </w:p>
        </w:tc>
        <w:tc>
          <w:tcPr>
            <w:tcW w:w="420" w:type="dxa"/>
            <w:vAlign w:val="bottom"/>
          </w:tcPr>
          <w:p>
            <w:pPr>
              <w:spacing w:after="0"/>
              <w:rPr>
                <w:sz w:val="13"/>
                <w:szCs w:val="13"/>
                <w:color w:val="auto"/>
              </w:rPr>
            </w:pPr>
          </w:p>
        </w:tc>
        <w:tc>
          <w:tcPr>
            <w:tcW w:w="8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jc w:val="right"/>
              <w:ind w:right="539"/>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181,277</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236,112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235,206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2,617,237</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2,700,165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tcPr>
          <w:p>
            <w:pPr>
              <w:spacing w:after="0"/>
              <w:rPr>
                <w:sz w:val="19"/>
                <w:szCs w:val="19"/>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2,853,349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2,935,371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24,360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91,679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93,975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187,497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191,779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1,632,194</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1,545,799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1,819,691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1,737,578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920" w:type="dxa"/>
            <w:vAlign w:val="bottom"/>
            <w:vMerge w:val="restart"/>
          </w:tcPr>
          <w:p>
            <w:pPr>
              <w:jc w:val="right"/>
              <w:ind w:right="2032"/>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 summary of investment securities that as of June 30, 2013 and December 31, 2012 had been in a continuous unrealized loss position for less than twelve months and those that had been in a continuous unrealized loss position for twelve months or longer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color w:val="auto"/>
                <w:w w:val="99"/>
              </w:rPr>
              <w:t>Less than 12 months</w:t>
            </w:r>
          </w:p>
        </w:tc>
        <w:tc>
          <w:tcPr>
            <w:tcW w:w="1840" w:type="dxa"/>
            <w:vAlign w:val="bottom"/>
            <w:gridSpan w:val="4"/>
          </w:tcPr>
          <w:p>
            <w:pPr>
              <w:jc w:val="right"/>
              <w:ind w:right="4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Unrealized</w:t>
            </w: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Fair value</w:t>
            </w:r>
          </w:p>
        </w:tc>
        <w:tc>
          <w:tcPr>
            <w:tcW w:w="9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losses</w:t>
            </w:r>
          </w:p>
        </w:tc>
        <w:tc>
          <w:tcPr>
            <w:tcW w:w="7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Fair value</w:t>
            </w:r>
          </w:p>
        </w:tc>
        <w:tc>
          <w:tcPr>
            <w:tcW w:w="300" w:type="dxa"/>
            <w:vAlign w:val="bottom"/>
          </w:tcPr>
          <w:p>
            <w:pPr>
              <w:spacing w:after="0"/>
              <w:rPr>
                <w:sz w:val="13"/>
                <w:szCs w:val="13"/>
                <w:color w:val="auto"/>
              </w:rPr>
            </w:pP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right"/>
              <w:ind w:right="414"/>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Privately issued</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4,804</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740" w:type="dxa"/>
            <w:vAlign w:val="bottom"/>
          </w:tcPr>
          <w:p>
            <w:pPr>
              <w:jc w:val="right"/>
              <w:spacing w:after="0"/>
              <w:rPr>
                <w:sz w:val="20"/>
                <w:szCs w:val="20"/>
                <w:color w:val="auto"/>
              </w:rPr>
            </w:pPr>
            <w:r>
              <w:rPr>
                <w:rFonts w:ascii="Arial" w:cs="Arial" w:eastAsia="Arial" w:hAnsi="Arial"/>
                <w:sz w:val="18"/>
                <w:szCs w:val="18"/>
                <w:color w:val="auto"/>
              </w:rPr>
              <w:t>102,116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206,853</w:t>
            </w:r>
          </w:p>
        </w:tc>
        <w:tc>
          <w:tcPr>
            <w:tcW w:w="3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(1,613)</w:t>
            </w:r>
          </w:p>
        </w:tc>
        <w:tc>
          <w:tcPr>
            <w:tcW w:w="740" w:type="dxa"/>
            <w:vAlign w:val="bottom"/>
          </w:tcPr>
          <w:p>
            <w:pPr>
              <w:jc w:val="right"/>
              <w:spacing w:after="0"/>
              <w:rPr>
                <w:sz w:val="20"/>
                <w:szCs w:val="20"/>
                <w:color w:val="auto"/>
              </w:rPr>
            </w:pPr>
            <w:r>
              <w:rPr>
                <w:rFonts w:ascii="Arial" w:cs="Arial" w:eastAsia="Arial" w:hAnsi="Arial"/>
                <w:sz w:val="18"/>
                <w:szCs w:val="18"/>
                <w:color w:val="auto"/>
              </w:rPr>
              <w:t>115,883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2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11,734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740" w:type="dxa"/>
            <w:vAlign w:val="bottom"/>
          </w:tcPr>
          <w:p>
            <w:pPr>
              <w:jc w:val="right"/>
              <w:spacing w:after="0"/>
              <w:rPr>
                <w:sz w:val="20"/>
                <w:szCs w:val="20"/>
                <w:color w:val="auto"/>
              </w:rPr>
            </w:pPr>
            <w:r>
              <w:rPr>
                <w:rFonts w:ascii="Arial" w:cs="Arial" w:eastAsia="Arial" w:hAnsi="Arial"/>
                <w:sz w:val="18"/>
                <w:szCs w:val="18"/>
                <w:color w:val="auto"/>
              </w:rPr>
              <w:t>1,558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1,080,577</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(30,841)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162,395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1,092,311</w:t>
            </w:r>
          </w:p>
        </w:tc>
        <w:tc>
          <w:tcPr>
            <w:tcW w:w="3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(30,895)</w:t>
            </w:r>
          </w:p>
        </w:tc>
        <w:tc>
          <w:tcPr>
            <w:tcW w:w="740" w:type="dxa"/>
            <w:vAlign w:val="bottom"/>
          </w:tcPr>
          <w:p>
            <w:pPr>
              <w:jc w:val="right"/>
              <w:spacing w:after="0"/>
              <w:rPr>
                <w:sz w:val="20"/>
                <w:szCs w:val="20"/>
                <w:color w:val="auto"/>
              </w:rPr>
            </w:pPr>
            <w:r>
              <w:rPr>
                <w:rFonts w:ascii="Arial" w:cs="Arial" w:eastAsia="Arial" w:hAnsi="Arial"/>
                <w:sz w:val="18"/>
                <w:szCs w:val="18"/>
                <w:color w:val="auto"/>
              </w:rPr>
              <w:t>163,953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(68,112)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1,299,164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(32,508)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279,836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(90,032)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12,107</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740" w:type="dxa"/>
            <w:vAlign w:val="bottom"/>
          </w:tcPr>
          <w:p>
            <w:pPr>
              <w:jc w:val="right"/>
              <w:spacing w:after="0"/>
              <w:rPr>
                <w:sz w:val="20"/>
                <w:szCs w:val="20"/>
                <w:color w:val="auto"/>
              </w:rPr>
            </w:pPr>
            <w:r>
              <w:rPr>
                <w:rFonts w:ascii="Arial" w:cs="Arial" w:eastAsia="Arial" w:hAnsi="Arial"/>
                <w:sz w:val="18"/>
                <w:szCs w:val="18"/>
                <w:color w:val="auto"/>
              </w:rPr>
              <w:t>8,804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774,328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6,043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Equity securities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5,535</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(1,295)</w:t>
            </w:r>
          </w:p>
        </w:tc>
        <w:tc>
          <w:tcPr>
            <w:tcW w:w="740" w:type="dxa"/>
            <w:vAlign w:val="bottom"/>
          </w:tcPr>
          <w:p>
            <w:pPr>
              <w:jc w:val="right"/>
              <w:spacing w:after="0"/>
              <w:rPr>
                <w:sz w:val="20"/>
                <w:szCs w:val="20"/>
                <w:color w:val="auto"/>
              </w:rPr>
            </w:pPr>
            <w:r>
              <w:rPr>
                <w:rFonts w:ascii="Arial" w:cs="Arial" w:eastAsia="Arial" w:hAnsi="Arial"/>
                <w:sz w:val="18"/>
                <w:szCs w:val="18"/>
                <w:color w:val="auto"/>
              </w:rPr>
              <w:t>2,956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888,499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(155,199)</w:t>
            </w: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147,273</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(94,922)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gridSpan w:val="2"/>
            <w:vMerge w:val="continue"/>
          </w:tcPr>
          <w:p>
            <w:pPr>
              <w:spacing w:after="0"/>
              <w:rPr>
                <w:sz w:val="19"/>
                <w:szCs w:val="19"/>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140,321</w:t>
            </w:r>
          </w:p>
        </w:tc>
        <w:tc>
          <w:tcPr>
            <w:tcW w:w="3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(2,058)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1,039,330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(250,121)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40" w:type="dxa"/>
            <w:vAlign w:val="bottom"/>
            <w:vMerge w:val="restart"/>
          </w:tcPr>
          <w:p>
            <w:pPr>
              <w:jc w:val="right"/>
              <w:ind w:right="1152"/>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owned 278 individual investment securities with aggregate gross unrealized losses of $123 million at June 30, 2013.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$68 million of the unrealized losses pertained to privately issued mortgage-backed securities with a cost basis of $231 million. The Company also had $22 million</w:t>
      </w:r>
    </w:p>
    <w:p>
      <w:pPr>
        <w:spacing w:after="0" w:line="3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of unrealized losses on trust preferred securities issued by financial institutions and securities backed by trust preferred securities having a cost basis of $135 million. Based on a review of each of the remaining securities in the investment securities portfolio at June 30, 2013 the Company concluded that it expected to recover the amortized cost basis of its investment. As of June 30, 2013, the Company does not intend to sell nor is it anticipated that it would be required to sell any of its impaired investment securities. At June 30, 2013, the Company has not identified events or changes in circumstances which may have a significant adverse effect on the fair value of the $306 million of cost method investment securities.</w:t>
      </w:r>
    </w:p>
    <w:p>
      <w:pPr>
        <w:spacing w:after="0" w:line="23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is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Arial" w:cs="Arial" w:eastAsia="Arial" w:hAnsi="Arial"/>
                <w:sz w:val="14"/>
                <w:szCs w:val="14"/>
                <w:color w:val="auto"/>
              </w:rPr>
              <w:t>June 30,</w:t>
            </w:r>
          </w:p>
        </w:tc>
        <w:tc>
          <w:tcPr>
            <w:tcW w:w="1300" w:type="dxa"/>
            <w:vAlign w:val="bottom"/>
            <w:gridSpan w:val="3"/>
          </w:tcPr>
          <w:p>
            <w:pPr>
              <w:ind w:left="440"/>
              <w:spacing w:after="0"/>
              <w:rPr>
                <w:sz w:val="20"/>
                <w:szCs w:val="20"/>
                <w:color w:val="auto"/>
              </w:rPr>
            </w:pPr>
            <w:r>
              <w:rPr>
                <w:rFonts w:ascii="Arial" w:cs="Arial" w:eastAsia="Arial" w:hAnsi="Arial"/>
                <w:sz w:val="14"/>
                <w:szCs w:val="14"/>
                <w:color w:val="auto"/>
                <w:w w:val="95"/>
              </w:rPr>
              <w:t>December 31,</w:t>
            </w:r>
          </w:p>
        </w:tc>
      </w:tr>
      <w:tr>
        <w:trPr>
          <w:trHeight w:val="159"/>
        </w:trPr>
        <w:tc>
          <w:tcPr>
            <w:tcW w:w="4740" w:type="dxa"/>
            <w:vAlign w:val="bottom"/>
          </w:tcPr>
          <w:p>
            <w:pPr>
              <w:spacing w:after="0"/>
              <w:rPr>
                <w:sz w:val="13"/>
                <w:szCs w:val="13"/>
                <w:color w:val="auto"/>
              </w:rPr>
            </w:pPr>
          </w:p>
        </w:tc>
        <w:tc>
          <w:tcPr>
            <w:tcW w:w="2640" w:type="dxa"/>
            <w:vAlign w:val="bottom"/>
            <w:gridSpan w:val="2"/>
          </w:tcPr>
          <w:p>
            <w:pPr>
              <w:jc w:val="right"/>
              <w:ind w:right="206"/>
              <w:spacing w:after="0" w:line="159" w:lineRule="exact"/>
              <w:rPr>
                <w:sz w:val="20"/>
                <w:szCs w:val="20"/>
                <w:color w:val="auto"/>
              </w:rPr>
            </w:pPr>
            <w:r>
              <w:rPr>
                <w:rFonts w:ascii="Arial" w:cs="Arial" w:eastAsia="Arial" w:hAnsi="Arial"/>
                <w:sz w:val="14"/>
                <w:szCs w:val="14"/>
                <w:color w:val="auto"/>
              </w:rPr>
              <w:t>2013</w:t>
            </w:r>
          </w:p>
        </w:tc>
        <w:tc>
          <w:tcPr>
            <w:tcW w:w="120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4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0" w:type="dxa"/>
            <w:vAlign w:val="bottom"/>
            <w:tcBorders>
              <w:top w:val="single" w:sz="8" w:color="auto"/>
            </w:tcBorders>
            <w:gridSpan w:val="3"/>
          </w:tcPr>
          <w:p>
            <w:pPr>
              <w:jc w:val="right"/>
              <w:ind w:right="53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$5,690,165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6,705,120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Carrying amount:</w:t>
            </w: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financial, leasing, etc.</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752,761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928,107</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Commercial real estate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2,102,757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2,567,050</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641,734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707,309</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ind w:left="440"/>
              <w:spacing w:after="0"/>
              <w:rPr>
                <w:sz w:val="20"/>
                <w:szCs w:val="20"/>
                <w:color w:val="auto"/>
              </w:rPr>
            </w:pPr>
            <w:r>
              <w:rPr>
                <w:rFonts w:ascii="Arial" w:cs="Arial" w:eastAsia="Arial" w:hAnsi="Arial"/>
                <w:sz w:val="18"/>
                <w:szCs w:val="18"/>
                <w:color w:val="auto"/>
              </w:rPr>
              <w:t>Consumer</w:t>
            </w:r>
          </w:p>
        </w:tc>
        <w:tc>
          <w:tcPr>
            <w:tcW w:w="1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1,417,358</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1,637,887</w:t>
            </w: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4,914,610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5,840,353</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Purchased impaired loans included in the table above totaled $395 million at June 30, 2013 and $447 million at December 31, 2012, representing less than 1% of the Company’s assets as of each date. A summary of changes in the accretable yield for acquired loans for the three months and six months ended June 30, 2013 and 2012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0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2013</w:t>
            </w:r>
          </w:p>
        </w:tc>
        <w:tc>
          <w:tcPr>
            <w:tcW w:w="1680" w:type="dxa"/>
            <w:vAlign w:val="bottom"/>
            <w:gridSpan w:val="4"/>
          </w:tcPr>
          <w:p>
            <w:pPr>
              <w:jc w:val="right"/>
              <w:ind w:right="80"/>
              <w:spacing w:after="0"/>
              <w:rPr>
                <w:sz w:val="20"/>
                <w:szCs w:val="20"/>
                <w:color w:val="auto"/>
              </w:rPr>
            </w:pPr>
            <w:r>
              <w:rPr>
                <w:rFonts w:ascii="Arial" w:cs="Arial" w:eastAsia="Arial" w:hAnsi="Arial"/>
                <w:sz w:val="14"/>
                <w:szCs w:val="14"/>
                <w:color w:val="auto"/>
                <w:w w:val="86"/>
              </w:rPr>
              <w:t>Three months ended June 30</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89"/>
              </w:rPr>
              <w:t>2012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330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00"/>
              <w:spacing w:after="0" w:line="131" w:lineRule="exact"/>
              <w:rPr>
                <w:sz w:val="20"/>
                <w:szCs w:val="20"/>
                <w:color w:val="auto"/>
              </w:rPr>
            </w:pPr>
            <w:r>
              <w:rPr>
                <w:rFonts w:ascii="Arial" w:cs="Arial" w:eastAsia="Arial" w:hAnsi="Arial"/>
                <w:sz w:val="14"/>
                <w:szCs w:val="14"/>
                <w:color w:val="auto"/>
                <w:w w:val="83"/>
              </w:rPr>
              <w:t>Purchased</w:t>
            </w:r>
          </w:p>
        </w:tc>
        <w:tc>
          <w:tcPr>
            <w:tcW w:w="620" w:type="dxa"/>
            <w:vAlign w:val="bottom"/>
            <w:tcBorders>
              <w:top w:val="single" w:sz="8" w:color="auto"/>
            </w:tcBorders>
          </w:tcPr>
          <w:p>
            <w:pPr>
              <w:jc w:val="right"/>
              <w:ind w:right="81"/>
              <w:spacing w:after="0" w:line="131"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80"/>
              <w:spacing w:after="0" w:line="131" w:lineRule="exact"/>
              <w:rPr>
                <w:sz w:val="20"/>
                <w:szCs w:val="20"/>
                <w:color w:val="auto"/>
              </w:rPr>
            </w:pPr>
            <w:r>
              <w:rPr>
                <w:rFonts w:ascii="Arial" w:cs="Arial" w:eastAsia="Arial" w:hAnsi="Arial"/>
                <w:sz w:val="14"/>
                <w:szCs w:val="14"/>
                <w:color w:val="auto"/>
                <w:w w:val="80"/>
              </w:rPr>
              <w:t>Purchased</w:t>
            </w:r>
          </w:p>
        </w:tc>
        <w:tc>
          <w:tcPr>
            <w:tcW w:w="3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12"/>
              <w:spacing w:after="0" w:line="131"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9"/>
              </w:rPr>
              <w:t>impaired</w:t>
            </w:r>
          </w:p>
        </w:tc>
        <w:tc>
          <w:tcPr>
            <w:tcW w:w="104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w w:val="96"/>
              </w:rPr>
              <w:t>acquired</w:t>
            </w:r>
          </w:p>
        </w:tc>
        <w:tc>
          <w:tcPr>
            <w:tcW w:w="6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3"/>
              </w:rPr>
              <w:t>impaired</w:t>
            </w:r>
          </w:p>
        </w:tc>
        <w:tc>
          <w:tcPr>
            <w:tcW w:w="340" w:type="dxa"/>
            <w:vAlign w:val="bottom"/>
          </w:tcPr>
          <w:p>
            <w:pPr>
              <w:spacing w:after="0"/>
              <w:rPr>
                <w:sz w:val="13"/>
                <w:szCs w:val="13"/>
                <w:color w:val="auto"/>
              </w:rPr>
            </w:pP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96"/>
              </w:rPr>
              <w:t>acquired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460"/>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577,609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$22,565</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income</w:t>
            </w:r>
          </w:p>
        </w:tc>
        <w:tc>
          <w:tcPr>
            <w:tcW w:w="3300" w:type="dxa"/>
            <w:vAlign w:val="bottom"/>
            <w:gridSpan w:val="3"/>
          </w:tcPr>
          <w:p>
            <w:pPr>
              <w:jc w:val="right"/>
              <w:ind w:right="360"/>
              <w:spacing w:after="0"/>
              <w:rPr>
                <w:sz w:val="20"/>
                <w:szCs w:val="20"/>
                <w:color w:val="auto"/>
              </w:rPr>
            </w:pPr>
            <w:r>
              <w:rPr>
                <w:rFonts w:ascii="Arial" w:cs="Arial" w:eastAsia="Arial" w:hAnsi="Arial"/>
                <w:sz w:val="18"/>
                <w:szCs w:val="18"/>
                <w:color w:val="auto"/>
              </w:rPr>
              <w:t>(9,747)</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(67,539)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(9,621)</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(to) nonaccretable balance, net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31,168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111,702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42,655</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(a)</w:t>
            </w:r>
          </w:p>
        </w:tc>
        <w:tc>
          <w:tcPr>
            <w:tcW w:w="230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(31,221)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55,149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622,093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55,599</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733,161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00" w:type="dxa"/>
            <w:vAlign w:val="bottom"/>
            <w:vMerge w:val="restart"/>
          </w:tcPr>
          <w:p>
            <w:pPr>
              <w:jc w:val="right"/>
              <w:ind w:right="1256"/>
              <w:spacing w:after="0"/>
              <w:rPr>
                <w:sz w:val="20"/>
                <w:szCs w:val="20"/>
                <w:color w:val="auto"/>
              </w:rPr>
            </w:pPr>
            <w:r>
              <w:rPr>
                <w:rFonts w:ascii="Arial" w:cs="Arial" w:eastAsia="Arial" w:hAnsi="Arial"/>
                <w:sz w:val="18"/>
                <w:szCs w:val="18"/>
                <w:color w:val="auto"/>
              </w:rPr>
              <w:t>-14-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2013</w:t>
            </w:r>
          </w:p>
        </w:tc>
        <w:tc>
          <w:tcPr>
            <w:tcW w:w="1820" w:type="dxa"/>
            <w:vAlign w:val="bottom"/>
            <w:gridSpan w:val="4"/>
          </w:tcPr>
          <w:p>
            <w:pPr>
              <w:jc w:val="right"/>
              <w:ind w:right="220"/>
              <w:spacing w:after="0"/>
              <w:rPr>
                <w:sz w:val="20"/>
                <w:szCs w:val="20"/>
                <w:color w:val="auto"/>
              </w:rPr>
            </w:pPr>
            <w:r>
              <w:rPr>
                <w:rFonts w:ascii="Arial" w:cs="Arial" w:eastAsia="Arial" w:hAnsi="Arial"/>
                <w:sz w:val="14"/>
                <w:szCs w:val="14"/>
                <w:color w:val="auto"/>
                <w:w w:val="95"/>
              </w:rPr>
              <w:t>Six months ended June 30</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83"/>
              </w:rPr>
              <w:t>2012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42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460"/>
              <w:spacing w:after="0" w:line="131" w:lineRule="exact"/>
              <w:rPr>
                <w:sz w:val="20"/>
                <w:szCs w:val="20"/>
                <w:color w:val="auto"/>
              </w:rPr>
            </w:pPr>
            <w:r>
              <w:rPr>
                <w:rFonts w:ascii="Arial" w:cs="Arial" w:eastAsia="Arial" w:hAnsi="Arial"/>
                <w:sz w:val="14"/>
                <w:szCs w:val="14"/>
                <w:color w:val="auto"/>
                <w:w w:val="86"/>
              </w:rPr>
              <w:t>Purchased</w:t>
            </w:r>
          </w:p>
        </w:tc>
        <w:tc>
          <w:tcPr>
            <w:tcW w:w="680" w:type="dxa"/>
            <w:vAlign w:val="bottom"/>
            <w:tcBorders>
              <w:top w:val="single" w:sz="8" w:color="auto"/>
            </w:tcBorders>
          </w:tcPr>
          <w:p>
            <w:pPr>
              <w:jc w:val="right"/>
              <w:ind w:right="101"/>
              <w:spacing w:after="0" w:line="131"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120"/>
              <w:spacing w:after="0" w:line="131" w:lineRule="exact"/>
              <w:rPr>
                <w:sz w:val="20"/>
                <w:szCs w:val="20"/>
                <w:color w:val="auto"/>
              </w:rPr>
            </w:pPr>
            <w:r>
              <w:rPr>
                <w:rFonts w:ascii="Arial" w:cs="Arial" w:eastAsia="Arial" w:hAnsi="Arial"/>
                <w:sz w:val="14"/>
                <w:szCs w:val="14"/>
                <w:color w:val="auto"/>
                <w:w w:val="86"/>
              </w:rPr>
              <w:t>Purchased</w:t>
            </w: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26"/>
              <w:spacing w:after="0" w:line="131"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impaired</w:t>
            </w:r>
          </w:p>
        </w:tc>
        <w:tc>
          <w:tcPr>
            <w:tcW w:w="11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acquired</w:t>
            </w: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impaired</w:t>
            </w:r>
          </w:p>
        </w:tc>
        <w:tc>
          <w:tcPr>
            <w:tcW w:w="320" w:type="dxa"/>
            <w:vAlign w:val="bottom"/>
          </w:tcPr>
          <w:p>
            <w:pPr>
              <w:spacing w:after="0"/>
              <w:rPr>
                <w:sz w:val="13"/>
                <w:szCs w:val="13"/>
                <w:color w:val="auto"/>
              </w:rPr>
            </w:pP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acquired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540"/>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$ 42,252</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638,272</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$ 30,805</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2420" w:type="dxa"/>
            <w:vAlign w:val="bottom"/>
            <w:gridSpan w:val="3"/>
          </w:tcPr>
          <w:p>
            <w:pPr>
              <w:jc w:val="right"/>
              <w:ind w:right="340"/>
              <w:spacing w:after="0"/>
              <w:rPr>
                <w:sz w:val="20"/>
                <w:szCs w:val="20"/>
                <w:color w:val="auto"/>
              </w:rPr>
            </w:pPr>
            <w:r>
              <w:rPr>
                <w:rFonts w:ascii="Arial" w:cs="Arial" w:eastAsia="Arial" w:hAnsi="Arial"/>
                <w:sz w:val="18"/>
                <w:szCs w:val="18"/>
                <w:color w:val="auto"/>
              </w:rPr>
              <w:t>(18,451)</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(129,286)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(17,285)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(153,972)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(to) nonaccretable balance, net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31,348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122,519</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42,079</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(a)</w:t>
            </w:r>
          </w:p>
        </w:tc>
        <w:tc>
          <w:tcPr>
            <w:tcW w:w="136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(9,412)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3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$ 55,149</w:t>
            </w: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622,093</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$ 55,599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t>
      </w:r>
      <w:r>
        <w:rPr>
          <w:sz w:val="20"/>
          <w:szCs w:val="20"/>
          <w:color w:val="auto"/>
        </w:rPr>
        <w:tab/>
      </w:r>
      <w:r>
        <w:rPr>
          <w:rFonts w:ascii="Arial" w:cs="Arial" w:eastAsia="Arial" w:hAnsi="Arial"/>
          <w:sz w:val="15"/>
          <w:szCs w:val="15"/>
          <w:i w:val="1"/>
          <w:iCs w:val="1"/>
          <w:color w:val="auto"/>
        </w:rPr>
        <w:t>Other changes in expected cash flows including changes in interest rates and prepayment assumptions.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current, past due and nonaccrual loans as of June 30, 2013 and December 31, 2012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color w:val="auto"/>
                <w:w w:val="88"/>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83"/>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gridSpan w:val="2"/>
          </w:tcPr>
          <w:p>
            <w:pPr>
              <w:jc w:val="center"/>
              <w:ind w:left="114"/>
              <w:spacing w:after="0" w:line="15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3"/>
                <w:szCs w:val="13"/>
                <w:color w:val="auto"/>
              </w:rPr>
            </w:pPr>
          </w:p>
        </w:tc>
        <w:tc>
          <w:tcPr>
            <w:tcW w:w="1680" w:type="dxa"/>
            <w:vAlign w:val="bottom"/>
            <w:gridSpan w:val="5"/>
          </w:tcPr>
          <w:p>
            <w:pPr>
              <w:jc w:val="center"/>
              <w:ind w:right="200"/>
              <w:spacing w:after="0" w:line="159" w:lineRule="exact"/>
              <w:rPr>
                <w:sz w:val="20"/>
                <w:szCs w:val="20"/>
                <w:color w:val="auto"/>
              </w:rPr>
            </w:pPr>
            <w:r>
              <w:rPr>
                <w:rFonts w:ascii="Arial" w:cs="Arial" w:eastAsia="Arial" w:hAnsi="Arial"/>
                <w:sz w:val="14"/>
                <w:szCs w:val="14"/>
                <w:color w:val="auto"/>
                <w:w w:val="85"/>
              </w:rPr>
              <w:t>due and accruing</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Purchased</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87"/>
              </w:rPr>
              <w:t>Days</w:t>
            </w:r>
          </w:p>
        </w:tc>
        <w:tc>
          <w:tcPr>
            <w:tcW w:w="200" w:type="dxa"/>
            <w:vAlign w:val="bottom"/>
          </w:tcPr>
          <w:p>
            <w:pPr>
              <w:spacing w:after="0"/>
              <w:rPr>
                <w:sz w:val="11"/>
                <w:szCs w:val="11"/>
                <w:color w:val="auto"/>
              </w:rPr>
            </w:pPr>
          </w:p>
        </w:tc>
        <w:tc>
          <w:tcPr>
            <w:tcW w:w="700" w:type="dxa"/>
            <w:vAlign w:val="bottom"/>
            <w:tcBorders>
              <w:top w:val="single" w:sz="8" w:color="auto"/>
            </w:tcBorders>
            <w:gridSpan w:val="2"/>
          </w:tcPr>
          <w:p>
            <w:pPr>
              <w:ind w:left="180"/>
              <w:spacing w:after="0" w:line="131" w:lineRule="exact"/>
              <w:rPr>
                <w:sz w:val="20"/>
                <w:szCs w:val="20"/>
                <w:color w:val="auto"/>
              </w:rPr>
            </w:pPr>
            <w:r>
              <w:rPr>
                <w:rFonts w:ascii="Arial" w:cs="Arial" w:eastAsia="Arial" w:hAnsi="Arial"/>
                <w:sz w:val="14"/>
                <w:szCs w:val="14"/>
                <w:color w:val="auto"/>
              </w:rPr>
              <w:t>Non-</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4"/>
              </w:rPr>
              <w:t>Acquired</w:t>
            </w: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9"/>
              </w:rPr>
              <w:t>impaired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880" w:type="dxa"/>
            <w:vAlign w:val="bottom"/>
          </w:tcPr>
          <w:p>
            <w:pPr>
              <w:jc w:val="right"/>
              <w:ind w:right="154"/>
              <w:spacing w:after="0" w:line="159" w:lineRule="exact"/>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1"/>
              </w:rPr>
              <w:t>past due</w:t>
            </w:r>
          </w:p>
        </w:tc>
        <w:tc>
          <w:tcPr>
            <w:tcW w:w="20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acquired</w:t>
            </w:r>
          </w:p>
        </w:tc>
        <w:tc>
          <w:tcPr>
            <w:tcW w:w="14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(a)</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(b)</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84"/>
              </w:rPr>
              <w:t>Nonaccrual</w:t>
            </w:r>
          </w:p>
        </w:tc>
        <w:tc>
          <w:tcPr>
            <w:tcW w:w="200" w:type="dxa"/>
            <w:vAlign w:val="bottom"/>
          </w:tcPr>
          <w:p>
            <w:pPr>
              <w:spacing w:after="0"/>
              <w:rPr>
                <w:sz w:val="13"/>
                <w:szCs w:val="13"/>
                <w:color w:val="auto"/>
              </w:rPr>
            </w:pPr>
          </w:p>
        </w:tc>
        <w:tc>
          <w:tcPr>
            <w:tcW w:w="98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color w:val="auto"/>
                <w:w w:val="85"/>
              </w:rPr>
              <w:t>(in thousands)</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$17,803,206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41,516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5,701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9,902</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16,734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144,753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$18,021,812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21,646,755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132,454</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14,397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43,916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110,026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197,987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22,145,535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15,226</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151,369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132,621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1,110,606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2,709,159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17,789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16,339</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78,373</w:t>
            </w:r>
          </w:p>
        </w:tc>
        <w:tc>
          <w:tcPr>
            <w:tcW w:w="640" w:type="dxa"/>
            <w:vAlign w:val="bottom"/>
          </w:tcPr>
          <w:p>
            <w:pPr>
              <w:jc w:val="right"/>
              <w:spacing w:after="0"/>
              <w:rPr>
                <w:sz w:val="20"/>
                <w:szCs w:val="20"/>
                <w:color w:val="auto"/>
              </w:rPr>
            </w:pPr>
            <w:r>
              <w:rPr>
                <w:rFonts w:ascii="Arial" w:cs="Arial" w:eastAsia="Arial" w:hAnsi="Arial"/>
                <w:sz w:val="18"/>
                <w:szCs w:val="18"/>
                <w:color w:val="auto"/>
              </w:rPr>
              <w:t>38,514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2,860,253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9,039,263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298,767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312,703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254,033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9,987,200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880" w:type="dxa"/>
            <w:vAlign w:val="bottom"/>
          </w:tcPr>
          <w:p>
            <w:pPr>
              <w:jc w:val="right"/>
              <w:spacing w:after="0"/>
              <w:rPr>
                <w:sz w:val="20"/>
                <w:szCs w:val="20"/>
                <w:color w:val="auto"/>
              </w:rPr>
            </w:pPr>
            <w:r>
              <w:rPr>
                <w:rFonts w:ascii="Arial" w:cs="Arial" w:eastAsia="Arial" w:hAnsi="Arial"/>
                <w:sz w:val="18"/>
                <w:szCs w:val="18"/>
                <w:color w:val="auto"/>
              </w:rPr>
              <w:t>305,693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21,464</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85,392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412,549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880" w:type="dxa"/>
            <w:vAlign w:val="bottom"/>
          </w:tcPr>
          <w:p>
            <w:pPr>
              <w:jc w:val="right"/>
              <w:spacing w:after="0"/>
              <w:rPr>
                <w:sz w:val="20"/>
                <w:szCs w:val="20"/>
                <w:color w:val="auto"/>
              </w:rPr>
            </w:pPr>
            <w:r>
              <w:rPr>
                <w:rFonts w:ascii="Arial" w:cs="Arial" w:eastAsia="Arial" w:hAnsi="Arial"/>
                <w:sz w:val="18"/>
                <w:szCs w:val="18"/>
                <w:color w:val="auto"/>
              </w:rPr>
              <w:t>6,039,668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33,205</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26,615</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2,661</w:t>
            </w:r>
          </w:p>
        </w:tc>
        <w:tc>
          <w:tcPr>
            <w:tcW w:w="640" w:type="dxa"/>
            <w:vAlign w:val="bottom"/>
          </w:tcPr>
          <w:p>
            <w:pPr>
              <w:jc w:val="right"/>
              <w:spacing w:after="0"/>
              <w:rPr>
                <w:sz w:val="20"/>
                <w:szCs w:val="20"/>
                <w:color w:val="auto"/>
              </w:rPr>
            </w:pPr>
            <w:r>
              <w:rPr>
                <w:rFonts w:ascii="Arial" w:cs="Arial" w:eastAsia="Arial" w:hAnsi="Arial"/>
                <w:sz w:val="18"/>
                <w:szCs w:val="18"/>
                <w:color w:val="auto"/>
              </w:rPr>
              <w:t>70,488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6,172,637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2,467,882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32,752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2,521,335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2,678,668</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35,887</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20,585</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2,739,939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63,487,050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629,060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340,467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155,686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394,697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964,906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65,971,866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color w:val="auto"/>
                <w:w w:val="88"/>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83"/>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3"/>
                <w:szCs w:val="13"/>
                <w:color w:val="auto"/>
              </w:rPr>
            </w:pPr>
          </w:p>
        </w:tc>
        <w:tc>
          <w:tcPr>
            <w:tcW w:w="1680" w:type="dxa"/>
            <w:vAlign w:val="bottom"/>
            <w:gridSpan w:val="5"/>
          </w:tcPr>
          <w:p>
            <w:pPr>
              <w:jc w:val="center"/>
              <w:ind w:right="200"/>
              <w:spacing w:after="0" w:line="159" w:lineRule="exact"/>
              <w:rPr>
                <w:sz w:val="20"/>
                <w:szCs w:val="20"/>
                <w:color w:val="auto"/>
              </w:rPr>
            </w:pPr>
            <w:r>
              <w:rPr>
                <w:rFonts w:ascii="Arial" w:cs="Arial" w:eastAsia="Arial" w:hAnsi="Arial"/>
                <w:sz w:val="14"/>
                <w:szCs w:val="14"/>
                <w:color w:val="auto"/>
                <w:w w:val="85"/>
              </w:rPr>
              <w:t>due and accruing</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3"/>
              </w:rPr>
              <w:t>Purchased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87"/>
              </w:rPr>
              <w:t>Days</w:t>
            </w:r>
          </w:p>
        </w:tc>
        <w:tc>
          <w:tcPr>
            <w:tcW w:w="200" w:type="dxa"/>
            <w:vAlign w:val="bottom"/>
          </w:tcPr>
          <w:p>
            <w:pPr>
              <w:spacing w:after="0"/>
              <w:rPr>
                <w:sz w:val="11"/>
                <w:szCs w:val="11"/>
                <w:color w:val="auto"/>
              </w:rPr>
            </w:pPr>
          </w:p>
        </w:tc>
        <w:tc>
          <w:tcPr>
            <w:tcW w:w="740" w:type="dxa"/>
            <w:vAlign w:val="bottom"/>
            <w:tcBorders>
              <w:top w:val="single" w:sz="8" w:color="auto"/>
            </w:tcBorders>
            <w:gridSpan w:val="2"/>
          </w:tcPr>
          <w:p>
            <w:pPr>
              <w:ind w:left="180"/>
              <w:spacing w:after="0" w:line="131" w:lineRule="exact"/>
              <w:rPr>
                <w:sz w:val="20"/>
                <w:szCs w:val="20"/>
                <w:color w:val="auto"/>
              </w:rPr>
            </w:pPr>
            <w:r>
              <w:rPr>
                <w:rFonts w:ascii="Arial" w:cs="Arial" w:eastAsia="Arial" w:hAnsi="Arial"/>
                <w:sz w:val="14"/>
                <w:szCs w:val="14"/>
                <w:color w:val="auto"/>
              </w:rPr>
              <w:t>Non-</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0"/>
              </w:rPr>
              <w:t>Acquired</w:t>
            </w:r>
          </w:p>
        </w:tc>
        <w:tc>
          <w:tcPr>
            <w:tcW w:w="20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89"/>
              </w:rPr>
              <w:t>impaired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Current</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1"/>
              </w:rPr>
              <w:t>past due</w:t>
            </w:r>
          </w:p>
        </w:tc>
        <w:tc>
          <w:tcPr>
            <w:tcW w:w="20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acquired</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(a)</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93"/>
              </w:rPr>
              <w:t>(b)</w:t>
            </w:r>
          </w:p>
        </w:tc>
        <w:tc>
          <w:tcPr>
            <w:tcW w:w="200" w:type="dxa"/>
            <w:vAlign w:val="bottom"/>
          </w:tcPr>
          <w:p>
            <w:pPr>
              <w:spacing w:after="0"/>
              <w:rPr>
                <w:sz w:val="13"/>
                <w:szCs w:val="13"/>
                <w:color w:val="auto"/>
              </w:rPr>
            </w:pPr>
          </w:p>
        </w:tc>
        <w:tc>
          <w:tcPr>
            <w:tcW w:w="760" w:type="dxa"/>
            <w:vAlign w:val="bottom"/>
          </w:tcPr>
          <w:p>
            <w:pPr>
              <w:jc w:val="right"/>
              <w:ind w:right="12"/>
              <w:spacing w:after="0" w:line="159" w:lineRule="exact"/>
              <w:rPr>
                <w:sz w:val="20"/>
                <w:szCs w:val="20"/>
                <w:color w:val="auto"/>
              </w:rPr>
            </w:pPr>
            <w:r>
              <w:rPr>
                <w:rFonts w:ascii="Arial" w:cs="Arial" w:eastAsia="Arial" w:hAnsi="Arial"/>
                <w:sz w:val="14"/>
                <w:szCs w:val="14"/>
                <w:color w:val="auto"/>
                <w:w w:val="93"/>
              </w:rPr>
              <w:t>Nonaccrual</w:t>
            </w:r>
          </w:p>
        </w:tc>
        <w:tc>
          <w:tcPr>
            <w:tcW w:w="200" w:type="dxa"/>
            <w:vAlign w:val="bottom"/>
          </w:tcPr>
          <w:p>
            <w:pPr>
              <w:spacing w:after="0"/>
              <w:rPr>
                <w:sz w:val="13"/>
                <w:szCs w:val="13"/>
                <w:color w:val="auto"/>
              </w:rPr>
            </w:pPr>
          </w:p>
        </w:tc>
        <w:tc>
          <w:tcPr>
            <w:tcW w:w="98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1"/>
              </w:rPr>
              <w:t>$ 17,511,052</w:t>
            </w:r>
          </w:p>
        </w:tc>
        <w:tc>
          <w:tcPr>
            <w:tcW w:w="640" w:type="dxa"/>
            <w:vAlign w:val="bottom"/>
          </w:tcPr>
          <w:p>
            <w:pPr>
              <w:jc w:val="right"/>
              <w:spacing w:after="0"/>
              <w:rPr>
                <w:sz w:val="20"/>
                <w:szCs w:val="20"/>
                <w:color w:val="auto"/>
              </w:rPr>
            </w:pPr>
            <w:r>
              <w:rPr>
                <w:rFonts w:ascii="Arial" w:cs="Arial" w:eastAsia="Arial" w:hAnsi="Arial"/>
                <w:sz w:val="18"/>
                <w:szCs w:val="18"/>
                <w:color w:val="auto"/>
              </w:rPr>
              <w:t>62,479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23,490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10,587</w:t>
            </w:r>
          </w:p>
        </w:tc>
        <w:tc>
          <w:tcPr>
            <w:tcW w:w="640" w:type="dxa"/>
            <w:vAlign w:val="bottom"/>
          </w:tcPr>
          <w:p>
            <w:pPr>
              <w:jc w:val="right"/>
              <w:spacing w:after="0"/>
              <w:rPr>
                <w:sz w:val="20"/>
                <w:szCs w:val="20"/>
                <w:color w:val="auto"/>
              </w:rPr>
            </w:pPr>
            <w:r>
              <w:rPr>
                <w:rFonts w:ascii="Arial" w:cs="Arial" w:eastAsia="Arial" w:hAnsi="Arial"/>
                <w:sz w:val="18"/>
                <w:szCs w:val="18"/>
                <w:color w:val="auto"/>
              </w:rPr>
              <w:t>17,437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151,908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$17,776,953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21,759,997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118,249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13,111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54,995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132,962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193,859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22,273,173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757,311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23,909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187,764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2,379,953</w:t>
            </w:r>
          </w:p>
        </w:tc>
        <w:tc>
          <w:tcPr>
            <w:tcW w:w="640" w:type="dxa"/>
            <w:vAlign w:val="bottom"/>
          </w:tcPr>
          <w:p>
            <w:pPr>
              <w:jc w:val="right"/>
              <w:spacing w:after="0"/>
              <w:rPr>
                <w:sz w:val="20"/>
                <w:szCs w:val="20"/>
                <w:color w:val="auto"/>
              </w:rPr>
            </w:pPr>
            <w:r>
              <w:rPr>
                <w:rFonts w:ascii="Arial" w:cs="Arial" w:eastAsia="Arial" w:hAnsi="Arial"/>
                <w:sz w:val="18"/>
                <w:szCs w:val="18"/>
                <w:color w:val="auto"/>
              </w:rPr>
              <w:t>35,274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509</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9,572</w:t>
            </w:r>
          </w:p>
        </w:tc>
        <w:tc>
          <w:tcPr>
            <w:tcW w:w="640" w:type="dxa"/>
            <w:vAlign w:val="bottom"/>
          </w:tcPr>
          <w:p>
            <w:pPr>
              <w:jc w:val="right"/>
              <w:spacing w:after="0"/>
              <w:rPr>
                <w:sz w:val="20"/>
                <w:szCs w:val="20"/>
                <w:color w:val="auto"/>
              </w:rPr>
            </w:pPr>
            <w:r>
              <w:rPr>
                <w:rFonts w:ascii="Arial" w:cs="Arial" w:eastAsia="Arial" w:hAnsi="Arial"/>
                <w:sz w:val="18"/>
                <w:szCs w:val="18"/>
                <w:color w:val="auto"/>
              </w:rPr>
              <w:t>68,971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36,812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2,531,091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9,811,956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337,969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313,184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45,124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249,314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10,794,316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331,021</w:t>
            </w:r>
          </w:p>
        </w:tc>
        <w:tc>
          <w:tcPr>
            <w:tcW w:w="640" w:type="dxa"/>
            <w:vAlign w:val="bottom"/>
          </w:tcPr>
          <w:p>
            <w:pPr>
              <w:jc w:val="right"/>
              <w:spacing w:after="0"/>
              <w:rPr>
                <w:sz w:val="20"/>
                <w:szCs w:val="20"/>
                <w:color w:val="auto"/>
              </w:rPr>
            </w:pPr>
            <w:r>
              <w:rPr>
                <w:rFonts w:ascii="Arial" w:cs="Arial" w:eastAsia="Arial" w:hAnsi="Arial"/>
                <w:sz w:val="18"/>
                <w:szCs w:val="18"/>
                <w:color w:val="auto"/>
              </w:rPr>
              <w:t>19,692</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95,808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446,521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6,199,591</w:t>
            </w:r>
          </w:p>
        </w:tc>
        <w:tc>
          <w:tcPr>
            <w:tcW w:w="640" w:type="dxa"/>
            <w:vAlign w:val="bottom"/>
          </w:tcPr>
          <w:p>
            <w:pPr>
              <w:jc w:val="right"/>
              <w:spacing w:after="0"/>
              <w:rPr>
                <w:sz w:val="20"/>
                <w:szCs w:val="20"/>
                <w:color w:val="auto"/>
              </w:rPr>
            </w:pPr>
            <w:r>
              <w:rPr>
                <w:rFonts w:ascii="Arial" w:cs="Arial" w:eastAsia="Arial" w:hAnsi="Arial"/>
                <w:sz w:val="18"/>
                <w:szCs w:val="18"/>
                <w:color w:val="auto"/>
              </w:rPr>
              <w:t>40,759</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20,318</w:t>
            </w:r>
          </w:p>
        </w:tc>
        <w:tc>
          <w:tcPr>
            <w:tcW w:w="640" w:type="dxa"/>
            <w:vAlign w:val="bottom"/>
          </w:tcPr>
          <w:p>
            <w:pPr>
              <w:jc w:val="right"/>
              <w:spacing w:after="0"/>
              <w:rPr>
                <w:sz w:val="20"/>
                <w:szCs w:val="20"/>
                <w:color w:val="auto"/>
              </w:rPr>
            </w:pPr>
            <w:r>
              <w:rPr>
                <w:rFonts w:ascii="Arial" w:cs="Arial" w:eastAsia="Arial" w:hAnsi="Arial"/>
                <w:sz w:val="18"/>
                <w:szCs w:val="18"/>
                <w:color w:val="auto"/>
              </w:rPr>
              <w:t>3,211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58,071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6,321,950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2,442,502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2,661,432</w:t>
            </w:r>
          </w:p>
        </w:tc>
        <w:tc>
          <w:tcPr>
            <w:tcW w:w="640" w:type="dxa"/>
            <w:vAlign w:val="bottom"/>
          </w:tcPr>
          <w:p>
            <w:pPr>
              <w:jc w:val="right"/>
              <w:spacing w:after="0"/>
              <w:rPr>
                <w:sz w:val="20"/>
                <w:szCs w:val="20"/>
                <w:color w:val="auto"/>
              </w:rPr>
            </w:pPr>
            <w:r>
              <w:rPr>
                <w:rFonts w:ascii="Arial" w:cs="Arial" w:eastAsia="Arial" w:hAnsi="Arial"/>
                <w:sz w:val="18"/>
                <w:szCs w:val="18"/>
                <w:color w:val="auto"/>
              </w:rPr>
              <w:t>40,599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4,845</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1,798</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20,432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2,729,106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63,854,815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730,901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358,397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166,554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447,114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1,013,176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66,570,957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165"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One-to-four family residential mortgage loans originated for sale were $809 million and $1.2 billion at June 30, 2013 and December 31, 2012, respectively. Additionally, approximately $1.0 billion of one-to-four family residential mortgage loans in the Company’s loan portfolio at June 30, 2013 are anticipated to be securitized with Ginnie Mae in the third quarter of 2013 with the Company retaining the substantial majority of such securities. Commercial mortgage loans held for sale were $133 million at June 30, 2013 and $200 million at December 31, 2012. In the third quarter of 2013, the Company anticipates securitizing up to approximately $1.5 billion of consumer loans through securitization transactions.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Changes in the allowance for credit losses for the three months ended June 30, 2013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Commercial,</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2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0"/>
              </w:rPr>
              <w:t>Financial,</w:t>
            </w:r>
          </w:p>
        </w:tc>
        <w:tc>
          <w:tcPr>
            <w:tcW w:w="1900" w:type="dxa"/>
            <w:vAlign w:val="bottom"/>
            <w:gridSpan w:val="4"/>
          </w:tcPr>
          <w:p>
            <w:pPr>
              <w:jc w:val="right"/>
              <w:ind w:right="800"/>
              <w:spacing w:after="0" w:line="159" w:lineRule="exact"/>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w w:val="88"/>
              </w:rPr>
              <w:t>Leasing, etc.</w:t>
            </w:r>
          </w:p>
        </w:tc>
        <w:tc>
          <w:tcPr>
            <w:tcW w:w="9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w w:val="85"/>
              </w:rPr>
              <w:t>Commercial</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Residential</w:t>
            </w:r>
          </w:p>
        </w:tc>
        <w:tc>
          <w:tcPr>
            <w:tcW w:w="320" w:type="dxa"/>
            <w:vAlign w:val="bottom"/>
          </w:tcPr>
          <w:p>
            <w:pPr>
              <w:spacing w:after="0"/>
              <w:rPr>
                <w:sz w:val="12"/>
                <w:szCs w:val="12"/>
                <w:color w:val="auto"/>
              </w:rPr>
            </w:pPr>
          </w:p>
        </w:tc>
        <w:tc>
          <w:tcPr>
            <w:tcW w:w="9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89"/>
              </w:rPr>
              <w:t>Consumer</w:t>
            </w: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w w:val="86"/>
              </w:rPr>
              <w:t>Unallocated</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$ 257,851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328,016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176,793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$ 927,117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55,647</w:t>
            </w: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(10,913)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(1,438)</w:t>
            </w:r>
          </w:p>
        </w:tc>
        <w:tc>
          <w:tcPr>
            <w:tcW w:w="640" w:type="dxa"/>
            <w:vAlign w:val="bottom"/>
          </w:tcPr>
          <w:p>
            <w:pPr>
              <w:jc w:val="right"/>
              <w:spacing w:after="0"/>
              <w:rPr>
                <w:sz w:val="20"/>
                <w:szCs w:val="20"/>
                <w:color w:val="auto"/>
              </w:rPr>
            </w:pPr>
            <w:r>
              <w:rPr>
                <w:rFonts w:ascii="Arial" w:cs="Arial" w:eastAsia="Arial" w:hAnsi="Arial"/>
                <w:sz w:val="18"/>
                <w:szCs w:val="18"/>
                <w:color w:val="auto"/>
              </w:rPr>
              <w:t>13,707</w:t>
            </w:r>
          </w:p>
        </w:tc>
        <w:tc>
          <w:tcPr>
            <w:tcW w:w="3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3120" w:type="dxa"/>
            <w:vAlign w:val="bottom"/>
            <w:gridSpan w:val="3"/>
          </w:tcPr>
          <w:p>
            <w:pPr>
              <w:jc w:val="right"/>
              <w:ind w:right="260"/>
              <w:spacing w:after="0"/>
              <w:rPr>
                <w:sz w:val="20"/>
                <w:szCs w:val="20"/>
                <w:color w:val="auto"/>
              </w:rPr>
            </w:pPr>
            <w:r>
              <w:rPr>
                <w:rFonts w:ascii="Arial" w:cs="Arial" w:eastAsia="Arial" w:hAnsi="Arial"/>
                <w:sz w:val="18"/>
                <w:szCs w:val="18"/>
                <w:color w:val="auto"/>
              </w:rPr>
              <w:t>(46,312)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(4,204)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(5,092)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(21,018)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(76,626)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2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19,574</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2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2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(44,631)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7,161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(3,373)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(16,209)</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(57,052)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$ 268,867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324,264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174,291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74,332</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927,065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0" w:type="dxa"/>
            <w:vAlign w:val="bottom"/>
            <w:gridSpan w:val="2"/>
          </w:tcPr>
          <w:p>
            <w:pPr>
              <w:jc w:val="right"/>
              <w:ind w:right="562"/>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Changes in the allowance for credit losses for the three months ended June 30, 2012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Commercial,</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90"/>
              </w:rPr>
              <w:t>Financial,</w:t>
            </w:r>
          </w:p>
        </w:tc>
        <w:tc>
          <w:tcPr>
            <w:tcW w:w="1920" w:type="dxa"/>
            <w:vAlign w:val="bottom"/>
            <w:gridSpan w:val="5"/>
          </w:tcPr>
          <w:p>
            <w:pPr>
              <w:jc w:val="right"/>
              <w:ind w:right="800"/>
              <w:spacing w:after="0" w:line="159" w:lineRule="exact"/>
              <w:rPr>
                <w:sz w:val="20"/>
                <w:szCs w:val="20"/>
                <w:color w:val="auto"/>
              </w:rPr>
            </w:pPr>
            <w:r>
              <w:rPr>
                <w:rFonts w:ascii="Arial" w:cs="Arial" w:eastAsia="Arial" w:hAnsi="Arial"/>
                <w:sz w:val="14"/>
                <w:szCs w:val="14"/>
                <w:color w:val="auto"/>
              </w:rPr>
              <w:t>Real Estate</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w w:val="85"/>
              </w:rPr>
              <w:t>Leasing, etc.</w:t>
            </w:r>
          </w:p>
        </w:tc>
        <w:tc>
          <w:tcPr>
            <w:tcW w:w="8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w w:val="88"/>
              </w:rPr>
              <w:t>Commercial</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w w:val="86"/>
              </w:rPr>
              <w:t>Consumer</w:t>
            </w:r>
          </w:p>
        </w:tc>
        <w:tc>
          <w:tcPr>
            <w:tcW w:w="8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86"/>
              </w:rPr>
              <w:t>Unallocated</w:t>
            </w:r>
          </w:p>
        </w:tc>
        <w:tc>
          <w:tcPr>
            <w:tcW w:w="16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$ 239,273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356,554</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97,301</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142,912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72,966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00" w:type="dxa"/>
            <w:vAlign w:val="bottom"/>
            <w:gridSpan w:val="3"/>
          </w:tcPr>
          <w:p>
            <w:pPr>
              <w:jc w:val="right"/>
              <w:ind w:right="300"/>
              <w:spacing w:after="0"/>
              <w:rPr>
                <w:sz w:val="20"/>
                <w:szCs w:val="20"/>
                <w:color w:val="auto"/>
              </w:rPr>
            </w:pPr>
            <w:r>
              <w:rPr>
                <w:rFonts w:ascii="Arial" w:cs="Arial" w:eastAsia="Arial" w:hAnsi="Arial"/>
                <w:sz w:val="18"/>
                <w:szCs w:val="18"/>
                <w:color w:val="auto"/>
              </w:rPr>
              <w:t>19,103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(3,309)</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5,587</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38,427</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192</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3000" w:type="dxa"/>
            <w:vAlign w:val="bottom"/>
            <w:gridSpan w:val="3"/>
          </w:tcPr>
          <w:p>
            <w:pPr>
              <w:jc w:val="right"/>
              <w:ind w:right="240"/>
              <w:spacing w:after="0"/>
              <w:rPr>
                <w:sz w:val="20"/>
                <w:szCs w:val="20"/>
                <w:color w:val="auto"/>
              </w:rPr>
            </w:pPr>
            <w:r>
              <w:rPr>
                <w:rFonts w:ascii="Arial" w:cs="Arial" w:eastAsia="Arial" w:hAnsi="Arial"/>
                <w:sz w:val="18"/>
                <w:szCs w:val="18"/>
                <w:color w:val="auto"/>
              </w:rPr>
              <w:t>(16,078)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(13,056)</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(11,407)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(23,621)</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2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6,634</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12,184</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2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20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(13,648)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(11,724)</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(9,619)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(16,987)</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(51,978)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$ 244,728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341,521</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93,269</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164,352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73,158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917,028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Changes in the allowance for credit losses for the six months ended June 30, 2013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Commercial,</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6"/>
              </w:rPr>
              <w:t>Financial,</w:t>
            </w:r>
          </w:p>
        </w:tc>
        <w:tc>
          <w:tcPr>
            <w:tcW w:w="1900" w:type="dxa"/>
            <w:vAlign w:val="bottom"/>
            <w:gridSpan w:val="5"/>
          </w:tcPr>
          <w:p>
            <w:pPr>
              <w:jc w:val="right"/>
              <w:ind w:right="800"/>
              <w:spacing w:after="0" w:line="159" w:lineRule="exact"/>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5"/>
              </w:rPr>
              <w:t>Leasing, etc.</w:t>
            </w:r>
          </w:p>
        </w:tc>
        <w:tc>
          <w:tcPr>
            <w:tcW w:w="8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w w:val="88"/>
              </w:rPr>
              <w:t>Commercial</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2"/>
                <w:szCs w:val="12"/>
                <w:color w:val="auto"/>
              </w:rPr>
            </w:pPr>
          </w:p>
        </w:tc>
        <w:tc>
          <w:tcPr>
            <w:tcW w:w="9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89"/>
              </w:rPr>
              <w:t>Consumer</w:t>
            </w: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w w:val="86"/>
              </w:rPr>
              <w:t>Unallocated</w:t>
            </w:r>
          </w:p>
        </w:tc>
        <w:tc>
          <w:tcPr>
            <w:tcW w:w="140" w:type="dxa"/>
            <w:vAlign w:val="bottom"/>
          </w:tcPr>
          <w:p>
            <w:pPr>
              <w:spacing w:after="0"/>
              <w:rPr>
                <w:sz w:val="12"/>
                <w:szCs w:val="12"/>
                <w:color w:val="auto"/>
              </w:rPr>
            </w:pP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68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$ 246,759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337,101</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88,807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179,418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73,775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960" w:type="dxa"/>
            <w:vAlign w:val="bottom"/>
            <w:gridSpan w:val="3"/>
          </w:tcPr>
          <w:p>
            <w:pPr>
              <w:jc w:val="right"/>
              <w:ind w:right="280"/>
              <w:spacing w:after="0"/>
              <w:rPr>
                <w:sz w:val="20"/>
                <w:szCs w:val="20"/>
                <w:color w:val="auto"/>
              </w:rPr>
            </w:pPr>
            <w:r>
              <w:rPr>
                <w:rFonts w:ascii="Arial" w:cs="Arial" w:eastAsia="Arial" w:hAnsi="Arial"/>
                <w:sz w:val="18"/>
                <w:szCs w:val="18"/>
                <w:color w:val="auto"/>
              </w:rPr>
              <w:t>73,527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(11,225)</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3,598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28,543</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557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2960" w:type="dxa"/>
            <w:vAlign w:val="bottom"/>
            <w:gridSpan w:val="3"/>
          </w:tcPr>
          <w:p>
            <w:pPr>
              <w:jc w:val="right"/>
              <w:ind w:right="240"/>
              <w:spacing w:after="0"/>
              <w:rPr>
                <w:sz w:val="20"/>
                <w:szCs w:val="20"/>
                <w:color w:val="auto"/>
              </w:rPr>
            </w:pPr>
            <w:r>
              <w:rPr>
                <w:rFonts w:ascii="Arial" w:cs="Arial" w:eastAsia="Arial" w:hAnsi="Arial"/>
                <w:sz w:val="18"/>
                <w:szCs w:val="18"/>
                <w:color w:val="auto"/>
              </w:rPr>
              <w:t>(55,856)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(13,792)</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(13,263)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(42,663)</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19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12,180</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6,169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8,993</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31,779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1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(51,419)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(1,612)</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(7,094)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(33,670)</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(93,795)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9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$ 268,867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324,264</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85,311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174,291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74,332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$ 927,065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Changes in the allowance for credit losses for the six months ended June 30, 2012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Commercial,</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6"/>
              </w:rPr>
              <w:t>Financial,</w:t>
            </w:r>
          </w:p>
        </w:tc>
        <w:tc>
          <w:tcPr>
            <w:tcW w:w="1900" w:type="dxa"/>
            <w:vAlign w:val="bottom"/>
            <w:gridSpan w:val="5"/>
          </w:tcPr>
          <w:p>
            <w:pPr>
              <w:jc w:val="right"/>
              <w:ind w:right="800"/>
              <w:spacing w:after="0" w:line="159" w:lineRule="exact"/>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5"/>
              </w:rPr>
              <w:t>Leasing, etc.</w:t>
            </w:r>
          </w:p>
        </w:tc>
        <w:tc>
          <w:tcPr>
            <w:tcW w:w="8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w w:val="88"/>
              </w:rPr>
              <w:t>Commercial</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Residential</w:t>
            </w:r>
          </w:p>
        </w:tc>
        <w:tc>
          <w:tcPr>
            <w:tcW w:w="320" w:type="dxa"/>
            <w:vAlign w:val="bottom"/>
          </w:tcPr>
          <w:p>
            <w:pPr>
              <w:spacing w:after="0"/>
              <w:rPr>
                <w:sz w:val="12"/>
                <w:szCs w:val="12"/>
                <w:color w:val="auto"/>
              </w:rPr>
            </w:pPr>
          </w:p>
        </w:tc>
        <w:tc>
          <w:tcPr>
            <w:tcW w:w="9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89"/>
              </w:rPr>
              <w:t>Consumer</w:t>
            </w: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w w:val="86"/>
              </w:rPr>
              <w:t>Unallocated</w:t>
            </w:r>
          </w:p>
        </w:tc>
        <w:tc>
          <w:tcPr>
            <w:tcW w:w="140" w:type="dxa"/>
            <w:vAlign w:val="bottom"/>
          </w:tcPr>
          <w:p>
            <w:pPr>
              <w:spacing w:after="0"/>
              <w:rPr>
                <w:sz w:val="12"/>
                <w:szCs w:val="12"/>
                <w:color w:val="auto"/>
              </w:rPr>
            </w:pP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68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$ 234,022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367,637</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91,915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143,121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71,595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960" w:type="dxa"/>
            <w:vAlign w:val="bottom"/>
            <w:gridSpan w:val="3"/>
          </w:tcPr>
          <w:p>
            <w:pPr>
              <w:jc w:val="right"/>
              <w:ind w:right="280"/>
              <w:spacing w:after="0"/>
              <w:rPr>
                <w:sz w:val="20"/>
                <w:szCs w:val="20"/>
                <w:color w:val="auto"/>
              </w:rPr>
            </w:pPr>
            <w:r>
              <w:rPr>
                <w:rFonts w:ascii="Arial" w:cs="Arial" w:eastAsia="Arial" w:hAnsi="Arial"/>
                <w:sz w:val="18"/>
                <w:szCs w:val="18"/>
                <w:color w:val="auto"/>
              </w:rPr>
              <w:t>29,224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(5,569)</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21,817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61,965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1,563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2960" w:type="dxa"/>
            <w:vAlign w:val="bottom"/>
            <w:gridSpan w:val="3"/>
          </w:tcPr>
          <w:p>
            <w:pPr>
              <w:jc w:val="right"/>
              <w:ind w:right="240"/>
              <w:spacing w:after="0"/>
              <w:rPr>
                <w:sz w:val="20"/>
                <w:szCs w:val="20"/>
                <w:color w:val="auto"/>
              </w:rPr>
            </w:pPr>
            <w:r>
              <w:rPr>
                <w:rFonts w:ascii="Arial" w:cs="Arial" w:eastAsia="Arial" w:hAnsi="Arial"/>
                <w:sz w:val="18"/>
                <w:szCs w:val="18"/>
                <w:color w:val="auto"/>
              </w:rPr>
              <w:t>(24,115)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(23,596)</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(24,125)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(52,602)</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19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3,662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11,868</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24,176</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1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(18,518)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(20,547)</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(20,463)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(40,734)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9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$ 244,728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341,521</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93,269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164,352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73,158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$ 917,028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540" w:right="620"/>
        <w:spacing w:after="0" w:line="440" w:lineRule="auto"/>
        <w:rPr>
          <w:sz w:val="20"/>
          <w:szCs w:val="20"/>
          <w:color w:val="auto"/>
        </w:rPr>
      </w:pPr>
      <w:r>
        <w:rPr>
          <w:rFonts w:ascii="Arial" w:cs="Arial" w:eastAsia="Arial" w:hAnsi="Arial"/>
          <w:sz w:val="18"/>
          <w:szCs w:val="18"/>
          <w:color w:val="auto"/>
        </w:rPr>
        <w:t>Despite the above allocation, the allowance for credit losses is general in nature and is available to absorb losses from any loan or lease type. -17-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mortgage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or more.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June 30, 2013 and December 31, 2012 and for the three months and six months ended June 30, 2013 and June 30,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w w:val="96"/>
              </w:rPr>
              <w:t>June 30, 2013</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w w:val="94"/>
              </w:rPr>
              <w:t>December 31, 2012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Arial" w:cs="Arial" w:eastAsia="Arial" w:hAnsi="Arial"/>
                <w:sz w:val="14"/>
                <w:szCs w:val="14"/>
                <w:color w:val="auto"/>
                <w:w w:val="90"/>
              </w:rPr>
              <w:t>Unpaid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ind w:left="180"/>
              <w:spacing w:after="0" w:line="131" w:lineRule="exact"/>
              <w:rPr>
                <w:sz w:val="20"/>
                <w:szCs w:val="20"/>
                <w:color w:val="auto"/>
              </w:rPr>
            </w:pPr>
            <w:r>
              <w:rPr>
                <w:rFonts w:ascii="Arial" w:cs="Arial" w:eastAsia="Arial" w:hAnsi="Arial"/>
                <w:sz w:val="14"/>
                <w:szCs w:val="14"/>
                <w:color w:val="auto"/>
              </w:rPr>
              <w:t>Unpaid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54"/>
              <w:spacing w:after="0" w:line="149" w:lineRule="exact"/>
              <w:rPr>
                <w:sz w:val="20"/>
                <w:szCs w:val="20"/>
                <w:color w:val="auto"/>
              </w:rPr>
            </w:pPr>
            <w:r>
              <w:rPr>
                <w:rFonts w:ascii="Arial" w:cs="Arial" w:eastAsia="Arial" w:hAnsi="Arial"/>
                <w:sz w:val="14"/>
                <w:szCs w:val="14"/>
                <w:color w:val="auto"/>
                <w:w w:val="88"/>
              </w:rPr>
              <w:t>Recorded</w:t>
            </w: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principal</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Related</w:t>
            </w: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Recorded</w:t>
            </w:r>
          </w:p>
        </w:tc>
        <w:tc>
          <w:tcPr>
            <w:tcW w:w="2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principal</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4"/>
              <w:spacing w:after="0" w:line="159" w:lineRule="exact"/>
              <w:rPr>
                <w:sz w:val="20"/>
                <w:szCs w:val="20"/>
                <w:color w:val="auto"/>
              </w:rPr>
            </w:pPr>
            <w:r>
              <w:rPr>
                <w:rFonts w:ascii="Arial" w:cs="Arial" w:eastAsia="Arial" w:hAnsi="Arial"/>
                <w:sz w:val="14"/>
                <w:szCs w:val="14"/>
                <w:color w:val="auto"/>
                <w:w w:val="85"/>
              </w:rPr>
              <w:t>investment</w:t>
            </w:r>
          </w:p>
        </w:tc>
        <w:tc>
          <w:tcPr>
            <w:tcW w:w="220" w:type="dxa"/>
            <w:vAlign w:val="bottom"/>
          </w:tcPr>
          <w:p>
            <w:pPr>
              <w:spacing w:after="0"/>
              <w:rPr>
                <w:sz w:val="13"/>
                <w:szCs w:val="13"/>
                <w:color w:val="auto"/>
              </w:rPr>
            </w:pPr>
          </w:p>
        </w:tc>
        <w:tc>
          <w:tcPr>
            <w:tcW w:w="9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balance</w:t>
            </w:r>
          </w:p>
        </w:tc>
        <w:tc>
          <w:tcPr>
            <w:tcW w:w="8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94"/>
              </w:rPr>
              <w:t>investment</w:t>
            </w:r>
          </w:p>
        </w:tc>
        <w:tc>
          <w:tcPr>
            <w:tcW w:w="220" w:type="dxa"/>
            <w:vAlign w:val="bottom"/>
          </w:tcPr>
          <w:p>
            <w:pPr>
              <w:spacing w:after="0"/>
              <w:rPr>
                <w:sz w:val="13"/>
                <w:szCs w:val="13"/>
                <w:color w:val="auto"/>
              </w:rPr>
            </w:pPr>
          </w:p>
        </w:tc>
        <w:tc>
          <w:tcPr>
            <w:tcW w:w="9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balance</w:t>
            </w:r>
          </w:p>
        </w:tc>
        <w:tc>
          <w:tcPr>
            <w:tcW w:w="7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125,204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170,473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36,451</w:t>
            </w:r>
          </w:p>
        </w:tc>
        <w:tc>
          <w:tcPr>
            <w:tcW w:w="740" w:type="dxa"/>
            <w:vAlign w:val="bottom"/>
          </w:tcPr>
          <w:p>
            <w:pPr>
              <w:jc w:val="right"/>
              <w:spacing w:after="0"/>
              <w:rPr>
                <w:sz w:val="20"/>
                <w:szCs w:val="20"/>
                <w:color w:val="auto"/>
              </w:rPr>
            </w:pPr>
            <w:r>
              <w:rPr>
                <w:rFonts w:ascii="Arial" w:cs="Arial" w:eastAsia="Arial" w:hAnsi="Arial"/>
                <w:sz w:val="18"/>
                <w:szCs w:val="18"/>
                <w:color w:val="auto"/>
              </w:rPr>
              <w:t>127,282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149,534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120,882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145,010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20,373</w:t>
            </w:r>
          </w:p>
        </w:tc>
        <w:tc>
          <w:tcPr>
            <w:tcW w:w="740" w:type="dxa"/>
            <w:vAlign w:val="bottom"/>
          </w:tcPr>
          <w:p>
            <w:pPr>
              <w:jc w:val="right"/>
              <w:spacing w:after="0"/>
              <w:rPr>
                <w:sz w:val="20"/>
                <w:szCs w:val="20"/>
                <w:color w:val="auto"/>
              </w:rPr>
            </w:pPr>
            <w:r>
              <w:rPr>
                <w:rFonts w:ascii="Arial" w:cs="Arial" w:eastAsia="Arial" w:hAnsi="Arial"/>
                <w:sz w:val="18"/>
                <w:szCs w:val="18"/>
                <w:color w:val="auto"/>
              </w:rPr>
              <w:t>121,542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143,846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110,390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216,218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75,076</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78,138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3,085</w:t>
            </w:r>
          </w:p>
        </w:tc>
        <w:tc>
          <w:tcPr>
            <w:tcW w:w="740" w:type="dxa"/>
            <w:vAlign w:val="bottom"/>
          </w:tcPr>
          <w:p>
            <w:pPr>
              <w:jc w:val="right"/>
              <w:spacing w:after="0"/>
              <w:rPr>
                <w:sz w:val="20"/>
                <w:szCs w:val="20"/>
                <w:color w:val="auto"/>
              </w:rPr>
            </w:pPr>
            <w:r>
              <w:rPr>
                <w:rFonts w:ascii="Arial" w:cs="Arial" w:eastAsia="Arial" w:hAnsi="Arial"/>
                <w:sz w:val="18"/>
                <w:szCs w:val="18"/>
                <w:color w:val="auto"/>
              </w:rPr>
              <w:t>73,544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76,869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122,430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121,819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119,247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132,105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16,000</w:t>
            </w:r>
          </w:p>
        </w:tc>
        <w:tc>
          <w:tcPr>
            <w:tcW w:w="740" w:type="dxa"/>
            <w:vAlign w:val="bottom"/>
          </w:tcPr>
          <w:p>
            <w:pPr>
              <w:jc w:val="right"/>
              <w:spacing w:after="0"/>
              <w:rPr>
                <w:sz w:val="20"/>
                <w:szCs w:val="20"/>
                <w:color w:val="auto"/>
              </w:rPr>
            </w:pPr>
            <w:r>
              <w:rPr>
                <w:rFonts w:ascii="Arial" w:cs="Arial" w:eastAsia="Arial" w:hAnsi="Arial"/>
                <w:sz w:val="18"/>
                <w:szCs w:val="18"/>
                <w:color w:val="auto"/>
              </w:rPr>
              <w:t>128,891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141,940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13,708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2,387</w:t>
            </w:r>
          </w:p>
        </w:tc>
        <w:tc>
          <w:tcPr>
            <w:tcW w:w="740" w:type="dxa"/>
            <w:vAlign w:val="bottom"/>
          </w:tcPr>
          <w:p>
            <w:pPr>
              <w:jc w:val="right"/>
              <w:spacing w:after="0"/>
              <w:rPr>
                <w:sz w:val="20"/>
                <w:szCs w:val="20"/>
                <w:color w:val="auto"/>
              </w:rPr>
            </w:pPr>
            <w:r>
              <w:rPr>
                <w:rFonts w:ascii="Arial" w:cs="Arial" w:eastAsia="Arial" w:hAnsi="Arial"/>
                <w:sz w:val="18"/>
                <w:szCs w:val="18"/>
                <w:color w:val="auto"/>
              </w:rPr>
              <w:t>12,360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43,702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15,698</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15,698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5,833</w:t>
            </w:r>
          </w:p>
        </w:tc>
        <w:tc>
          <w:tcPr>
            <w:tcW w:w="740" w:type="dxa"/>
            <w:vAlign w:val="bottom"/>
          </w:tcPr>
          <w:p>
            <w:pPr>
              <w:jc w:val="right"/>
              <w:spacing w:after="0"/>
              <w:rPr>
                <w:sz w:val="20"/>
                <w:szCs w:val="20"/>
                <w:color w:val="auto"/>
              </w:rPr>
            </w:pPr>
            <w:r>
              <w:rPr>
                <w:rFonts w:ascii="Arial" w:cs="Arial" w:eastAsia="Arial" w:hAnsi="Arial"/>
                <w:sz w:val="18"/>
                <w:szCs w:val="18"/>
                <w:color w:val="auto"/>
              </w:rPr>
              <w:t>14,408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14,408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684,476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831,654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112,175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745,994</w:t>
            </w:r>
          </w:p>
        </w:tc>
        <w:tc>
          <w:tcPr>
            <w:tcW w:w="1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927,411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financial, leasing, etc.</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38,026</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42,199</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105,406</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100,337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72,367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113,350</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74,307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105,438</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21,836</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81,832</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92,676</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86,342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96,448</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57,558</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58,768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316,550</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428,852</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326,032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426,722</w:t>
            </w:r>
          </w:p>
        </w:tc>
        <w:tc>
          <w:tcPr>
            <w:tcW w:w="220" w:type="dxa"/>
            <w:vAlign w:val="bottom"/>
          </w:tcPr>
          <w:p>
            <w:pPr>
              <w:spacing w:after="0"/>
              <w:rPr>
                <w:sz w:val="20"/>
                <w:szCs w:val="20"/>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152,190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208,499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36,451</w:t>
            </w:r>
          </w:p>
        </w:tc>
        <w:tc>
          <w:tcPr>
            <w:tcW w:w="740" w:type="dxa"/>
            <w:vAlign w:val="bottom"/>
          </w:tcPr>
          <w:p>
            <w:pPr>
              <w:jc w:val="right"/>
              <w:spacing w:after="0"/>
              <w:rPr>
                <w:sz w:val="20"/>
                <w:szCs w:val="20"/>
                <w:color w:val="auto"/>
              </w:rPr>
            </w:pPr>
            <w:r>
              <w:rPr>
                <w:rFonts w:ascii="Arial" w:cs="Arial" w:eastAsia="Arial" w:hAnsi="Arial"/>
                <w:sz w:val="18"/>
                <w:szCs w:val="18"/>
                <w:color w:val="auto"/>
              </w:rPr>
              <w:t>159,913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191,733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204,246</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250,416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20,373</w:t>
            </w:r>
          </w:p>
        </w:tc>
        <w:tc>
          <w:tcPr>
            <w:tcW w:w="740" w:type="dxa"/>
            <w:vAlign w:val="bottom"/>
          </w:tcPr>
          <w:p>
            <w:pPr>
              <w:jc w:val="right"/>
              <w:spacing w:after="0"/>
              <w:rPr>
                <w:sz w:val="20"/>
                <w:szCs w:val="20"/>
                <w:color w:val="auto"/>
              </w:rPr>
            </w:pPr>
            <w:r>
              <w:rPr>
                <w:rFonts w:ascii="Arial" w:cs="Arial" w:eastAsia="Arial" w:hAnsi="Arial"/>
                <w:sz w:val="18"/>
                <w:szCs w:val="18"/>
                <w:color w:val="auto"/>
              </w:rPr>
              <w:t>199,922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244,183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223,740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321,656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96,264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99,974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3,085</w:t>
            </w:r>
          </w:p>
        </w:tc>
        <w:tc>
          <w:tcPr>
            <w:tcW w:w="740" w:type="dxa"/>
            <w:vAlign w:val="bottom"/>
          </w:tcPr>
          <w:p>
            <w:pPr>
              <w:jc w:val="right"/>
              <w:spacing w:after="0"/>
              <w:rPr>
                <w:sz w:val="20"/>
                <w:szCs w:val="20"/>
                <w:color w:val="auto"/>
              </w:rPr>
            </w:pPr>
            <w:r>
              <w:rPr>
                <w:rFonts w:ascii="Arial" w:cs="Arial" w:eastAsia="Arial" w:hAnsi="Arial"/>
                <w:sz w:val="18"/>
                <w:szCs w:val="18"/>
                <w:color w:val="auto"/>
              </w:rPr>
              <w:t>96,562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100,401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215,106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218,267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150,060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189,663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16,000</w:t>
            </w:r>
          </w:p>
        </w:tc>
        <w:tc>
          <w:tcPr>
            <w:tcW w:w="740" w:type="dxa"/>
            <w:vAlign w:val="bottom"/>
          </w:tcPr>
          <w:p>
            <w:pPr>
              <w:jc w:val="right"/>
              <w:spacing w:after="0"/>
              <w:rPr>
                <w:sz w:val="20"/>
                <w:szCs w:val="20"/>
                <w:color w:val="auto"/>
              </w:rPr>
            </w:pPr>
            <w:r>
              <w:rPr>
                <w:rFonts w:ascii="Arial" w:cs="Arial" w:eastAsia="Arial" w:hAnsi="Arial"/>
                <w:sz w:val="18"/>
                <w:szCs w:val="18"/>
                <w:color w:val="auto"/>
              </w:rPr>
              <w:t>160,245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200,708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13,708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2,387</w:t>
            </w:r>
          </w:p>
        </w:tc>
        <w:tc>
          <w:tcPr>
            <w:tcW w:w="740" w:type="dxa"/>
            <w:vAlign w:val="bottom"/>
          </w:tcPr>
          <w:p>
            <w:pPr>
              <w:jc w:val="right"/>
              <w:spacing w:after="0"/>
              <w:rPr>
                <w:sz w:val="20"/>
                <w:szCs w:val="20"/>
                <w:color w:val="auto"/>
              </w:rPr>
            </w:pPr>
            <w:r>
              <w:rPr>
                <w:rFonts w:ascii="Arial" w:cs="Arial" w:eastAsia="Arial" w:hAnsi="Arial"/>
                <w:sz w:val="18"/>
                <w:szCs w:val="18"/>
                <w:color w:val="auto"/>
              </w:rPr>
              <w:t>12,360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13,567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43,702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15,698</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15,698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5,833</w:t>
            </w:r>
          </w:p>
        </w:tc>
        <w:tc>
          <w:tcPr>
            <w:tcW w:w="740" w:type="dxa"/>
            <w:vAlign w:val="bottom"/>
          </w:tcPr>
          <w:p>
            <w:pPr>
              <w:jc w:val="right"/>
              <w:spacing w:after="0"/>
              <w:rPr>
                <w:sz w:val="20"/>
                <w:szCs w:val="20"/>
                <w:color w:val="auto"/>
              </w:rPr>
            </w:pPr>
            <w:r>
              <w:rPr>
                <w:rFonts w:ascii="Arial" w:cs="Arial" w:eastAsia="Arial" w:hAnsi="Arial"/>
                <w:sz w:val="18"/>
                <w:szCs w:val="18"/>
                <w:color w:val="auto"/>
              </w:rPr>
              <w:t>14,408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14,408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1,001,026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1,260,506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112,175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1,072,026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1,354,133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0" w:type="dxa"/>
            <w:vAlign w:val="bottom"/>
            <w:vMerge w:val="restart"/>
          </w:tcPr>
          <w:p>
            <w:pPr>
              <w:jc w:val="right"/>
              <w:ind w:right="52"/>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left="379"/>
              <w:spacing w:after="0"/>
              <w:rPr>
                <w:sz w:val="20"/>
                <w:szCs w:val="20"/>
                <w:color w:val="auto"/>
              </w:rPr>
            </w:pPr>
            <w:r>
              <w:rPr>
                <w:rFonts w:ascii="Arial" w:cs="Arial" w:eastAsia="Arial" w:hAnsi="Arial"/>
                <w:sz w:val="14"/>
                <w:szCs w:val="14"/>
                <w:color w:val="auto"/>
                <w:w w:val="86"/>
              </w:rPr>
              <w:t>Three months ended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center"/>
              <w:ind w:left="479"/>
              <w:spacing w:after="0"/>
              <w:rPr>
                <w:sz w:val="20"/>
                <w:szCs w:val="20"/>
                <w:color w:val="auto"/>
              </w:rPr>
            </w:pPr>
            <w:r>
              <w:rPr>
                <w:rFonts w:ascii="Arial" w:cs="Arial" w:eastAsia="Arial" w:hAnsi="Arial"/>
                <w:sz w:val="14"/>
                <w:szCs w:val="14"/>
                <w:color w:val="auto"/>
                <w:w w:val="85"/>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center"/>
              <w:ind w:left="379"/>
              <w:spacing w:after="0" w:line="159" w:lineRule="exact"/>
              <w:rPr>
                <w:sz w:val="20"/>
                <w:szCs w:val="20"/>
                <w:color w:val="auto"/>
              </w:rPr>
            </w:pPr>
            <w:r>
              <w:rPr>
                <w:rFonts w:ascii="Arial" w:cs="Arial" w:eastAsia="Arial" w:hAnsi="Arial"/>
                <w:sz w:val="14"/>
                <w:szCs w:val="14"/>
                <w:color w:val="auto"/>
                <w:w w:val="85"/>
              </w:rPr>
              <w:t>June 30, 2013</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Borders>
              <w:bottom w:val="single" w:sz="8" w:color="auto"/>
            </w:tcBorders>
            <w:gridSpan w:val="4"/>
          </w:tcPr>
          <w:p>
            <w:pPr>
              <w:jc w:val="center"/>
              <w:ind w:left="459"/>
              <w:spacing w:after="0" w:line="159" w:lineRule="exact"/>
              <w:rPr>
                <w:sz w:val="20"/>
                <w:szCs w:val="20"/>
                <w:color w:val="auto"/>
              </w:rPr>
            </w:pPr>
            <w:r>
              <w:rPr>
                <w:rFonts w:ascii="Arial" w:cs="Arial" w:eastAsia="Arial" w:hAnsi="Arial"/>
                <w:sz w:val="14"/>
                <w:szCs w:val="14"/>
                <w:color w:val="auto"/>
                <w:w w:val="85"/>
              </w:rPr>
              <w:t>June 30, 2012</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480" w:type="dxa"/>
            <w:vAlign w:val="bottom"/>
            <w:gridSpan w:val="4"/>
          </w:tcPr>
          <w:p>
            <w:pPr>
              <w:jc w:val="center"/>
              <w:ind w:right="200"/>
              <w:spacing w:after="0" w:line="159" w:lineRule="exact"/>
              <w:rPr>
                <w:sz w:val="20"/>
                <w:szCs w:val="20"/>
                <w:color w:val="auto"/>
              </w:rPr>
            </w:pPr>
            <w:r>
              <w:rPr>
                <w:rFonts w:ascii="Arial" w:cs="Arial" w:eastAsia="Arial" w:hAnsi="Arial"/>
                <w:sz w:val="14"/>
                <w:szCs w:val="14"/>
                <w:color w:val="auto"/>
                <w:w w:val="87"/>
              </w:rPr>
              <w:t>recognized</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38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7"/>
              </w:rPr>
              <w:t>recognized</w:t>
            </w:r>
          </w:p>
        </w:tc>
        <w:tc>
          <w:tcPr>
            <w:tcW w:w="0" w:type="dxa"/>
            <w:vAlign w:val="bottom"/>
          </w:tcPr>
          <w:p>
            <w:pPr>
              <w:spacing w:after="0"/>
              <w:rPr>
                <w:sz w:val="1"/>
                <w:szCs w:val="1"/>
                <w:color w:val="auto"/>
              </w:rPr>
            </w:pPr>
          </w:p>
        </w:tc>
      </w:tr>
      <w:tr>
        <w:trPr>
          <w:trHeight w:val="118"/>
        </w:trPr>
        <w:tc>
          <w:tcPr>
            <w:tcW w:w="4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Cash</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7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basis</w:t>
            </w: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6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419"/>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3,408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201,236</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162,567</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518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760" w:type="dxa"/>
            <w:vAlign w:val="bottom"/>
          </w:tcPr>
          <w:p>
            <w:pPr>
              <w:jc w:val="right"/>
              <w:spacing w:after="0"/>
              <w:rPr>
                <w:sz w:val="20"/>
                <w:szCs w:val="20"/>
                <w:color w:val="auto"/>
              </w:rPr>
            </w:pPr>
            <w:r>
              <w:rPr>
                <w:rFonts w:ascii="Arial" w:cs="Arial" w:eastAsia="Arial" w:hAnsi="Arial"/>
                <w:sz w:val="18"/>
                <w:szCs w:val="18"/>
                <w:color w:val="auto"/>
              </w:rPr>
              <w:t>262,254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2,479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185,751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1,934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1,401</w:t>
            </w:r>
          </w:p>
        </w:tc>
        <w:tc>
          <w:tcPr>
            <w:tcW w:w="760" w:type="dxa"/>
            <w:vAlign w:val="bottom"/>
          </w:tcPr>
          <w:p>
            <w:pPr>
              <w:jc w:val="right"/>
              <w:spacing w:after="0"/>
              <w:rPr>
                <w:sz w:val="20"/>
                <w:szCs w:val="20"/>
                <w:color w:val="auto"/>
              </w:rPr>
            </w:pPr>
            <w:r>
              <w:rPr>
                <w:rFonts w:ascii="Arial" w:cs="Arial" w:eastAsia="Arial" w:hAnsi="Arial"/>
                <w:sz w:val="18"/>
                <w:szCs w:val="18"/>
                <w:color w:val="auto"/>
              </w:rPr>
              <w:t>127,258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151,977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Consumer: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44,641</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740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760" w:type="dxa"/>
            <w:vAlign w:val="bottom"/>
          </w:tcPr>
          <w:p>
            <w:pPr>
              <w:jc w:val="right"/>
              <w:spacing w:after="0"/>
              <w:rPr>
                <w:sz w:val="20"/>
                <w:szCs w:val="20"/>
                <w:color w:val="auto"/>
              </w:rPr>
            </w:pPr>
            <w:r>
              <w:rPr>
                <w:rFonts w:ascii="Arial" w:cs="Arial" w:eastAsia="Arial" w:hAnsi="Arial"/>
                <w:sz w:val="18"/>
                <w:szCs w:val="18"/>
                <w:color w:val="auto"/>
              </w:rPr>
              <w:t>52,200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vMerge w:val="continue"/>
          </w:tcPr>
          <w:p>
            <w:pPr>
              <w:spacing w:after="0"/>
              <w:rPr>
                <w:sz w:val="19"/>
                <w:szCs w:val="19"/>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1,055,874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11,479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8,816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1,087,554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11,415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4"/>
          </w:tcPr>
          <w:p>
            <w:pPr>
              <w:jc w:val="center"/>
              <w:ind w:left="379"/>
              <w:spacing w:after="0"/>
              <w:rPr>
                <w:sz w:val="20"/>
                <w:szCs w:val="20"/>
                <w:color w:val="auto"/>
              </w:rPr>
            </w:pPr>
            <w:r>
              <w:rPr>
                <w:rFonts w:ascii="Arial" w:cs="Arial" w:eastAsia="Arial" w:hAnsi="Arial"/>
                <w:sz w:val="14"/>
                <w:szCs w:val="14"/>
                <w:color w:val="auto"/>
                <w:w w:val="85"/>
              </w:rPr>
              <w:t>Six months ended</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jc w:val="center"/>
              <w:ind w:left="459"/>
              <w:spacing w:after="0"/>
              <w:rPr>
                <w:sz w:val="20"/>
                <w:szCs w:val="20"/>
                <w:color w:val="auto"/>
              </w:rPr>
            </w:pPr>
            <w:r>
              <w:rPr>
                <w:rFonts w:ascii="Arial" w:cs="Arial" w:eastAsia="Arial" w:hAnsi="Arial"/>
                <w:sz w:val="14"/>
                <w:szCs w:val="14"/>
                <w:color w:val="auto"/>
                <w:w w:val="85"/>
              </w:rPr>
              <w:t>Six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center"/>
              <w:ind w:left="379"/>
              <w:spacing w:after="0" w:line="159" w:lineRule="exact"/>
              <w:rPr>
                <w:sz w:val="20"/>
                <w:szCs w:val="20"/>
                <w:color w:val="auto"/>
              </w:rPr>
            </w:pPr>
            <w:r>
              <w:rPr>
                <w:rFonts w:ascii="Arial" w:cs="Arial" w:eastAsia="Arial" w:hAnsi="Arial"/>
                <w:sz w:val="14"/>
                <w:szCs w:val="14"/>
                <w:color w:val="auto"/>
                <w:w w:val="85"/>
              </w:rPr>
              <w:t>June 30, 2013</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Borders>
              <w:bottom w:val="single" w:sz="8" w:color="auto"/>
            </w:tcBorders>
            <w:gridSpan w:val="4"/>
          </w:tcPr>
          <w:p>
            <w:pPr>
              <w:jc w:val="center"/>
              <w:ind w:left="459"/>
              <w:spacing w:after="0" w:line="159" w:lineRule="exact"/>
              <w:rPr>
                <w:sz w:val="20"/>
                <w:szCs w:val="20"/>
                <w:color w:val="auto"/>
              </w:rPr>
            </w:pPr>
            <w:r>
              <w:rPr>
                <w:rFonts w:ascii="Arial" w:cs="Arial" w:eastAsia="Arial" w:hAnsi="Arial"/>
                <w:sz w:val="14"/>
                <w:szCs w:val="14"/>
                <w:color w:val="auto"/>
                <w:w w:val="85"/>
              </w:rPr>
              <w:t>June 30, 2012</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480" w:type="dxa"/>
            <w:vAlign w:val="bottom"/>
            <w:gridSpan w:val="4"/>
          </w:tcPr>
          <w:p>
            <w:pPr>
              <w:jc w:val="center"/>
              <w:ind w:right="200"/>
              <w:spacing w:after="0" w:line="159" w:lineRule="exact"/>
              <w:rPr>
                <w:sz w:val="20"/>
                <w:szCs w:val="20"/>
                <w:color w:val="auto"/>
              </w:rPr>
            </w:pPr>
            <w:r>
              <w:rPr>
                <w:rFonts w:ascii="Arial" w:cs="Arial" w:eastAsia="Arial" w:hAnsi="Arial"/>
                <w:sz w:val="14"/>
                <w:szCs w:val="14"/>
                <w:color w:val="auto"/>
                <w:w w:val="87"/>
              </w:rPr>
              <w:t>recognized</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38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7"/>
              </w:rPr>
              <w:t>recognized</w:t>
            </w:r>
          </w:p>
        </w:tc>
        <w:tc>
          <w:tcPr>
            <w:tcW w:w="0" w:type="dxa"/>
            <w:vAlign w:val="bottom"/>
          </w:tcPr>
          <w:p>
            <w:pPr>
              <w:spacing w:after="0"/>
              <w:rPr>
                <w:sz w:val="1"/>
                <w:szCs w:val="1"/>
                <w:color w:val="auto"/>
              </w:rPr>
            </w:pPr>
          </w:p>
        </w:tc>
      </w:tr>
      <w:tr>
        <w:trPr>
          <w:trHeight w:val="118"/>
        </w:trPr>
        <w:tc>
          <w:tcPr>
            <w:tcW w:w="4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Cash</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7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basis</w:t>
            </w: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6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419"/>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5,842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197,546</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173,535</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658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c>
          <w:tcPr>
            <w:tcW w:w="760" w:type="dxa"/>
            <w:vAlign w:val="bottom"/>
          </w:tcPr>
          <w:p>
            <w:pPr>
              <w:jc w:val="right"/>
              <w:spacing w:after="0"/>
              <w:rPr>
                <w:sz w:val="20"/>
                <w:szCs w:val="20"/>
                <w:color w:val="auto"/>
              </w:rPr>
            </w:pPr>
            <w:r>
              <w:rPr>
                <w:rFonts w:ascii="Arial" w:cs="Arial" w:eastAsia="Arial" w:hAnsi="Arial"/>
                <w:sz w:val="18"/>
                <w:szCs w:val="18"/>
                <w:color w:val="auto"/>
              </w:rPr>
              <w:t>271,903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3,114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186,582</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3,404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2,323</w:t>
            </w:r>
          </w:p>
        </w:tc>
        <w:tc>
          <w:tcPr>
            <w:tcW w:w="760" w:type="dxa"/>
            <w:vAlign w:val="bottom"/>
          </w:tcPr>
          <w:p>
            <w:pPr>
              <w:jc w:val="right"/>
              <w:spacing w:after="0"/>
              <w:rPr>
                <w:sz w:val="20"/>
                <w:szCs w:val="20"/>
                <w:color w:val="auto"/>
              </w:rPr>
            </w:pPr>
            <w:r>
              <w:rPr>
                <w:rFonts w:ascii="Arial" w:cs="Arial" w:eastAsia="Arial" w:hAnsi="Arial"/>
                <w:sz w:val="18"/>
                <w:szCs w:val="18"/>
                <w:color w:val="auto"/>
              </w:rPr>
              <w:t>126,880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3,410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Consumer: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46,134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1,516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760" w:type="dxa"/>
            <w:vAlign w:val="bottom"/>
          </w:tcPr>
          <w:p>
            <w:pPr>
              <w:jc w:val="right"/>
              <w:spacing w:after="0"/>
              <w:rPr>
                <w:sz w:val="20"/>
                <w:szCs w:val="20"/>
                <w:color w:val="auto"/>
              </w:rPr>
            </w:pPr>
            <w:r>
              <w:rPr>
                <w:rFonts w:ascii="Arial" w:cs="Arial" w:eastAsia="Arial" w:hAnsi="Arial"/>
                <w:sz w:val="18"/>
                <w:szCs w:val="18"/>
                <w:color w:val="auto"/>
              </w:rPr>
              <w:t>52,799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1,056,860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19,295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14,005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1,100,021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16,995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20" w:type="dxa"/>
            <w:vAlign w:val="bottom"/>
            <w:vMerge w:val="restart"/>
          </w:tcPr>
          <w:p>
            <w:pPr>
              <w:jc w:val="right"/>
              <w:ind w:right="652"/>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right="60" w:firstLine="913"/>
        <w:spacing w:after="0" w:line="307" w:lineRule="auto"/>
        <w:rPr>
          <w:sz w:val="20"/>
          <w:szCs w:val="20"/>
          <w:color w:val="auto"/>
        </w:rPr>
      </w:pPr>
      <w:r>
        <w:rPr>
          <w:rFonts w:ascii="Arial" w:cs="Arial" w:eastAsia="Arial" w:hAnsi="Arial"/>
          <w:sz w:val="15"/>
          <w:szCs w:val="15"/>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9"/>
              </w:rPr>
              <w:t>Commercial,</w:t>
            </w: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w w:val="85"/>
              </w:rPr>
              <w:t>Real Estate</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6"/>
              </w:rPr>
              <w:t>Residential</w:t>
            </w:r>
          </w:p>
        </w:tc>
        <w:tc>
          <w:tcPr>
            <w:tcW w:w="2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5"/>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Financial,</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Builder and</w:t>
            </w:r>
          </w:p>
        </w:tc>
        <w:tc>
          <w:tcPr>
            <w:tcW w:w="2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Commercial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color w:val="auto"/>
                <w:w w:val="85"/>
              </w:rPr>
              <w:t>Leasing, etc.</w:t>
            </w:r>
          </w:p>
        </w:tc>
        <w:tc>
          <w:tcPr>
            <w:tcW w:w="280" w:type="dxa"/>
            <w:vAlign w:val="bottom"/>
          </w:tcPr>
          <w:p>
            <w:pPr>
              <w:spacing w:after="0"/>
              <w:rPr>
                <w:sz w:val="13"/>
                <w:szCs w:val="13"/>
                <w:color w:val="auto"/>
              </w:rPr>
            </w:pPr>
          </w:p>
        </w:tc>
        <w:tc>
          <w:tcPr>
            <w:tcW w:w="860" w:type="dxa"/>
            <w:vAlign w:val="bottom"/>
          </w:tcPr>
          <w:p>
            <w:pPr>
              <w:jc w:val="right"/>
              <w:ind w:right="22"/>
              <w:spacing w:after="0" w:line="159" w:lineRule="exact"/>
              <w:rPr>
                <w:sz w:val="20"/>
                <w:szCs w:val="20"/>
                <w:color w:val="auto"/>
              </w:rPr>
            </w:pPr>
            <w:r>
              <w:rPr>
                <w:rFonts w:ascii="Arial" w:cs="Arial" w:eastAsia="Arial" w:hAnsi="Arial"/>
                <w:sz w:val="14"/>
                <w:szCs w:val="14"/>
                <w:color w:val="auto"/>
                <w:w w:val="99"/>
              </w:rPr>
              <w:t>Commercial</w:t>
            </w:r>
          </w:p>
        </w:tc>
        <w:tc>
          <w:tcPr>
            <w:tcW w:w="3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7"/>
              </w:rPr>
              <w:t>Developer</w:t>
            </w:r>
          </w:p>
        </w:tc>
        <w:tc>
          <w:tcPr>
            <w:tcW w:w="280" w:type="dxa"/>
            <w:vAlign w:val="bottom"/>
          </w:tcPr>
          <w:p>
            <w:pPr>
              <w:spacing w:after="0"/>
              <w:rPr>
                <w:sz w:val="13"/>
                <w:szCs w:val="13"/>
                <w:color w:val="auto"/>
              </w:rPr>
            </w:pP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9"/>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566"/>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Pass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$17,177,447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21,237,559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889,978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2,761,618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709,989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144,753</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197,987</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132,621</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18,021,812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22,145,535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1,110,606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2,860,253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$16,889,753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21,275,182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922,141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735,292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804,132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85,520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186,843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151,908</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193,859</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181,865</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17,776,953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22,273,173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1,189,526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2,531,091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the original balance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allocation of the allowance for credit losses summarized on the basis of the Company’s impairment methodology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Commercial,</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Financial,</w:t>
            </w:r>
          </w:p>
        </w:tc>
        <w:tc>
          <w:tcPr>
            <w:tcW w:w="1900" w:type="dxa"/>
            <w:vAlign w:val="bottom"/>
            <w:gridSpan w:val="4"/>
          </w:tcPr>
          <w:p>
            <w:pPr>
              <w:ind w:left="5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Commercial</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Consumer</w:t>
            </w:r>
          </w:p>
        </w:tc>
        <w:tc>
          <w:tcPr>
            <w:tcW w:w="76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780" w:type="dxa"/>
            <w:vAlign w:val="bottom"/>
            <w:gridSpan w:val="2"/>
          </w:tcPr>
          <w:p>
            <w:pPr>
              <w:ind w:left="26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36,451</w:t>
            </w:r>
          </w:p>
        </w:tc>
        <w:tc>
          <w:tcPr>
            <w:tcW w:w="680" w:type="dxa"/>
            <w:vAlign w:val="bottom"/>
          </w:tcPr>
          <w:p>
            <w:pPr>
              <w:jc w:val="right"/>
              <w:spacing w:after="0"/>
              <w:rPr>
                <w:sz w:val="20"/>
                <w:szCs w:val="20"/>
                <w:color w:val="auto"/>
              </w:rPr>
            </w:pPr>
            <w:r>
              <w:rPr>
                <w:rFonts w:ascii="Arial" w:cs="Arial" w:eastAsia="Arial" w:hAnsi="Arial"/>
                <w:sz w:val="18"/>
                <w:szCs w:val="18"/>
                <w:color w:val="auto"/>
              </w:rPr>
              <w:t>31,798</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22,628</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20,466</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$ 111,343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230,309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291,365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60,989</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152,602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735,265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Purchased impaired</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2,107</w:t>
            </w:r>
          </w:p>
        </w:tc>
        <w:tc>
          <w:tcPr>
            <w:tcW w:w="680" w:type="dxa"/>
            <w:vAlign w:val="bottom"/>
          </w:tcPr>
          <w:p>
            <w:pPr>
              <w:jc w:val="right"/>
              <w:spacing w:after="0"/>
              <w:rPr>
                <w:sz w:val="20"/>
                <w:szCs w:val="20"/>
                <w:color w:val="auto"/>
              </w:rPr>
            </w:pPr>
            <w:r>
              <w:rPr>
                <w:rFonts w:ascii="Arial" w:cs="Arial" w:eastAsia="Arial" w:hAnsi="Arial"/>
                <w:sz w:val="18"/>
                <w:szCs w:val="18"/>
                <w:color w:val="auto"/>
              </w:rPr>
              <w:t>1,101</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1,694</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1,223</w:t>
            </w:r>
          </w:p>
        </w:tc>
        <w:tc>
          <w:tcPr>
            <w:tcW w:w="660" w:type="dxa"/>
            <w:vAlign w:val="bottom"/>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268,867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324,264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85,311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174,291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852,733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74,332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2"/>
            <w:vMerge w:val="continue"/>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927,065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78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20,502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212,930</w:t>
            </w:r>
          </w:p>
        </w:tc>
        <w:tc>
          <w:tcPr>
            <w:tcW w:w="680" w:type="dxa"/>
            <w:vAlign w:val="bottom"/>
          </w:tcPr>
          <w:p>
            <w:pPr>
              <w:jc w:val="right"/>
              <w:spacing w:after="0"/>
              <w:rPr>
                <w:sz w:val="20"/>
                <w:szCs w:val="20"/>
                <w:color w:val="auto"/>
              </w:rPr>
            </w:pPr>
            <w:r>
              <w:rPr>
                <w:rFonts w:ascii="Arial" w:cs="Arial" w:eastAsia="Arial" w:hAnsi="Arial"/>
                <w:sz w:val="18"/>
                <w:szCs w:val="18"/>
                <w:color w:val="auto"/>
              </w:rPr>
              <w:t>280,789</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66,684</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156,661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717,064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Allocated</w:t>
            </w:r>
          </w:p>
        </w:tc>
        <w:tc>
          <w:tcPr>
            <w:tcW w:w="2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2"/>
            <w:vMerge w:val="continue"/>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246,759</w:t>
            </w:r>
          </w:p>
        </w:tc>
        <w:tc>
          <w:tcPr>
            <w:tcW w:w="680" w:type="dxa"/>
            <w:vAlign w:val="bottom"/>
          </w:tcPr>
          <w:p>
            <w:pPr>
              <w:jc w:val="right"/>
              <w:spacing w:after="0"/>
              <w:rPr>
                <w:sz w:val="20"/>
                <w:szCs w:val="20"/>
                <w:color w:val="auto"/>
              </w:rPr>
            </w:pPr>
            <w:r>
              <w:rPr>
                <w:rFonts w:ascii="Arial" w:cs="Arial" w:eastAsia="Arial" w:hAnsi="Arial"/>
                <w:sz w:val="18"/>
                <w:szCs w:val="18"/>
                <w:color w:val="auto"/>
              </w:rPr>
              <w:t>337,101</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88,807</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179,418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852,085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925,860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60" w:type="dxa"/>
            <w:vAlign w:val="bottom"/>
            <w:vMerge w:val="restart"/>
          </w:tcPr>
          <w:p>
            <w:pPr>
              <w:jc w:val="right"/>
              <w:ind w:right="8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color w:val="auto"/>
                <w:w w:val="89"/>
              </w:rPr>
              <w:t>Commercial,</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color w:val="auto"/>
                <w:w w:val="90"/>
              </w:rPr>
              <w:t>Financial,</w:t>
            </w:r>
          </w:p>
        </w:tc>
        <w:tc>
          <w:tcPr>
            <w:tcW w:w="200" w:type="dxa"/>
            <w:vAlign w:val="bottom"/>
          </w:tcPr>
          <w:p>
            <w:pPr>
              <w:spacing w:after="0"/>
              <w:rPr>
                <w:sz w:val="15"/>
                <w:szCs w:val="15"/>
                <w:color w:val="auto"/>
              </w:rPr>
            </w:pPr>
          </w:p>
        </w:tc>
        <w:tc>
          <w:tcPr>
            <w:tcW w:w="2100" w:type="dxa"/>
            <w:vAlign w:val="bottom"/>
            <w:gridSpan w:val="4"/>
          </w:tcPr>
          <w:p>
            <w:pPr>
              <w:ind w:left="64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2" w:lineRule="exact"/>
              <w:rPr>
                <w:sz w:val="20"/>
                <w:szCs w:val="20"/>
                <w:color w:val="auto"/>
              </w:rPr>
            </w:pPr>
            <w:r>
              <w:rPr>
                <w:rFonts w:ascii="Arial" w:cs="Arial" w:eastAsia="Arial" w:hAnsi="Arial"/>
                <w:sz w:val="14"/>
                <w:szCs w:val="14"/>
                <w:color w:val="auto"/>
                <w:w w:val="85"/>
              </w:rPr>
              <w:t>Leasing, etc.</w:t>
            </w:r>
          </w:p>
        </w:tc>
        <w:tc>
          <w:tcPr>
            <w:tcW w:w="20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w w:val="99"/>
              </w:rPr>
              <w:t>Commercial</w:t>
            </w: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Residential</w:t>
            </w:r>
          </w:p>
        </w:tc>
        <w:tc>
          <w:tcPr>
            <w:tcW w:w="200" w:type="dxa"/>
            <w:vAlign w:val="bottom"/>
          </w:tcPr>
          <w:p>
            <w:pPr>
              <w:spacing w:after="0"/>
              <w:rPr>
                <w:sz w:val="12"/>
                <w:szCs w:val="12"/>
                <w:color w:val="auto"/>
              </w:rPr>
            </w:pPr>
          </w:p>
        </w:tc>
        <w:tc>
          <w:tcPr>
            <w:tcW w:w="9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color w:val="auto"/>
                <w:w w:val="87"/>
              </w:rPr>
              <w:t>(in thousands)</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152,190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434,945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335,481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71,924</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994,540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17,852,888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25,341,681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10,028,734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11,359,326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64,582,629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339,768</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35,534</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18,021,812</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26,116,394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10,399,749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11,433,911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65,971,866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480,335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349,477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1,065,551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17,599,755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25,123,758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10,854,591</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11,480,188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65,058,292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389,697</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36,769</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17,776,953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25,993,790</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11,240,837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11,559,377</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66,570,957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tables below summarize the Company’s loan modification activities that were considered troubled debt restructurings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2013 and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right"/>
              <w:ind w:right="360"/>
              <w:spacing w:after="0"/>
              <w:rPr>
                <w:sz w:val="20"/>
                <w:szCs w:val="20"/>
                <w:color w:val="auto"/>
              </w:rPr>
            </w:pPr>
            <w:r>
              <w:rPr>
                <w:rFonts w:ascii="Arial" w:cs="Arial" w:eastAsia="Arial" w:hAnsi="Arial"/>
                <w:sz w:val="14"/>
                <w:szCs w:val="14"/>
                <w:color w:val="auto"/>
                <w:w w:val="99"/>
              </w:rPr>
              <w:t>Financial effects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Recorded investment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jc w:val="right"/>
              <w:ind w:right="54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60"/>
              <w:spacing w:after="0" w:line="131" w:lineRule="exact"/>
              <w:rPr>
                <w:sz w:val="20"/>
                <w:szCs w:val="20"/>
                <w:color w:val="auto"/>
              </w:rPr>
            </w:pPr>
            <w:r>
              <w:rPr>
                <w:rFonts w:ascii="Arial" w:cs="Arial" w:eastAsia="Arial" w:hAnsi="Arial"/>
                <w:sz w:val="14"/>
                <w:szCs w:val="14"/>
                <w:color w:val="auto"/>
                <w:w w:val="88"/>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0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June 30, 2013</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Pre-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5"/>
              </w:rPr>
              <w:t>Post-</w:t>
            </w:r>
          </w:p>
        </w:tc>
        <w:tc>
          <w:tcPr>
            <w:tcW w:w="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53"/>
        </w:trPr>
        <w:tc>
          <w:tcPr>
            <w:tcW w:w="6700" w:type="dxa"/>
            <w:vAlign w:val="bottom"/>
            <w:gridSpan w:val="3"/>
            <w:vMerge w:val="continue"/>
          </w:tcPr>
          <w:p>
            <w:pPr>
              <w:spacing w:after="0"/>
              <w:rPr>
                <w:sz w:val="13"/>
                <w:szCs w:val="13"/>
                <w:color w:val="auto"/>
              </w:rPr>
            </w:pPr>
          </w:p>
        </w:tc>
        <w:tc>
          <w:tcPr>
            <w:tcW w:w="840" w:type="dxa"/>
            <w:vAlign w:val="bottom"/>
            <w:gridSpan w:val="2"/>
          </w:tcPr>
          <w:p>
            <w:pPr>
              <w:spacing w:after="0" w:line="146" w:lineRule="exact"/>
              <w:rPr>
                <w:sz w:val="20"/>
                <w:szCs w:val="20"/>
                <w:color w:val="auto"/>
              </w:rPr>
            </w:pPr>
            <w:r>
              <w:rPr>
                <w:rFonts w:ascii="Arial" w:cs="Arial" w:eastAsia="Arial" w:hAnsi="Arial"/>
                <w:sz w:val="14"/>
                <w:szCs w:val="14"/>
                <w:color w:val="auto"/>
              </w:rPr>
              <w:t>Number</w:t>
            </w:r>
          </w:p>
        </w:tc>
        <w:tc>
          <w:tcPr>
            <w:tcW w:w="700" w:type="dxa"/>
            <w:vAlign w:val="bottom"/>
            <w:gridSpan w:val="2"/>
          </w:tcPr>
          <w:p>
            <w:pPr>
              <w:ind w:left="20"/>
              <w:spacing w:after="0" w:line="146" w:lineRule="exact"/>
              <w:rPr>
                <w:sz w:val="20"/>
                <w:szCs w:val="20"/>
                <w:color w:val="auto"/>
              </w:rPr>
            </w:pPr>
            <w:r>
              <w:rPr>
                <w:rFonts w:ascii="Arial" w:cs="Arial" w:eastAsia="Arial" w:hAnsi="Arial"/>
                <w:sz w:val="14"/>
                <w:szCs w:val="14"/>
                <w:color w:val="auto"/>
                <w:w w:val="88"/>
              </w:rPr>
              <w:t>modification</w:t>
            </w:r>
          </w:p>
        </w:tc>
        <w:tc>
          <w:tcPr>
            <w:tcW w:w="420" w:type="dxa"/>
            <w:vAlign w:val="bottom"/>
          </w:tcPr>
          <w:p>
            <w:pPr>
              <w:spacing w:after="0"/>
              <w:rPr>
                <w:sz w:val="13"/>
                <w:szCs w:val="13"/>
                <w:color w:val="auto"/>
              </w:rPr>
            </w:pPr>
          </w:p>
        </w:tc>
        <w:tc>
          <w:tcPr>
            <w:tcW w:w="102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440"/>
              <w:spacing w:after="0" w:line="146"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47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ind w:left="19"/>
              <w:spacing w:after="0" w:line="149" w:lineRule="exact"/>
              <w:rPr>
                <w:sz w:val="20"/>
                <w:szCs w:val="20"/>
                <w:color w:val="auto"/>
              </w:rPr>
            </w:pPr>
            <w:r>
              <w:rPr>
                <w:rFonts w:ascii="Arial" w:cs="Arial" w:eastAsia="Arial" w:hAnsi="Arial"/>
                <w:sz w:val="14"/>
                <w:szCs w:val="14"/>
                <w:color w:val="auto"/>
                <w:w w:val="88"/>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4,870</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4,822</w:t>
            </w:r>
          </w:p>
        </w:tc>
        <w:tc>
          <w:tcPr>
            <w:tcW w:w="3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Other commercial construction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69,210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65,890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(3,320)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Alt-A</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Home equity lines and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Automobile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Interest rate reduction</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135,325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130,897</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(4,428)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30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6"/>
          </w:tcPr>
          <w:p>
            <w:pPr>
              <w:ind w:left="180"/>
              <w:spacing w:after="0" w:line="159" w:lineRule="exact"/>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3"/>
                <w:szCs w:val="13"/>
                <w:color w:val="auto"/>
              </w:rPr>
            </w:pPr>
          </w:p>
        </w:tc>
        <w:tc>
          <w:tcPr>
            <w:tcW w:w="1520" w:type="dxa"/>
            <w:vAlign w:val="bottom"/>
            <w:gridSpan w:val="5"/>
          </w:tcPr>
          <w:p>
            <w:pPr>
              <w:jc w:val="right"/>
              <w:ind w:right="48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40"/>
              <w:spacing w:after="0" w:line="131" w:lineRule="exact"/>
              <w:rPr>
                <w:sz w:val="20"/>
                <w:szCs w:val="20"/>
                <w:color w:val="auto"/>
              </w:rPr>
            </w:pPr>
            <w:r>
              <w:rPr>
                <w:rFonts w:ascii="Arial" w:cs="Arial" w:eastAsia="Arial" w:hAnsi="Arial"/>
                <w:sz w:val="14"/>
                <w:szCs w:val="14"/>
                <w:color w:val="auto"/>
                <w:w w:val="82"/>
              </w:rPr>
              <w:t>Recorded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6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June 30, 2012</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Post-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investment</w:t>
            </w:r>
          </w:p>
        </w:tc>
        <w:tc>
          <w:tcPr>
            <w:tcW w:w="1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1"/>
              </w:rPr>
              <w:t>Interest</w:t>
            </w:r>
          </w:p>
        </w:tc>
        <w:tc>
          <w:tcPr>
            <w:tcW w:w="0" w:type="dxa"/>
            <w:vAlign w:val="bottom"/>
          </w:tcPr>
          <w:p>
            <w:pPr>
              <w:spacing w:after="0"/>
              <w:rPr>
                <w:sz w:val="1"/>
                <w:szCs w:val="1"/>
                <w:color w:val="auto"/>
              </w:rPr>
            </w:pPr>
          </w:p>
        </w:tc>
      </w:tr>
      <w:tr>
        <w:trPr>
          <w:trHeight w:val="153"/>
        </w:trPr>
        <w:tc>
          <w:tcPr>
            <w:tcW w:w="6860" w:type="dxa"/>
            <w:vAlign w:val="bottom"/>
            <w:gridSpan w:val="3"/>
            <w:vMerge w:val="continue"/>
          </w:tcPr>
          <w:p>
            <w:pPr>
              <w:spacing w:after="0"/>
              <w:rPr>
                <w:sz w:val="13"/>
                <w:szCs w:val="13"/>
                <w:color w:val="auto"/>
              </w:rPr>
            </w:pPr>
          </w:p>
        </w:tc>
        <w:tc>
          <w:tcPr>
            <w:tcW w:w="66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3"/>
                <w:szCs w:val="13"/>
                <w:color w:val="auto"/>
              </w:rPr>
            </w:pPr>
          </w:p>
        </w:tc>
        <w:tc>
          <w:tcPr>
            <w:tcW w:w="760" w:type="dxa"/>
            <w:vAlign w:val="bottom"/>
            <w:gridSpan w:val="3"/>
          </w:tcPr>
          <w:p>
            <w:pPr>
              <w:ind w:left="20"/>
              <w:spacing w:after="0" w:line="146" w:lineRule="exact"/>
              <w:rPr>
                <w:sz w:val="20"/>
                <w:szCs w:val="20"/>
                <w:color w:val="auto"/>
              </w:rPr>
            </w:pPr>
            <w:r>
              <w:rPr>
                <w:rFonts w:ascii="Arial" w:cs="Arial" w:eastAsia="Arial" w:hAnsi="Arial"/>
                <w:sz w:val="14"/>
                <w:szCs w:val="14"/>
                <w:color w:val="auto"/>
                <w:w w:val="96"/>
              </w:rPr>
              <w:t>modification</w:t>
            </w:r>
          </w:p>
        </w:tc>
        <w:tc>
          <w:tcPr>
            <w:tcW w:w="340" w:type="dxa"/>
            <w:vAlign w:val="bottom"/>
          </w:tcPr>
          <w:p>
            <w:pPr>
              <w:spacing w:after="0"/>
              <w:rPr>
                <w:sz w:val="13"/>
                <w:szCs w:val="13"/>
                <w:color w:val="auto"/>
              </w:rPr>
            </w:pPr>
          </w:p>
        </w:tc>
        <w:tc>
          <w:tcPr>
            <w:tcW w:w="98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w w:val="81"/>
              </w:rPr>
              <w:t>(a)</w:t>
            </w:r>
          </w:p>
        </w:tc>
        <w:tc>
          <w:tcPr>
            <w:tcW w:w="180" w:type="dxa"/>
            <w:vAlign w:val="bottom"/>
          </w:tcPr>
          <w:p>
            <w:pPr>
              <w:spacing w:after="0"/>
              <w:rPr>
                <w:sz w:val="13"/>
                <w:szCs w:val="13"/>
                <w:color w:val="auto"/>
              </w:rPr>
            </w:pPr>
          </w:p>
        </w:tc>
        <w:tc>
          <w:tcPr>
            <w:tcW w:w="52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ind w:left="40"/>
              <w:spacing w:after="0" w:line="149" w:lineRule="exact"/>
              <w:rPr>
                <w:sz w:val="20"/>
                <w:szCs w:val="20"/>
                <w:color w:val="auto"/>
              </w:rPr>
            </w:pPr>
            <w:r>
              <w:rPr>
                <w:rFonts w:ascii="Arial" w:cs="Arial" w:eastAsia="Arial" w:hAnsi="Arial"/>
                <w:sz w:val="14"/>
                <w:szCs w:val="14"/>
                <w:color w:val="auto"/>
                <w:w w:val="94"/>
              </w:rPr>
              <w:t>(dollars 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10,392</w:t>
            </w:r>
          </w:p>
        </w:tc>
        <w:tc>
          <w:tcPr>
            <w:tcW w:w="6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9,061</w:t>
            </w:r>
          </w:p>
        </w:tc>
        <w:tc>
          <w:tcPr>
            <w:tcW w:w="2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 (1,331)</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w w:val="93"/>
              </w:rPr>
              <w:t>2,011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1,999</w:t>
            </w:r>
          </w:p>
        </w:tc>
        <w:tc>
          <w:tcPr>
            <w:tcW w:w="2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1,231</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60,888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60,898</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1,087</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Residential Alt-A</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1,543</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Home equity lines and loans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89,684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88,494</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(1,190)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2013 and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right"/>
              <w:ind w:right="360"/>
              <w:spacing w:after="0"/>
              <w:rPr>
                <w:sz w:val="20"/>
                <w:szCs w:val="20"/>
                <w:color w:val="auto"/>
              </w:rPr>
            </w:pPr>
            <w:r>
              <w:rPr>
                <w:rFonts w:ascii="Arial" w:cs="Arial" w:eastAsia="Arial" w:hAnsi="Arial"/>
                <w:sz w:val="14"/>
                <w:szCs w:val="14"/>
                <w:color w:val="auto"/>
                <w:w w:val="99"/>
              </w:rPr>
              <w:t>Financial effects of</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Recorded investment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jc w:val="right"/>
              <w:ind w:right="54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18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60"/>
              <w:spacing w:after="0" w:line="131" w:lineRule="exact"/>
              <w:rPr>
                <w:sz w:val="20"/>
                <w:szCs w:val="20"/>
                <w:color w:val="auto"/>
              </w:rPr>
            </w:pPr>
            <w:r>
              <w:rPr>
                <w:rFonts w:ascii="Arial" w:cs="Arial" w:eastAsia="Arial" w:hAnsi="Arial"/>
                <w:sz w:val="14"/>
                <w:szCs w:val="14"/>
                <w:color w:val="auto"/>
                <w:w w:val="88"/>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Six months ended June 30, 2013</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Pre-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5"/>
              </w:rPr>
              <w:t>Post-</w:t>
            </w:r>
          </w:p>
        </w:tc>
        <w:tc>
          <w:tcPr>
            <w:tcW w:w="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53"/>
        </w:trPr>
        <w:tc>
          <w:tcPr>
            <w:tcW w:w="6700" w:type="dxa"/>
            <w:vAlign w:val="bottom"/>
            <w:gridSpan w:val="2"/>
            <w:vMerge w:val="continue"/>
          </w:tcPr>
          <w:p>
            <w:pPr>
              <w:spacing w:after="0"/>
              <w:rPr>
                <w:sz w:val="13"/>
                <w:szCs w:val="13"/>
                <w:color w:val="auto"/>
              </w:rPr>
            </w:pPr>
          </w:p>
        </w:tc>
        <w:tc>
          <w:tcPr>
            <w:tcW w:w="840" w:type="dxa"/>
            <w:vAlign w:val="bottom"/>
            <w:gridSpan w:val="2"/>
          </w:tcPr>
          <w:p>
            <w:pPr>
              <w:spacing w:after="0" w:line="146" w:lineRule="exact"/>
              <w:rPr>
                <w:sz w:val="20"/>
                <w:szCs w:val="20"/>
                <w:color w:val="auto"/>
              </w:rPr>
            </w:pPr>
            <w:r>
              <w:rPr>
                <w:rFonts w:ascii="Arial" w:cs="Arial" w:eastAsia="Arial" w:hAnsi="Arial"/>
                <w:sz w:val="14"/>
                <w:szCs w:val="14"/>
                <w:color w:val="auto"/>
              </w:rPr>
              <w:t>Number</w:t>
            </w:r>
          </w:p>
        </w:tc>
        <w:tc>
          <w:tcPr>
            <w:tcW w:w="700" w:type="dxa"/>
            <w:vAlign w:val="bottom"/>
            <w:gridSpan w:val="2"/>
          </w:tcPr>
          <w:p>
            <w:pPr>
              <w:ind w:left="20"/>
              <w:spacing w:after="0" w:line="146" w:lineRule="exact"/>
              <w:rPr>
                <w:sz w:val="20"/>
                <w:szCs w:val="20"/>
                <w:color w:val="auto"/>
              </w:rPr>
            </w:pPr>
            <w:r>
              <w:rPr>
                <w:rFonts w:ascii="Arial" w:cs="Arial" w:eastAsia="Arial" w:hAnsi="Arial"/>
                <w:sz w:val="14"/>
                <w:szCs w:val="14"/>
                <w:color w:val="auto"/>
                <w:w w:val="88"/>
              </w:rPr>
              <w:t>modification</w:t>
            </w:r>
          </w:p>
        </w:tc>
        <w:tc>
          <w:tcPr>
            <w:tcW w:w="420" w:type="dxa"/>
            <w:vAlign w:val="bottom"/>
          </w:tcPr>
          <w:p>
            <w:pPr>
              <w:spacing w:after="0"/>
              <w:rPr>
                <w:sz w:val="13"/>
                <w:szCs w:val="13"/>
                <w:color w:val="auto"/>
              </w:rPr>
            </w:pPr>
          </w:p>
        </w:tc>
        <w:tc>
          <w:tcPr>
            <w:tcW w:w="102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440"/>
              <w:spacing w:after="0" w:line="146"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1860" w:type="dxa"/>
            <w:vAlign w:val="bottom"/>
            <w:tcBorders>
              <w:top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ind w:left="19"/>
              <w:spacing w:after="0" w:line="149" w:lineRule="exact"/>
              <w:rPr>
                <w:sz w:val="20"/>
                <w:szCs w:val="20"/>
                <w:color w:val="auto"/>
              </w:rPr>
            </w:pPr>
            <w:r>
              <w:rPr>
                <w:rFonts w:ascii="Arial" w:cs="Arial" w:eastAsia="Arial" w:hAnsi="Arial"/>
                <w:sz w:val="14"/>
                <w:szCs w:val="14"/>
                <w:color w:val="auto"/>
                <w:w w:val="88"/>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6,876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6,804</w:t>
            </w:r>
          </w:p>
        </w:tc>
        <w:tc>
          <w:tcPr>
            <w:tcW w:w="3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Commercial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68,426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Automobile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673</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215,006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210,557</w:t>
            </w:r>
          </w:p>
        </w:tc>
        <w:tc>
          <w:tcPr>
            <w:tcW w:w="3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(4,449)</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(2,288)</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Recorded investment</w:t>
            </w:r>
          </w:p>
        </w:tc>
        <w:tc>
          <w:tcPr>
            <w:tcW w:w="80" w:type="dxa"/>
            <w:vAlign w:val="bottom"/>
          </w:tcPr>
          <w:p>
            <w:pPr>
              <w:spacing w:after="0"/>
              <w:rPr>
                <w:sz w:val="13"/>
                <w:szCs w:val="13"/>
                <w:color w:val="auto"/>
              </w:rPr>
            </w:pPr>
          </w:p>
        </w:tc>
        <w:tc>
          <w:tcPr>
            <w:tcW w:w="1660" w:type="dxa"/>
            <w:vAlign w:val="bottom"/>
            <w:gridSpan w:val="6"/>
          </w:tcPr>
          <w:p>
            <w:pPr>
              <w:jc w:val="right"/>
              <w:ind w:right="54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18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20"/>
              <w:spacing w:after="0" w:line="131" w:lineRule="exact"/>
              <w:rPr>
                <w:sz w:val="20"/>
                <w:szCs w:val="20"/>
                <w:color w:val="auto"/>
              </w:rPr>
            </w:pPr>
            <w:r>
              <w:rPr>
                <w:rFonts w:ascii="Arial" w:cs="Arial" w:eastAsia="Arial" w:hAnsi="Arial"/>
                <w:sz w:val="14"/>
                <w:szCs w:val="14"/>
                <w:color w:val="auto"/>
                <w:w w:val="85"/>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Six months ended June 30, 2012</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Pre-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5"/>
              </w:rPr>
              <w:t>Post-</w:t>
            </w:r>
          </w:p>
        </w:tc>
        <w:tc>
          <w:tcPr>
            <w:tcW w:w="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investment</w:t>
            </w:r>
          </w:p>
        </w:tc>
        <w:tc>
          <w:tcPr>
            <w:tcW w:w="1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53"/>
        </w:trPr>
        <w:tc>
          <w:tcPr>
            <w:tcW w:w="6700" w:type="dxa"/>
            <w:vAlign w:val="bottom"/>
            <w:gridSpan w:val="2"/>
            <w:vMerge w:val="continue"/>
          </w:tcPr>
          <w:p>
            <w:pPr>
              <w:spacing w:after="0"/>
              <w:rPr>
                <w:sz w:val="13"/>
                <w:szCs w:val="13"/>
                <w:color w:val="auto"/>
              </w:rPr>
            </w:pPr>
          </w:p>
        </w:tc>
        <w:tc>
          <w:tcPr>
            <w:tcW w:w="840" w:type="dxa"/>
            <w:vAlign w:val="bottom"/>
            <w:gridSpan w:val="2"/>
          </w:tcPr>
          <w:p>
            <w:pPr>
              <w:spacing w:after="0" w:line="146" w:lineRule="exact"/>
              <w:rPr>
                <w:sz w:val="20"/>
                <w:szCs w:val="20"/>
                <w:color w:val="auto"/>
              </w:rPr>
            </w:pPr>
            <w:r>
              <w:rPr>
                <w:rFonts w:ascii="Arial" w:cs="Arial" w:eastAsia="Arial" w:hAnsi="Arial"/>
                <w:sz w:val="14"/>
                <w:szCs w:val="14"/>
                <w:color w:val="auto"/>
              </w:rPr>
              <w:t>Number</w:t>
            </w:r>
          </w:p>
        </w:tc>
        <w:tc>
          <w:tcPr>
            <w:tcW w:w="700" w:type="dxa"/>
            <w:vAlign w:val="bottom"/>
            <w:gridSpan w:val="2"/>
          </w:tcPr>
          <w:p>
            <w:pPr>
              <w:ind w:left="20"/>
              <w:spacing w:after="0" w:line="146" w:lineRule="exact"/>
              <w:rPr>
                <w:sz w:val="20"/>
                <w:szCs w:val="20"/>
                <w:color w:val="auto"/>
              </w:rPr>
            </w:pPr>
            <w:r>
              <w:rPr>
                <w:rFonts w:ascii="Arial" w:cs="Arial" w:eastAsia="Arial" w:hAnsi="Arial"/>
                <w:sz w:val="14"/>
                <w:szCs w:val="14"/>
                <w:color w:val="auto"/>
                <w:w w:val="88"/>
              </w:rPr>
              <w:t>modification</w:t>
            </w:r>
          </w:p>
        </w:tc>
        <w:tc>
          <w:tcPr>
            <w:tcW w:w="420" w:type="dxa"/>
            <w:vAlign w:val="bottom"/>
          </w:tcPr>
          <w:p>
            <w:pPr>
              <w:spacing w:after="0"/>
              <w:rPr>
                <w:sz w:val="13"/>
                <w:szCs w:val="13"/>
                <w:color w:val="auto"/>
              </w:rPr>
            </w:pPr>
          </w:p>
        </w:tc>
        <w:tc>
          <w:tcPr>
            <w:tcW w:w="102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80" w:type="dxa"/>
            <w:vAlign w:val="bottom"/>
          </w:tcPr>
          <w:p>
            <w:pPr>
              <w:spacing w:after="0"/>
              <w:rPr>
                <w:sz w:val="13"/>
                <w:szCs w:val="13"/>
                <w:color w:val="auto"/>
              </w:rPr>
            </w:pPr>
          </w:p>
        </w:tc>
        <w:tc>
          <w:tcPr>
            <w:tcW w:w="82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1860" w:type="dxa"/>
            <w:vAlign w:val="bottom"/>
            <w:tcBorders>
              <w:top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ind w:left="19"/>
              <w:spacing w:after="0" w:line="149" w:lineRule="exact"/>
              <w:rPr>
                <w:sz w:val="20"/>
                <w:szCs w:val="20"/>
                <w:color w:val="auto"/>
              </w:rPr>
            </w:pPr>
            <w:r>
              <w:rPr>
                <w:rFonts w:ascii="Arial" w:cs="Arial" w:eastAsia="Arial" w:hAnsi="Arial"/>
                <w:sz w:val="14"/>
                <w:szCs w:val="14"/>
                <w:color w:val="auto"/>
                <w:w w:val="88"/>
              </w:rPr>
              <w:t>(dollars 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13,204</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12,015</w:t>
            </w:r>
          </w:p>
        </w:tc>
        <w:tc>
          <w:tcPr>
            <w:tcW w:w="3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(1,189)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Commercial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2,726</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60,898</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2,675</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Residential Alt-A</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2,937</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Home equity lines and loans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Automobile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829</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116,312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115,155</w:t>
            </w:r>
          </w:p>
        </w:tc>
        <w:tc>
          <w:tcPr>
            <w:tcW w:w="32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(1,157)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(1,193)</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65"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2013 and 2012 and for which there was a subsequent payment default during the six-month periods ended June 30, 2013 and 2012 were $24 million (largely commercial real estate loans) and $11 million (largely residential builder and developer loans),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M&amp;T had $1.2 billion of fixed and floating rate junior subordinated deferrable interest debentures (“Junior Subordinated Debentures”) outstanding at June 30, 2013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16"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Under the Federal Reserve Board’s current risk-based capital guidelines, the Capital Securities are includable in M&amp;T’s Tier 1 capital. However, in July 2013, the Federal Reserve Board, the Office of the Comptroller of the Currency and the Federal Deposit Insurance Corporation issued a final rule to comprehensively revise the capital framework for the U.S. banking sector. Under that rule, trust preferred capital securities will be phased out from inclusion in Tier 1 capital such that in 2015 only 25% of then-outstanding securities will be included in Tier 1 capital and beginning in 2016 none of the securities will be included in Tier 1 capital.</w:t>
      </w:r>
    </w:p>
    <w:p>
      <w:pPr>
        <w:spacing w:after="0" w:line="14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23"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44"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During the first quarter of 2013, M&amp;T Bank finalized a Bank Note Program whereby M&amp;T Bank may offer up to $5 billion of unsecured senior and subordinated notes, which will mature 270 days or more from their date of issue. During March 2013, three-year floating rate senior notes due March 2016 were issued for $300 million and five-year 1.45% fixed rate senior notes due March 2018 were issued for $500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164"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Also included in long-term borrowings are agreements to repurchase securities of $1.4 billion at each of June 30, 2013 and December 31, 2012. The agreements are subject to legally enforceable master netting arrangements, however the Company has not offset any amounts related to these agreements in its consolidated financial statements. The Company posted collateral of $1.6 billion at each of June 30, 2013 and December 31, 2012.</w:t>
      </w:r>
    </w:p>
    <w:p>
      <w:pPr>
        <w:spacing w:after="0" w:line="2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940" w:type="dxa"/>
            <w:vAlign w:val="bottom"/>
          </w:tcPr>
          <w:p>
            <w:pPr>
              <w:jc w:val="center"/>
              <w:ind w:right="222"/>
              <w:spacing w:after="0"/>
              <w:rPr>
                <w:sz w:val="20"/>
                <w:szCs w:val="20"/>
                <w:color w:val="auto"/>
              </w:rPr>
            </w:pPr>
            <w:r>
              <w:rPr>
                <w:rFonts w:ascii="Arial" w:cs="Arial" w:eastAsia="Arial" w:hAnsi="Arial"/>
                <w:sz w:val="14"/>
                <w:szCs w:val="14"/>
                <w:color w:val="auto"/>
                <w:w w:val="81"/>
              </w:rPr>
              <w:t>Shares</w:t>
            </w:r>
          </w:p>
        </w:tc>
        <w:tc>
          <w:tcPr>
            <w:tcW w:w="1560" w:type="dxa"/>
            <w:vAlign w:val="bottom"/>
          </w:tcPr>
          <w:p>
            <w:pPr>
              <w:jc w:val="center"/>
              <w:ind w:right="164"/>
              <w:spacing w:after="0"/>
              <w:rPr>
                <w:sz w:val="20"/>
                <w:szCs w:val="20"/>
                <w:color w:val="auto"/>
              </w:rPr>
            </w:pPr>
            <w:r>
              <w:rPr>
                <w:rFonts w:ascii="Arial" w:cs="Arial" w:eastAsia="Arial" w:hAnsi="Arial"/>
                <w:sz w:val="14"/>
                <w:szCs w:val="14"/>
                <w:color w:val="auto"/>
                <w:w w:val="90"/>
              </w:rPr>
              <w:t>Carrying</w:t>
            </w:r>
          </w:p>
        </w:tc>
        <w:tc>
          <w:tcPr>
            <w:tcW w:w="2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Carrying</w:t>
            </w:r>
          </w:p>
        </w:tc>
      </w:tr>
      <w:tr>
        <w:trPr>
          <w:trHeight w:val="149"/>
        </w:trPr>
        <w:tc>
          <w:tcPr>
            <w:tcW w:w="5840" w:type="dxa"/>
            <w:vAlign w:val="bottom"/>
          </w:tcPr>
          <w:p>
            <w:pPr>
              <w:spacing w:after="0"/>
              <w:rPr>
                <w:sz w:val="12"/>
                <w:szCs w:val="12"/>
                <w:color w:val="auto"/>
              </w:rPr>
            </w:pPr>
          </w:p>
        </w:tc>
        <w:tc>
          <w:tcPr>
            <w:tcW w:w="940" w:type="dxa"/>
            <w:vAlign w:val="bottom"/>
          </w:tcPr>
          <w:p>
            <w:pPr>
              <w:jc w:val="center"/>
              <w:ind w:right="222"/>
              <w:spacing w:after="0" w:line="149" w:lineRule="exact"/>
              <w:rPr>
                <w:sz w:val="20"/>
                <w:szCs w:val="20"/>
                <w:color w:val="auto"/>
              </w:rPr>
            </w:pPr>
            <w:r>
              <w:rPr>
                <w:rFonts w:ascii="Arial" w:cs="Arial" w:eastAsia="Arial" w:hAnsi="Arial"/>
                <w:sz w:val="14"/>
                <w:szCs w:val="14"/>
                <w:color w:val="auto"/>
                <w:w w:val="82"/>
              </w:rPr>
              <w:t>issued and</w:t>
            </w:r>
          </w:p>
        </w:tc>
        <w:tc>
          <w:tcPr>
            <w:tcW w:w="1560" w:type="dxa"/>
            <w:vAlign w:val="bottom"/>
          </w:tcPr>
          <w:p>
            <w:pPr>
              <w:jc w:val="center"/>
              <w:ind w:right="144"/>
              <w:spacing w:after="0" w:line="149" w:lineRule="exact"/>
              <w:rPr>
                <w:sz w:val="20"/>
                <w:szCs w:val="20"/>
                <w:color w:val="auto"/>
              </w:rPr>
            </w:pPr>
            <w:r>
              <w:rPr>
                <w:rFonts w:ascii="Arial" w:cs="Arial" w:eastAsia="Arial" w:hAnsi="Arial"/>
                <w:sz w:val="14"/>
                <w:szCs w:val="14"/>
                <w:color w:val="auto"/>
                <w:w w:val="89"/>
              </w:rPr>
              <w:t>value</w:t>
            </w:r>
          </w:p>
        </w:tc>
        <w:tc>
          <w:tcPr>
            <w:tcW w:w="28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value</w:t>
            </w:r>
          </w:p>
        </w:tc>
      </w:tr>
      <w:tr>
        <w:trPr>
          <w:trHeight w:val="159"/>
        </w:trPr>
        <w:tc>
          <w:tcPr>
            <w:tcW w:w="5840" w:type="dxa"/>
            <w:vAlign w:val="bottom"/>
          </w:tcPr>
          <w:p>
            <w:pPr>
              <w:spacing w:after="0"/>
              <w:rPr>
                <w:sz w:val="13"/>
                <w:szCs w:val="13"/>
                <w:color w:val="auto"/>
              </w:rPr>
            </w:pPr>
          </w:p>
        </w:tc>
        <w:tc>
          <w:tcPr>
            <w:tcW w:w="940" w:type="dxa"/>
            <w:vAlign w:val="bottom"/>
          </w:tcPr>
          <w:p>
            <w:pPr>
              <w:jc w:val="center"/>
              <w:ind w:right="222"/>
              <w:spacing w:after="0" w:line="159" w:lineRule="exact"/>
              <w:rPr>
                <w:sz w:val="20"/>
                <w:szCs w:val="20"/>
                <w:color w:val="auto"/>
              </w:rPr>
            </w:pPr>
            <w:r>
              <w:rPr>
                <w:rFonts w:ascii="Arial" w:cs="Arial" w:eastAsia="Arial" w:hAnsi="Arial"/>
                <w:sz w:val="14"/>
                <w:szCs w:val="14"/>
                <w:color w:val="auto"/>
                <w:w w:val="88"/>
              </w:rPr>
              <w:t>outstanding</w:t>
            </w:r>
          </w:p>
        </w:tc>
        <w:tc>
          <w:tcPr>
            <w:tcW w:w="1560" w:type="dxa"/>
            <w:vAlign w:val="bottom"/>
          </w:tcPr>
          <w:p>
            <w:pPr>
              <w:jc w:val="center"/>
              <w:ind w:right="144"/>
              <w:spacing w:after="0" w:line="159" w:lineRule="exact"/>
              <w:rPr>
                <w:sz w:val="20"/>
                <w:szCs w:val="20"/>
                <w:color w:val="auto"/>
              </w:rPr>
            </w:pPr>
            <w:r>
              <w:rPr>
                <w:rFonts w:ascii="Arial" w:cs="Arial" w:eastAsia="Arial" w:hAnsi="Arial"/>
                <w:sz w:val="14"/>
                <w:szCs w:val="14"/>
                <w:color w:val="auto"/>
                <w:w w:val="83"/>
              </w:rPr>
              <w:t>June 30, 2013</w:t>
            </w:r>
          </w:p>
        </w:tc>
        <w:tc>
          <w:tcPr>
            <w:tcW w:w="12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w w:val="91"/>
              </w:rPr>
              <w:t>December 31, 2012</w:t>
            </w:r>
          </w:p>
        </w:tc>
      </w:tr>
      <w:tr>
        <w:trPr>
          <w:trHeight w:val="142"/>
        </w:trPr>
        <w:tc>
          <w:tcPr>
            <w:tcW w:w="58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(dollars in thousands)</w:t>
            </w: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840" w:type="dxa"/>
            <w:vAlign w:val="bottom"/>
          </w:tcPr>
          <w:p>
            <w:pPr>
              <w:spacing w:after="0"/>
              <w:rPr>
                <w:sz w:val="20"/>
                <w:szCs w:val="20"/>
                <w:color w:val="auto"/>
              </w:rPr>
            </w:pPr>
            <w:r>
              <w:rPr>
                <w:rFonts w:ascii="Arial" w:cs="Arial" w:eastAsia="Arial" w:hAnsi="Arial"/>
                <w:sz w:val="18"/>
                <w:szCs w:val="18"/>
                <w:color w:val="auto"/>
              </w:rPr>
              <w:t>Fixed Rate Cumulative Perpetual Preferred Stock, Series A, $1,000</w:t>
            </w: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840" w:type="dxa"/>
            <w:vAlign w:val="bottom"/>
          </w:tcPr>
          <w:p>
            <w:pPr>
              <w:ind w:left="220"/>
              <w:spacing w:after="0"/>
              <w:rPr>
                <w:sz w:val="20"/>
                <w:szCs w:val="20"/>
                <w:color w:val="auto"/>
              </w:rPr>
            </w:pPr>
            <w:r>
              <w:rPr>
                <w:rFonts w:ascii="Arial" w:cs="Arial" w:eastAsia="Arial" w:hAnsi="Arial"/>
                <w:sz w:val="18"/>
                <w:szCs w:val="18"/>
                <w:color w:val="auto"/>
              </w:rPr>
              <w:t>liquidation preference per share</w:t>
            </w:r>
          </w:p>
        </w:tc>
        <w:tc>
          <w:tcPr>
            <w:tcW w:w="940" w:type="dxa"/>
            <w:vAlign w:val="bottom"/>
          </w:tcPr>
          <w:p>
            <w:pPr>
              <w:jc w:val="right"/>
              <w:ind w:right="222"/>
              <w:spacing w:after="0"/>
              <w:rPr>
                <w:sz w:val="20"/>
                <w:szCs w:val="20"/>
                <w:color w:val="auto"/>
              </w:rPr>
            </w:pPr>
            <w:r>
              <w:rPr>
                <w:rFonts w:ascii="Arial" w:cs="Arial" w:eastAsia="Arial" w:hAnsi="Arial"/>
                <w:sz w:val="18"/>
                <w:szCs w:val="18"/>
                <w:color w:val="auto"/>
                <w:w w:val="95"/>
              </w:rPr>
              <w:t>230,000</w:t>
            </w:r>
          </w:p>
        </w:tc>
        <w:tc>
          <w:tcPr>
            <w:tcW w:w="1560" w:type="dxa"/>
            <w:vAlign w:val="bottom"/>
          </w:tcPr>
          <w:p>
            <w:pPr>
              <w:jc w:val="right"/>
              <w:ind w:right="444"/>
              <w:spacing w:after="0"/>
              <w:rPr>
                <w:sz w:val="20"/>
                <w:szCs w:val="20"/>
                <w:color w:val="auto"/>
              </w:rPr>
            </w:pPr>
            <w:r>
              <w:rPr>
                <w:rFonts w:ascii="Arial" w:cs="Arial" w:eastAsia="Arial" w:hAnsi="Arial"/>
                <w:sz w:val="18"/>
                <w:szCs w:val="18"/>
                <w:color w:val="auto"/>
              </w:rPr>
              <w:t>$ 228,467</w:t>
            </w:r>
          </w:p>
        </w:tc>
        <w:tc>
          <w:tcPr>
            <w:tcW w:w="2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226,965</w:t>
            </w:r>
          </w:p>
        </w:tc>
        <w:tc>
          <w:tcPr>
            <w:tcW w:w="100" w:type="dxa"/>
            <w:vAlign w:val="bottom"/>
          </w:tcPr>
          <w:p>
            <w:pPr>
              <w:spacing w:after="0"/>
              <w:rPr>
                <w:sz w:val="19"/>
                <w:szCs w:val="19"/>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Series C (a)(b)</w:t>
            </w: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840" w:type="dxa"/>
            <w:vAlign w:val="bottom"/>
          </w:tcPr>
          <w:p>
            <w:pPr>
              <w:spacing w:after="0"/>
              <w:rPr>
                <w:sz w:val="20"/>
                <w:szCs w:val="20"/>
                <w:color w:val="auto"/>
              </w:rPr>
            </w:pPr>
            <w:r>
              <w:rPr>
                <w:rFonts w:ascii="Arial" w:cs="Arial" w:eastAsia="Arial" w:hAnsi="Arial"/>
                <w:sz w:val="18"/>
                <w:szCs w:val="18"/>
                <w:color w:val="auto"/>
              </w:rPr>
              <w:t>Fixed Rate Cumulative Perpetual Preferred Stock, Series C, $1,000</w:t>
            </w: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840" w:type="dxa"/>
            <w:vAlign w:val="bottom"/>
          </w:tcPr>
          <w:p>
            <w:pPr>
              <w:ind w:left="220"/>
              <w:spacing w:after="0"/>
              <w:rPr>
                <w:sz w:val="20"/>
                <w:szCs w:val="20"/>
                <w:color w:val="auto"/>
              </w:rPr>
            </w:pPr>
            <w:r>
              <w:rPr>
                <w:rFonts w:ascii="Arial" w:cs="Arial" w:eastAsia="Arial" w:hAnsi="Arial"/>
                <w:sz w:val="18"/>
                <w:szCs w:val="18"/>
                <w:color w:val="auto"/>
              </w:rPr>
              <w:t>liquidation preference per share</w:t>
            </w:r>
          </w:p>
        </w:tc>
        <w:tc>
          <w:tcPr>
            <w:tcW w:w="940" w:type="dxa"/>
            <w:vAlign w:val="bottom"/>
          </w:tcPr>
          <w:p>
            <w:pPr>
              <w:jc w:val="right"/>
              <w:ind w:right="222"/>
              <w:spacing w:after="0"/>
              <w:rPr>
                <w:sz w:val="20"/>
                <w:szCs w:val="20"/>
                <w:color w:val="auto"/>
              </w:rPr>
            </w:pPr>
            <w:r>
              <w:rPr>
                <w:rFonts w:ascii="Arial" w:cs="Arial" w:eastAsia="Arial" w:hAnsi="Arial"/>
                <w:sz w:val="18"/>
                <w:szCs w:val="18"/>
                <w:color w:val="auto"/>
                <w:w w:val="95"/>
              </w:rPr>
              <w:t>151,500</w:t>
            </w:r>
          </w:p>
        </w:tc>
        <w:tc>
          <w:tcPr>
            <w:tcW w:w="1560" w:type="dxa"/>
            <w:vAlign w:val="bottom"/>
          </w:tcPr>
          <w:p>
            <w:pPr>
              <w:jc w:val="right"/>
              <w:ind w:right="444"/>
              <w:spacing w:after="0"/>
              <w:rPr>
                <w:sz w:val="20"/>
                <w:szCs w:val="20"/>
                <w:color w:val="auto"/>
              </w:rPr>
            </w:pPr>
            <w:r>
              <w:rPr>
                <w:rFonts w:ascii="Arial" w:cs="Arial" w:eastAsia="Arial" w:hAnsi="Arial"/>
                <w:sz w:val="18"/>
                <w:szCs w:val="18"/>
                <w:color w:val="auto"/>
              </w:rPr>
              <w:t>148,329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145,535</w:t>
            </w:r>
          </w:p>
        </w:tc>
        <w:tc>
          <w:tcPr>
            <w:tcW w:w="100" w:type="dxa"/>
            <w:vAlign w:val="bottom"/>
          </w:tcPr>
          <w:p>
            <w:pPr>
              <w:spacing w:after="0"/>
              <w:rPr>
                <w:sz w:val="19"/>
                <w:szCs w:val="19"/>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Series D (c)</w:t>
            </w: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840" w:type="dxa"/>
            <w:vAlign w:val="bottom"/>
          </w:tcPr>
          <w:p>
            <w:pPr>
              <w:spacing w:after="0"/>
              <w:rPr>
                <w:sz w:val="20"/>
                <w:szCs w:val="20"/>
                <w:color w:val="auto"/>
              </w:rPr>
            </w:pPr>
            <w:r>
              <w:rPr>
                <w:rFonts w:ascii="Arial" w:cs="Arial" w:eastAsia="Arial" w:hAnsi="Arial"/>
                <w:sz w:val="18"/>
                <w:szCs w:val="18"/>
                <w:color w:val="auto"/>
                <w:w w:val="99"/>
              </w:rPr>
              <w:t>Fixed Rate Non-Cumulative Perpetual Preferred Stock, Series D, $10,000</w:t>
            </w: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840" w:type="dxa"/>
            <w:vAlign w:val="bottom"/>
          </w:tcPr>
          <w:p>
            <w:pPr>
              <w:ind w:left="220"/>
              <w:spacing w:after="0"/>
              <w:rPr>
                <w:sz w:val="20"/>
                <w:szCs w:val="20"/>
                <w:color w:val="auto"/>
              </w:rPr>
            </w:pPr>
            <w:r>
              <w:rPr>
                <w:rFonts w:ascii="Arial" w:cs="Arial" w:eastAsia="Arial" w:hAnsi="Arial"/>
                <w:sz w:val="18"/>
                <w:szCs w:val="18"/>
                <w:color w:val="auto"/>
              </w:rPr>
              <w:t>liquidation preference per share</w:t>
            </w:r>
          </w:p>
        </w:tc>
        <w:tc>
          <w:tcPr>
            <w:tcW w:w="940" w:type="dxa"/>
            <w:vAlign w:val="bottom"/>
          </w:tcPr>
          <w:p>
            <w:pPr>
              <w:jc w:val="right"/>
              <w:ind w:right="222"/>
              <w:spacing w:after="0"/>
              <w:rPr>
                <w:sz w:val="20"/>
                <w:szCs w:val="20"/>
                <w:color w:val="auto"/>
              </w:rPr>
            </w:pPr>
            <w:r>
              <w:rPr>
                <w:rFonts w:ascii="Arial" w:cs="Arial" w:eastAsia="Arial" w:hAnsi="Arial"/>
                <w:sz w:val="18"/>
                <w:szCs w:val="18"/>
                <w:color w:val="auto"/>
              </w:rPr>
              <w:t>50,000</w:t>
            </w:r>
          </w:p>
        </w:tc>
        <w:tc>
          <w:tcPr>
            <w:tcW w:w="1560" w:type="dxa"/>
            <w:vAlign w:val="bottom"/>
          </w:tcPr>
          <w:p>
            <w:pPr>
              <w:jc w:val="right"/>
              <w:ind w:right="444"/>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r>
    </w:tbl>
    <w:p>
      <w:pPr>
        <w:spacing w:after="0" w:line="196" w:lineRule="exact"/>
        <w:rPr>
          <w:sz w:val="20"/>
          <w:szCs w:val="20"/>
          <w:color w:val="auto"/>
        </w:rPr>
      </w:pPr>
    </w:p>
    <w:p>
      <w:pPr>
        <w:ind w:left="460" w:hanging="452"/>
        <w:spacing w:after="0" w:line="301" w:lineRule="auto"/>
        <w:tabs>
          <w:tab w:leader="none" w:pos="460" w:val="left"/>
        </w:tabs>
        <w:numPr>
          <w:ilvl w:val="0"/>
          <w:numId w:val="33"/>
        </w:numPr>
        <w:rPr>
          <w:rFonts w:ascii="Arial" w:cs="Arial" w:eastAsia="Arial" w:hAnsi="Arial"/>
          <w:sz w:val="15"/>
          <w:szCs w:val="15"/>
          <w:i w:val="1"/>
          <w:iCs w:val="1"/>
          <w:color w:val="auto"/>
        </w:rPr>
      </w:pPr>
      <w:r>
        <w:rPr>
          <w:rFonts w:ascii="Arial" w:cs="Arial" w:eastAsia="Arial" w:hAnsi="Arial"/>
          <w:sz w:val="15"/>
          <w:szCs w:val="15"/>
          <w:i w:val="1"/>
          <w:iCs w:val="1"/>
          <w:color w:val="auto"/>
        </w:rPr>
        <w:t>Shares were originally issued as part of the Troubled Asset Relief Program – Capital Purchase Program (“TARP”) of the U.S. Department of Treasury (“U.S. Treasury”). Cash proceeds were allocated between the preferred stock and a ten-year warrant to purchase M&amp;T common stock (Series A – 1,218,522 common shares at $73.86 per share, Series C – 407,542 common shares at $55.76 per share). The U.S. Treasury sold all of the shares of M&amp;T preferred stock that it held in August 2012. In connection with that sale, the terms of the preferred stock were modified such that dividends, if declared, will accrue and be paid quarterly at a rate of 5% per year through November 14, 2013 and at 6.375% thereafter, and that M&amp;T will not redeem the preferred shares until on or after November 15, 2018. In December 2012, the U.S. Treasury sold to other investors the Series A warrants for $26.50 per warrant. In March 2013, the U.S. Treasury exercised the Series C warrants in a “cashless” exercise, resulting in the issuance of 186,589 common shares.</w:t>
      </w:r>
    </w:p>
    <w:p>
      <w:pPr>
        <w:spacing w:after="0" w:line="4" w:lineRule="exact"/>
        <w:rPr>
          <w:rFonts w:ascii="Arial" w:cs="Arial" w:eastAsia="Arial" w:hAnsi="Arial"/>
          <w:sz w:val="15"/>
          <w:szCs w:val="15"/>
          <w:i w:val="1"/>
          <w:iCs w:val="1"/>
          <w:color w:val="auto"/>
        </w:rPr>
      </w:pP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9" w:lineRule="exact"/>
        <w:rPr>
          <w:rFonts w:ascii="Arial" w:cs="Arial" w:eastAsia="Arial" w:hAnsi="Arial"/>
          <w:sz w:val="18"/>
          <w:szCs w:val="18"/>
          <w:i w:val="1"/>
          <w:iCs w:val="1"/>
          <w:color w:val="auto"/>
        </w:rPr>
      </w:pPr>
    </w:p>
    <w:p>
      <w:pPr>
        <w:ind w:left="460" w:hanging="452"/>
        <w:spacing w:after="0" w:line="255" w:lineRule="auto"/>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4"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A warrant expiring on May 16, 2021 providing for the purchase of 95,383 shares of M&amp;T common stock at $518.96 per share was outstanding at June 30, 2013 and December 31, 2012. The obligation under that warrant was assumed by M&amp;T in an acquisition.</w:t>
      </w:r>
    </w:p>
    <w:p>
      <w:pPr>
        <w:spacing w:after="0" w:line="24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5"/>
              </w:rPr>
              <w:t>Other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7"/>
          </w:tcPr>
          <w:p>
            <w:pPr>
              <w:jc w:val="right"/>
              <w:ind w:right="1000"/>
              <w:spacing w:after="0" w:line="149" w:lineRule="exact"/>
              <w:rPr>
                <w:sz w:val="20"/>
                <w:szCs w:val="20"/>
                <w:color w:val="auto"/>
              </w:rPr>
            </w:pPr>
            <w:r>
              <w:rPr>
                <w:rFonts w:ascii="Arial" w:cs="Arial" w:eastAsia="Arial" w:hAnsi="Arial"/>
                <w:sz w:val="14"/>
                <w:szCs w:val="14"/>
                <w:color w:val="auto"/>
                <w:w w:val="90"/>
              </w:rPr>
              <w:t>Pension</w:t>
            </w:r>
          </w:p>
        </w:tc>
        <w:tc>
          <w:tcPr>
            <w:tcW w:w="20" w:type="dxa"/>
            <w:vAlign w:val="bottom"/>
          </w:tcPr>
          <w:p>
            <w:pPr>
              <w:spacing w:after="0"/>
              <w:rPr>
                <w:sz w:val="12"/>
                <w:szCs w:val="12"/>
                <w:color w:val="auto"/>
              </w:rPr>
            </w:pPr>
          </w:p>
        </w:tc>
        <w:tc>
          <w:tcPr>
            <w:tcW w:w="134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87"/>
              </w:rPr>
              <w:t>postretirement</w:t>
            </w:r>
          </w:p>
        </w:tc>
        <w:tc>
          <w:tcPr>
            <w:tcW w:w="0" w:type="dxa"/>
            <w:vAlign w:val="bottom"/>
          </w:tcPr>
          <w:p>
            <w:pPr>
              <w:spacing w:after="0"/>
              <w:rPr>
                <w:sz w:val="1"/>
                <w:szCs w:val="1"/>
                <w:color w:val="auto"/>
              </w:rPr>
            </w:pPr>
          </w:p>
        </w:tc>
      </w:tr>
      <w:tr>
        <w:trPr>
          <w:trHeight w:val="159"/>
        </w:trPr>
        <w:tc>
          <w:tcPr>
            <w:tcW w:w="7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7"/>
          </w:tcPr>
          <w:p>
            <w:pPr>
              <w:jc w:val="right"/>
              <w:ind w:right="1000"/>
              <w:spacing w:after="0" w:line="159" w:lineRule="exact"/>
              <w:rPr>
                <w:sz w:val="20"/>
                <w:szCs w:val="20"/>
                <w:color w:val="auto"/>
              </w:rPr>
            </w:pPr>
            <w:r>
              <w:rPr>
                <w:rFonts w:ascii="Arial" w:cs="Arial" w:eastAsia="Arial" w:hAnsi="Arial"/>
                <w:sz w:val="14"/>
                <w:szCs w:val="14"/>
                <w:color w:val="auto"/>
                <w:w w:val="93"/>
              </w:rPr>
              <w:t>benefits</w:t>
            </w: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benefits</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8"/>
          </w:tcPr>
          <w:p>
            <w:pPr>
              <w:jc w:val="right"/>
              <w:ind w:right="412"/>
              <w:spacing w:after="0" w:line="131" w:lineRule="exact"/>
              <w:rPr>
                <w:sz w:val="20"/>
                <w:szCs w:val="20"/>
                <w:color w:val="auto"/>
              </w:rPr>
            </w:pPr>
            <w:r>
              <w:rPr>
                <w:rFonts w:ascii="Arial" w:cs="Arial" w:eastAsia="Arial" w:hAnsi="Arial"/>
                <w:sz w:val="14"/>
                <w:szCs w:val="14"/>
                <w:color w:val="auto"/>
                <w:w w:val="88"/>
              </w:rPr>
              <w:t>Three months ended June 30</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0"/>
              <w:spacing w:after="0" w:line="159" w:lineRule="exact"/>
              <w:rPr>
                <w:sz w:val="20"/>
                <w:szCs w:val="20"/>
                <w:color w:val="auto"/>
              </w:rPr>
            </w:pPr>
            <w:r>
              <w:rPr>
                <w:rFonts w:ascii="Arial" w:cs="Arial" w:eastAsia="Arial" w:hAnsi="Arial"/>
                <w:sz w:val="14"/>
                <w:szCs w:val="14"/>
                <w:color w:val="auto"/>
              </w:rPr>
              <w:t>2013</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32"/>
              <w:spacing w:after="0" w:line="159" w:lineRule="exact"/>
              <w:rPr>
                <w:sz w:val="20"/>
                <w:szCs w:val="20"/>
                <w:color w:val="auto"/>
              </w:rPr>
            </w:pPr>
            <w:r>
              <w:rPr>
                <w:rFonts w:ascii="Arial" w:cs="Arial" w:eastAsia="Arial" w:hAnsi="Arial"/>
                <w:sz w:val="14"/>
                <w:szCs w:val="14"/>
                <w:color w:val="auto"/>
              </w:rPr>
              <w:t>2012</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6,130</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38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171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14,939</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15,418</w:t>
            </w:r>
          </w:p>
        </w:tc>
        <w:tc>
          <w:tcPr>
            <w:tcW w:w="380" w:type="dxa"/>
            <w:vAlign w:val="bottom"/>
          </w:tcPr>
          <w:p>
            <w:pPr>
              <w:spacing w:after="0"/>
              <w:rPr>
                <w:sz w:val="18"/>
                <w:szCs w:val="18"/>
                <w:color w:val="auto"/>
              </w:rPr>
            </w:pPr>
          </w:p>
        </w:tc>
        <w:tc>
          <w:tcPr>
            <w:tcW w:w="860" w:type="dxa"/>
            <w:vAlign w:val="bottom"/>
            <w:gridSpan w:val="3"/>
          </w:tcPr>
          <w:p>
            <w:pPr>
              <w:jc w:val="right"/>
              <w:ind w:right="392"/>
              <w:spacing w:after="0"/>
              <w:rPr>
                <w:sz w:val="20"/>
                <w:szCs w:val="20"/>
                <w:color w:val="auto"/>
              </w:rPr>
            </w:pPr>
            <w:r>
              <w:rPr>
                <w:rFonts w:ascii="Arial" w:cs="Arial" w:eastAsia="Arial" w:hAnsi="Arial"/>
                <w:sz w:val="18"/>
                <w:szCs w:val="18"/>
                <w:color w:val="auto"/>
              </w:rPr>
              <w:t>670</w:t>
            </w:r>
          </w:p>
        </w:tc>
        <w:tc>
          <w:tcPr>
            <w:tcW w:w="40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(21,802)</w:t>
            </w:r>
          </w:p>
        </w:tc>
        <w:tc>
          <w:tcPr>
            <w:tcW w:w="126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(17,581)</w:t>
            </w: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(1,628)</w:t>
            </w:r>
          </w:p>
        </w:tc>
        <w:tc>
          <w:tcPr>
            <w:tcW w:w="1260" w:type="dxa"/>
            <w:vAlign w:val="bottom"/>
            <w:gridSpan w:val="5"/>
          </w:tcPr>
          <w:p>
            <w:pPr>
              <w:jc w:val="right"/>
              <w:ind w:right="320"/>
              <w:spacing w:after="0"/>
              <w:rPr>
                <w:sz w:val="20"/>
                <w:szCs w:val="20"/>
                <w:color w:val="auto"/>
              </w:rPr>
            </w:pPr>
            <w:r>
              <w:rPr>
                <w:rFonts w:ascii="Arial" w:cs="Arial" w:eastAsia="Arial" w:hAnsi="Arial"/>
                <w:sz w:val="18"/>
                <w:szCs w:val="18"/>
                <w:color w:val="auto"/>
              </w:rPr>
              <w:t>(1,629)</w:t>
            </w:r>
          </w:p>
        </w:tc>
        <w:tc>
          <w:tcPr>
            <w:tcW w:w="860" w:type="dxa"/>
            <w:vAlign w:val="bottom"/>
            <w:gridSpan w:val="3"/>
          </w:tcPr>
          <w:p>
            <w:pPr>
              <w:jc w:val="right"/>
              <w:ind w:right="332"/>
              <w:spacing w:after="0"/>
              <w:rPr>
                <w:sz w:val="20"/>
                <w:szCs w:val="20"/>
                <w:color w:val="auto"/>
              </w:rPr>
            </w:pPr>
            <w:r>
              <w:rPr>
                <w:rFonts w:ascii="Arial" w:cs="Arial" w:eastAsia="Arial" w:hAnsi="Arial"/>
                <w:sz w:val="18"/>
                <w:szCs w:val="18"/>
                <w:color w:val="auto"/>
              </w:rPr>
              <w:t>(329)</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10,138</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38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Net periodic benefit cost</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7,777</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12,266</w:t>
            </w:r>
          </w:p>
        </w:tc>
        <w:tc>
          <w:tcPr>
            <w:tcW w:w="380" w:type="dxa"/>
            <w:vAlign w:val="bottom"/>
          </w:tcPr>
          <w:p>
            <w:pPr>
              <w:spacing w:after="0"/>
              <w:rPr>
                <w:sz w:val="19"/>
                <w:szCs w:val="19"/>
                <w:color w:val="auto"/>
              </w:rPr>
            </w:pPr>
          </w:p>
        </w:tc>
        <w:tc>
          <w:tcPr>
            <w:tcW w:w="860" w:type="dxa"/>
            <w:vAlign w:val="bottom"/>
            <w:gridSpan w:val="3"/>
          </w:tcPr>
          <w:p>
            <w:pPr>
              <w:jc w:val="right"/>
              <w:ind w:right="392"/>
              <w:spacing w:after="0"/>
              <w:rPr>
                <w:sz w:val="20"/>
                <w:szCs w:val="20"/>
                <w:color w:val="auto"/>
              </w:rPr>
            </w:pPr>
            <w:r>
              <w:rPr>
                <w:rFonts w:ascii="Arial" w:cs="Arial" w:eastAsia="Arial" w:hAnsi="Arial"/>
                <w:sz w:val="18"/>
                <w:szCs w:val="18"/>
                <w:color w:val="auto"/>
              </w:rPr>
              <w:t>592</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7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5"/>
              </w:rPr>
              <w:t>Other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8"/>
          </w:tcPr>
          <w:p>
            <w:pPr>
              <w:jc w:val="right"/>
              <w:ind w:right="1080"/>
              <w:spacing w:after="0" w:line="149" w:lineRule="exact"/>
              <w:rPr>
                <w:sz w:val="20"/>
                <w:szCs w:val="20"/>
                <w:color w:val="auto"/>
              </w:rPr>
            </w:pPr>
            <w:r>
              <w:rPr>
                <w:rFonts w:ascii="Arial" w:cs="Arial" w:eastAsia="Arial" w:hAnsi="Arial"/>
                <w:sz w:val="14"/>
                <w:szCs w:val="14"/>
                <w:color w:val="auto"/>
              </w:rPr>
              <w:t>Pension</w:t>
            </w:r>
          </w:p>
        </w:tc>
        <w:tc>
          <w:tcPr>
            <w:tcW w:w="20" w:type="dxa"/>
            <w:vAlign w:val="bottom"/>
          </w:tcPr>
          <w:p>
            <w:pPr>
              <w:spacing w:after="0"/>
              <w:rPr>
                <w:sz w:val="12"/>
                <w:szCs w:val="12"/>
                <w:color w:val="auto"/>
              </w:rPr>
            </w:pPr>
          </w:p>
        </w:tc>
        <w:tc>
          <w:tcPr>
            <w:tcW w:w="134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87"/>
              </w:rPr>
              <w:t>postretirement</w:t>
            </w:r>
          </w:p>
        </w:tc>
        <w:tc>
          <w:tcPr>
            <w:tcW w:w="0" w:type="dxa"/>
            <w:vAlign w:val="bottom"/>
          </w:tcPr>
          <w:p>
            <w:pPr>
              <w:spacing w:after="0"/>
              <w:rPr>
                <w:sz w:val="1"/>
                <w:szCs w:val="1"/>
                <w:color w:val="auto"/>
              </w:rPr>
            </w:pPr>
          </w:p>
        </w:tc>
      </w:tr>
      <w:tr>
        <w:trPr>
          <w:trHeight w:val="159"/>
        </w:trPr>
        <w:tc>
          <w:tcPr>
            <w:tcW w:w="7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8"/>
          </w:tcPr>
          <w:p>
            <w:pPr>
              <w:jc w:val="right"/>
              <w:ind w:right="1080"/>
              <w:spacing w:after="0" w:line="159" w:lineRule="exact"/>
              <w:rPr>
                <w:sz w:val="20"/>
                <w:szCs w:val="20"/>
                <w:color w:val="auto"/>
              </w:rPr>
            </w:pPr>
            <w:r>
              <w:rPr>
                <w:rFonts w:ascii="Arial" w:cs="Arial" w:eastAsia="Arial" w:hAnsi="Arial"/>
                <w:sz w:val="14"/>
                <w:szCs w:val="14"/>
                <w:color w:val="auto"/>
              </w:rPr>
              <w:t>benefits</w:t>
            </w: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left="264"/>
              <w:spacing w:after="0" w:line="159" w:lineRule="exact"/>
              <w:rPr>
                <w:sz w:val="20"/>
                <w:szCs w:val="20"/>
                <w:color w:val="auto"/>
              </w:rPr>
            </w:pPr>
            <w:r>
              <w:rPr>
                <w:rFonts w:ascii="Arial" w:cs="Arial" w:eastAsia="Arial" w:hAnsi="Arial"/>
                <w:sz w:val="14"/>
                <w:szCs w:val="14"/>
                <w:color w:val="auto"/>
                <w:w w:val="85"/>
              </w:rPr>
              <w:t>benefits</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8"/>
          </w:tcPr>
          <w:p>
            <w:pPr>
              <w:jc w:val="right"/>
              <w:ind w:right="512"/>
              <w:spacing w:after="0" w:line="131" w:lineRule="exact"/>
              <w:rPr>
                <w:sz w:val="20"/>
                <w:szCs w:val="20"/>
                <w:color w:val="auto"/>
              </w:rPr>
            </w:pPr>
            <w:r>
              <w:rPr>
                <w:rFonts w:ascii="Arial" w:cs="Arial" w:eastAsia="Arial" w:hAnsi="Arial"/>
                <w:sz w:val="14"/>
                <w:szCs w:val="14"/>
                <w:color w:val="auto"/>
                <w:w w:val="91"/>
              </w:rPr>
              <w:t>Six months ended June 30</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00"/>
              <w:spacing w:after="0" w:line="159" w:lineRule="exact"/>
              <w:rPr>
                <w:sz w:val="20"/>
                <w:szCs w:val="20"/>
                <w:color w:val="auto"/>
              </w:rPr>
            </w:pPr>
            <w:r>
              <w:rPr>
                <w:rFonts w:ascii="Arial" w:cs="Arial" w:eastAsia="Arial" w:hAnsi="Arial"/>
                <w:sz w:val="14"/>
                <w:szCs w:val="14"/>
                <w:color w:val="auto"/>
                <w:w w:val="83"/>
              </w:rPr>
              <w:t>2013</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112"/>
              <w:spacing w:after="0" w:line="159" w:lineRule="exact"/>
              <w:rPr>
                <w:sz w:val="20"/>
                <w:szCs w:val="20"/>
                <w:color w:val="auto"/>
              </w:rPr>
            </w:pPr>
            <w:r>
              <w:rPr>
                <w:rFonts w:ascii="Arial" w:cs="Arial" w:eastAsia="Arial" w:hAnsi="Arial"/>
                <w:sz w:val="14"/>
                <w:szCs w:val="14"/>
                <w:color w:val="auto"/>
              </w:rPr>
              <w:t>2012</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24"/>
              <w:spacing w:after="0" w:line="159" w:lineRule="exact"/>
              <w:rPr>
                <w:sz w:val="20"/>
                <w:szCs w:val="20"/>
                <w:color w:val="auto"/>
              </w:rPr>
            </w:pPr>
            <w:r>
              <w:rPr>
                <w:rFonts w:ascii="Arial" w:cs="Arial" w:eastAsia="Arial" w:hAnsi="Arial"/>
                <w:sz w:val="14"/>
                <w:szCs w:val="14"/>
                <w:color w:val="auto"/>
                <w:w w:val="89"/>
              </w:rPr>
              <w:t>2013</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$ 12,180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14,775</w:t>
            </w:r>
          </w:p>
        </w:tc>
        <w:tc>
          <w:tcPr>
            <w:tcW w:w="38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371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30,065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31,018</w:t>
            </w:r>
          </w:p>
        </w:tc>
        <w:tc>
          <w:tcPr>
            <w:tcW w:w="380" w:type="dxa"/>
            <w:vAlign w:val="bottom"/>
          </w:tcPr>
          <w:p>
            <w:pPr>
              <w:spacing w:after="0"/>
              <w:rPr>
                <w:sz w:val="18"/>
                <w:szCs w:val="18"/>
                <w:color w:val="auto"/>
              </w:rPr>
            </w:pPr>
          </w:p>
        </w:tc>
        <w:tc>
          <w:tcPr>
            <w:tcW w:w="860" w:type="dxa"/>
            <w:vAlign w:val="bottom"/>
            <w:gridSpan w:val="3"/>
          </w:tcPr>
          <w:p>
            <w:pPr>
              <w:jc w:val="right"/>
              <w:ind w:right="392"/>
              <w:spacing w:after="0"/>
              <w:rPr>
                <w:sz w:val="20"/>
                <w:szCs w:val="20"/>
                <w:color w:val="auto"/>
              </w:rPr>
            </w:pPr>
            <w:r>
              <w:rPr>
                <w:rFonts w:ascii="Arial" w:cs="Arial" w:eastAsia="Arial" w:hAnsi="Arial"/>
                <w:sz w:val="18"/>
                <w:szCs w:val="18"/>
                <w:color w:val="auto"/>
                <w:w w:val="84"/>
              </w:rPr>
              <w:t>1,345</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(43,677)</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(35,256)</w:t>
            </w:r>
          </w:p>
        </w:tc>
        <w:tc>
          <w:tcPr>
            <w:tcW w:w="3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7"/>
              </w:rPr>
              <w:t>(3,278)</w:t>
            </w:r>
          </w:p>
        </w:tc>
        <w:tc>
          <w:tcPr>
            <w:tcW w:w="14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(3,279)</w:t>
            </w:r>
          </w:p>
        </w:tc>
        <w:tc>
          <w:tcPr>
            <w:tcW w:w="380" w:type="dxa"/>
            <w:vAlign w:val="bottom"/>
          </w:tcPr>
          <w:p>
            <w:pPr>
              <w:spacing w:after="0"/>
              <w:rPr>
                <w:sz w:val="18"/>
                <w:szCs w:val="18"/>
                <w:color w:val="auto"/>
              </w:rPr>
            </w:pPr>
          </w:p>
        </w:tc>
        <w:tc>
          <w:tcPr>
            <w:tcW w:w="860" w:type="dxa"/>
            <w:vAlign w:val="bottom"/>
            <w:gridSpan w:val="3"/>
          </w:tcPr>
          <w:p>
            <w:pPr>
              <w:jc w:val="right"/>
              <w:ind w:right="332"/>
              <w:spacing w:after="0"/>
              <w:rPr>
                <w:sz w:val="20"/>
                <w:szCs w:val="20"/>
                <w:color w:val="auto"/>
              </w:rPr>
            </w:pPr>
            <w:r>
              <w:rPr>
                <w:rFonts w:ascii="Arial" w:cs="Arial" w:eastAsia="Arial" w:hAnsi="Arial"/>
                <w:sz w:val="18"/>
                <w:szCs w:val="18"/>
                <w:color w:val="auto"/>
              </w:rPr>
              <w:t>(679)</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Net periodic benefit cost</w:t>
            </w:r>
          </w:p>
        </w:tc>
        <w:tc>
          <w:tcPr>
            <w:tcW w:w="6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8"/>
              </w:rPr>
              <w:t>$ 15,828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25,841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3"/>
          </w:tcPr>
          <w:p>
            <w:pPr>
              <w:jc w:val="right"/>
              <w:ind w:right="392"/>
              <w:spacing w:after="0"/>
              <w:rPr>
                <w:sz w:val="20"/>
                <w:szCs w:val="20"/>
                <w:color w:val="auto"/>
              </w:rPr>
            </w:pPr>
            <w:r>
              <w:rPr>
                <w:rFonts w:ascii="Arial" w:cs="Arial" w:eastAsia="Arial" w:hAnsi="Arial"/>
                <w:sz w:val="18"/>
                <w:szCs w:val="18"/>
                <w:color w:val="auto"/>
                <w:w w:val="84"/>
              </w:rPr>
              <w:t>1,217</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$12,563,000 and $11,390,000 for the three months ended June 30, 2013 and 2012, respectively, and $28,318,000 and $26,015,000 for the six months ended June 30, 2013 and 2012,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4"/>
                <w:szCs w:val="14"/>
                <w:color w:val="auto"/>
                <w:w w:val="85"/>
              </w:rPr>
              <w:t>Three months ended June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240"/>
              <w:spacing w:after="0"/>
              <w:rPr>
                <w:sz w:val="20"/>
                <w:szCs w:val="20"/>
                <w:color w:val="auto"/>
              </w:rPr>
            </w:pPr>
            <w:r>
              <w:rPr>
                <w:rFonts w:ascii="Arial" w:cs="Arial" w:eastAsia="Arial" w:hAnsi="Arial"/>
                <w:sz w:val="14"/>
                <w:szCs w:val="14"/>
                <w:color w:val="auto"/>
                <w:w w:val="88"/>
              </w:rPr>
              <w:t>Six months ended 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6"/>
              <w:spacing w:after="0" w:line="159"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20"/>
              <w:spacing w:after="0" w:line="159"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7"/>
          </w:tcPr>
          <w:p>
            <w:pPr>
              <w:jc w:val="right"/>
              <w:ind w:right="460"/>
              <w:spacing w:after="0" w:line="142" w:lineRule="exact"/>
              <w:rPr>
                <w:sz w:val="20"/>
                <w:szCs w:val="20"/>
                <w:color w:val="auto"/>
              </w:rPr>
            </w:pPr>
            <w:r>
              <w:rPr>
                <w:rFonts w:ascii="Arial" w:cs="Arial" w:eastAsia="Arial" w:hAnsi="Arial"/>
                <w:sz w:val="14"/>
                <w:szCs w:val="14"/>
                <w:color w:val="auto"/>
                <w:w w:val="92"/>
              </w:rPr>
              <w:t>(in thousands, except per share)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348,466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233,380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622,579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439,843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Preferred stock dividends (a)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(13,362)</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(26,725)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920"/>
              <w:spacing w:after="0"/>
              <w:rPr>
                <w:sz w:val="20"/>
                <w:szCs w:val="20"/>
                <w:color w:val="auto"/>
              </w:rPr>
            </w:pPr>
            <w:r>
              <w:rPr>
                <w:rFonts w:ascii="Arial" w:cs="Arial" w:eastAsia="Arial" w:hAnsi="Arial"/>
                <w:sz w:val="18"/>
                <w:szCs w:val="18"/>
                <w:color w:val="auto"/>
              </w:rPr>
              <w:t>Amortization of preferred stock discount (a)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(2,193)</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(1,964)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(4,340)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to common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332,911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591,514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409,230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w w:val="98"/>
              </w:rPr>
              <w:t>Less: Income attributable to unvested stock-based compensation awards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(4,373)</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(3,345)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(7,917)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328,538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214,709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583,597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shares outstanding (including common stock issuable) and unvested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 awards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129,964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127,445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129,708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(1,712)</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(1,957)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(1,746)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128,252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127,962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125,354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4.56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240" w:top="459" w:right="6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8.</w:t>
            </w:r>
          </w:p>
        </w:tc>
        <w:tc>
          <w:tcPr>
            <w:tcW w:w="6480" w:type="dxa"/>
            <w:vAlign w:val="bottom"/>
            <w:gridSpan w:val="2"/>
          </w:tcPr>
          <w:p>
            <w:pPr>
              <w:ind w:left="160"/>
              <w:spacing w:after="0"/>
              <w:rPr>
                <w:sz w:val="20"/>
                <w:szCs w:val="20"/>
                <w:color w:val="auto"/>
              </w:rPr>
            </w:pPr>
            <w:r>
              <w:rPr>
                <w:rFonts w:ascii="Arial" w:cs="Arial" w:eastAsia="Arial" w:hAnsi="Arial"/>
                <w:sz w:val="18"/>
                <w:szCs w:val="18"/>
                <w:b w:val="1"/>
                <w:bCs w:val="1"/>
                <w:color w:val="auto"/>
              </w:rPr>
              <w:t>Earnings per common share, continued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Pr>
          <w:p>
            <w:pPr>
              <w:ind w:left="460"/>
              <w:spacing w:after="0"/>
              <w:rPr>
                <w:sz w:val="20"/>
                <w:szCs w:val="20"/>
                <w:color w:val="auto"/>
              </w:rPr>
            </w:pPr>
            <w:r>
              <w:rPr>
                <w:rFonts w:ascii="Arial" w:cs="Arial" w:eastAsia="Arial" w:hAnsi="Arial"/>
                <w:sz w:val="18"/>
                <w:szCs w:val="18"/>
                <w:color w:val="auto"/>
              </w:rPr>
              <w:t>The computations of diluted earnings per common share follow:</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24"/>
                <w:szCs w:val="2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1060"/>
              <w:spacing w:after="0"/>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June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92"/>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6"/>
          </w:tcPr>
          <w:p>
            <w:pPr>
              <w:jc w:val="right"/>
              <w:ind w:right="420"/>
              <w:spacing w:after="0" w:line="142" w:lineRule="exact"/>
              <w:rPr>
                <w:sz w:val="20"/>
                <w:szCs w:val="20"/>
                <w:color w:val="auto"/>
              </w:rPr>
            </w:pPr>
            <w:r>
              <w:rPr>
                <w:rFonts w:ascii="Arial" w:cs="Arial" w:eastAsia="Arial" w:hAnsi="Arial"/>
                <w:sz w:val="14"/>
                <w:szCs w:val="14"/>
                <w:color w:val="auto"/>
                <w:w w:val="92"/>
              </w:rPr>
              <w:t>(in thousands, except per share)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332,911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591,514</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409,230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(4,354)</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(7,881)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328,557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214,716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583,633</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402,958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Adjusted weighted-average shares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and unvested stock-based compensation awards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129,964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129,708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127,301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Less: Unvested stock-based compensation awards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(1,712)</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(1,746)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Plus: Incremental shares from assumed conversion of stock-based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awards and warrants to purchase common stock</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Adjusted weighted-average shares outstanding</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129,017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125,897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128,828</w:t>
            </w:r>
          </w:p>
        </w:tc>
        <w:tc>
          <w:tcPr>
            <w:tcW w:w="4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125,756</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913"/>
        <w:spacing w:after="0" w:line="335" w:lineRule="auto"/>
        <w:rPr>
          <w:sz w:val="20"/>
          <w:szCs w:val="20"/>
          <w:color w:val="auto"/>
        </w:rPr>
      </w:pPr>
      <w:r>
        <w:rPr>
          <w:rFonts w:ascii="Arial" w:cs="Arial" w:eastAsia="Arial" w:hAnsi="Arial"/>
          <w:sz w:val="15"/>
          <w:szCs w:val="15"/>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8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4.5 million and 9.9 million common shares during the three-month periods ended June 30, 2013 and 2012, respectively, and 4.6 million and 10.0 million common shares during the six-month periods ended June 30, 2013 and 2012, respectively, were not included in the computations of diluted earnings per common share because the effect on those periods would have been antidilutive.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30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color w:val="auto"/>
                <w:w w:val="97"/>
              </w:rPr>
              <w:t>Investment Securities</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Defined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Total</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ind w:right="320"/>
              <w:spacing w:after="0" w:line="131" w:lineRule="exact"/>
              <w:rPr>
                <w:sz w:val="20"/>
                <w:szCs w:val="20"/>
                <w:color w:val="auto"/>
              </w:rPr>
            </w:pPr>
            <w:r>
              <w:rPr>
                <w:rFonts w:ascii="Arial" w:cs="Arial" w:eastAsia="Arial" w:hAnsi="Arial"/>
                <w:sz w:val="14"/>
                <w:szCs w:val="14"/>
                <w:color w:val="auto"/>
              </w:rPr>
              <w:t>With</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9"/>
              <w:spacing w:after="0" w:line="131" w:lineRule="exact"/>
              <w:rPr>
                <w:sz w:val="20"/>
                <w:szCs w:val="20"/>
                <w:color w:val="auto"/>
              </w:rPr>
            </w:pPr>
            <w:r>
              <w:rPr>
                <w:rFonts w:ascii="Arial" w:cs="Arial" w:eastAsia="Arial" w:hAnsi="Arial"/>
                <w:sz w:val="14"/>
                <w:szCs w:val="14"/>
                <w:color w:val="auto"/>
              </w:rPr>
              <w:t>All</w:t>
            </w:r>
          </w:p>
        </w:tc>
        <w:tc>
          <w:tcPr>
            <w:tcW w:w="280" w:type="dxa"/>
            <w:vAlign w:val="bottom"/>
          </w:tcPr>
          <w:p>
            <w:pPr>
              <w:spacing w:after="0"/>
              <w:rPr>
                <w:sz w:val="11"/>
                <w:szCs w:val="11"/>
                <w:color w:val="auto"/>
              </w:rPr>
            </w:pPr>
          </w:p>
        </w:tc>
        <w:tc>
          <w:tcPr>
            <w:tcW w:w="980" w:type="dxa"/>
            <w:vAlign w:val="bottom"/>
            <w:gridSpan w:val="2"/>
          </w:tcPr>
          <w:p>
            <w:pPr>
              <w:jc w:val="center"/>
              <w:ind w:right="280"/>
              <w:spacing w:after="0" w:line="131" w:lineRule="exact"/>
              <w:rPr>
                <w:sz w:val="20"/>
                <w:szCs w:val="20"/>
                <w:color w:val="auto"/>
              </w:rPr>
            </w:pPr>
            <w:r>
              <w:rPr>
                <w:rFonts w:ascii="Arial" w:cs="Arial" w:eastAsia="Arial" w:hAnsi="Arial"/>
                <w:sz w:val="14"/>
                <w:szCs w:val="14"/>
                <w:color w:val="auto"/>
                <w:w w:val="90"/>
              </w:rPr>
              <w:t>benefit</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500"/>
              <w:spacing w:after="0" w:line="131" w:lineRule="exact"/>
              <w:rPr>
                <w:sz w:val="20"/>
                <w:szCs w:val="20"/>
                <w:color w:val="auto"/>
              </w:rPr>
            </w:pPr>
            <w:r>
              <w:rPr>
                <w:rFonts w:ascii="Arial" w:cs="Arial" w:eastAsia="Arial" w:hAnsi="Arial"/>
                <w:sz w:val="14"/>
                <w:szCs w:val="14"/>
                <w:color w:val="auto"/>
                <w:w w:val="85"/>
              </w:rPr>
              <w:t>amount</w:t>
            </w:r>
          </w:p>
        </w:tc>
        <w:tc>
          <w:tcPr>
            <w:tcW w:w="820" w:type="dxa"/>
            <w:vAlign w:val="bottom"/>
            <w:gridSpan w:val="2"/>
          </w:tcPr>
          <w:p>
            <w:pPr>
              <w:jc w:val="right"/>
              <w:ind w:right="300"/>
              <w:spacing w:after="0" w:line="131"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OTTI</w:t>
            </w:r>
          </w:p>
        </w:tc>
        <w:tc>
          <w:tcPr>
            <w:tcW w:w="160" w:type="dxa"/>
            <w:vAlign w:val="bottom"/>
          </w:tcPr>
          <w:p>
            <w:pPr>
              <w:spacing w:after="0"/>
              <w:rPr>
                <w:sz w:val="13"/>
                <w:szCs w:val="13"/>
                <w:color w:val="auto"/>
              </w:rPr>
            </w:pPr>
          </w:p>
        </w:tc>
        <w:tc>
          <w:tcPr>
            <w:tcW w:w="98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other</w:t>
            </w:r>
          </w:p>
        </w:tc>
        <w:tc>
          <w:tcPr>
            <w:tcW w:w="9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plans</w:t>
            </w:r>
          </w:p>
        </w:tc>
        <w:tc>
          <w:tcPr>
            <w:tcW w:w="7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Other</w:t>
            </w:r>
          </w:p>
        </w:tc>
        <w:tc>
          <w:tcPr>
            <w:tcW w:w="1260" w:type="dxa"/>
            <w:vAlign w:val="bottom"/>
            <w:gridSpan w:val="2"/>
          </w:tcPr>
          <w:p>
            <w:pPr>
              <w:jc w:val="center"/>
              <w:ind w:right="520"/>
              <w:spacing w:after="0" w:line="159" w:lineRule="exact"/>
              <w:rPr>
                <w:sz w:val="20"/>
                <w:szCs w:val="20"/>
                <w:color w:val="auto"/>
              </w:rPr>
            </w:pPr>
            <w:r>
              <w:rPr>
                <w:rFonts w:ascii="Arial" w:cs="Arial" w:eastAsia="Arial" w:hAnsi="Arial"/>
                <w:sz w:val="14"/>
                <w:szCs w:val="14"/>
                <w:color w:val="auto"/>
                <w:w w:val="86"/>
              </w:rPr>
              <w:t>before tax</w:t>
            </w:r>
          </w:p>
        </w:tc>
        <w:tc>
          <w:tcPr>
            <w:tcW w:w="8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tax</w:t>
            </w:r>
          </w:p>
        </w:tc>
        <w:tc>
          <w:tcPr>
            <w:tcW w:w="100" w:type="dxa"/>
            <w:vAlign w:val="bottom"/>
          </w:tcPr>
          <w:p>
            <w:pPr>
              <w:spacing w:after="0"/>
              <w:rPr>
                <w:sz w:val="13"/>
                <w:szCs w:val="13"/>
                <w:color w:val="auto"/>
              </w:rPr>
            </w:pPr>
          </w:p>
        </w:tc>
        <w:tc>
          <w:tcPr>
            <w:tcW w:w="8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(in thousands)</w:t>
            </w:r>
          </w:p>
        </w:tc>
        <w:tc>
          <w:tcPr>
            <w:tcW w:w="7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(91,835)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152,199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(455,590)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$(395,657)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155,393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holding gains (losses),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55,473</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(95,167)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(39,694)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(1,644)</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(1,644)</w:t>
            </w:r>
          </w:p>
        </w:tc>
        <w:tc>
          <w:tcPr>
            <w:tcW w:w="64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other comprehensive income before reclassifications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55,473</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(95,167)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(1,644)</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(41,338)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16,155</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215"/>
        </w:trPr>
        <w:tc>
          <w:tcPr>
            <w:tcW w:w="4520" w:type="dxa"/>
            <w:vAlign w:val="bottom"/>
            <w:gridSpan w:val="2"/>
          </w:tcPr>
          <w:p>
            <w:pPr>
              <w:spacing w:after="0"/>
              <w:rPr>
                <w:sz w:val="20"/>
                <w:szCs w:val="20"/>
                <w:color w:val="auto"/>
              </w:rPr>
            </w:pPr>
            <w:r>
              <w:rPr>
                <w:rFonts w:ascii="Arial" w:cs="Arial" w:eastAsia="Arial" w:hAnsi="Arial"/>
                <w:sz w:val="18"/>
                <w:szCs w:val="18"/>
                <w:color w:val="auto"/>
                <w:w w:val="92"/>
              </w:rPr>
              <w:t>Amounts reclassified from accumulated other comprehensive</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income that (increase) decrease net income: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unrealized holding losses on held-to-</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maturity (“HTM”) securities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2,371 (a)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OTTI charges recognized in net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9,800</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9,800 (b)</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(3,847)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Losses (gains) realized in 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41,217</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(8,129)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33,088 (c)</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(3,957)</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(3,957) (e)</w:t>
            </w:r>
          </w:p>
        </w:tc>
        <w:tc>
          <w:tcPr>
            <w:tcW w:w="640" w:type="dxa"/>
            <w:vAlign w:val="bottom"/>
          </w:tcPr>
          <w:p>
            <w:pPr>
              <w:jc w:val="right"/>
              <w:spacing w:after="0"/>
              <w:rPr>
                <w:sz w:val="20"/>
                <w:szCs w:val="20"/>
                <w:color w:val="auto"/>
              </w:rPr>
            </w:pPr>
            <w:r>
              <w:rPr>
                <w:rFonts w:ascii="Arial" w:cs="Arial" w:eastAsia="Arial" w:hAnsi="Arial"/>
                <w:sz w:val="18"/>
                <w:szCs w:val="18"/>
                <w:color w:val="auto"/>
              </w:rPr>
              <w:t>1,553</w:t>
            </w: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actuarial losses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20,718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20,718 (e)</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 reclassifications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51,126</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(5,867)</w:t>
            </w:r>
          </w:p>
        </w:tc>
        <w:tc>
          <w:tcPr>
            <w:tcW w:w="680" w:type="dxa"/>
            <w:vAlign w:val="bottom"/>
          </w:tcPr>
          <w:p>
            <w:pPr>
              <w:ind w:left="200"/>
              <w:spacing w:after="0"/>
              <w:rPr>
                <w:sz w:val="20"/>
                <w:szCs w:val="20"/>
                <w:color w:val="auto"/>
              </w:rPr>
            </w:pPr>
            <w:r>
              <w:rPr>
                <w:rFonts w:ascii="Arial" w:cs="Arial" w:eastAsia="Arial" w:hAnsi="Arial"/>
                <w:sz w:val="18"/>
                <w:szCs w:val="18"/>
                <w:color w:val="auto"/>
                <w:w w:val="83"/>
              </w:rPr>
              <w:t>16,761</w:t>
            </w:r>
          </w:p>
        </w:tc>
        <w:tc>
          <w:tcPr>
            <w:tcW w:w="30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62,020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(24,344)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37,676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106,599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(101,034)</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16,761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(1,644)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20,682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Balance – June 30, 2013</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14,764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51,165</w:t>
            </w:r>
          </w:p>
        </w:tc>
        <w:tc>
          <w:tcPr>
            <w:tcW w:w="2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(438,829)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(2,075)</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(374,975)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147,204</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19"/>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gridSpan w:val="3"/>
          </w:tcPr>
          <w:p>
            <w:pPr>
              <w:spacing w:after="0"/>
              <w:rPr>
                <w:sz w:val="20"/>
                <w:szCs w:val="20"/>
                <w:color w:val="auto"/>
              </w:rPr>
            </w:pPr>
            <w:r>
              <w:rPr>
                <w:rFonts w:ascii="Arial" w:cs="Arial" w:eastAsia="Arial" w:hAnsi="Arial"/>
                <w:sz w:val="18"/>
                <w:szCs w:val="18"/>
                <w:color w:val="auto"/>
              </w:rPr>
              <w:t>NOTES TO FINANCIAL STATEMENTS, CONTINUED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4420" w:type="dxa"/>
            <w:vAlign w:val="bottom"/>
          </w:tcPr>
          <w:p>
            <w:pPr>
              <w:ind w:left="280"/>
              <w:spacing w:after="0"/>
              <w:rPr>
                <w:sz w:val="20"/>
                <w:szCs w:val="20"/>
                <w:color w:val="auto"/>
              </w:rPr>
            </w:pPr>
            <w:r>
              <w:rPr>
                <w:rFonts w:ascii="Arial" w:cs="Arial" w:eastAsia="Arial" w:hAnsi="Arial"/>
                <w:sz w:val="18"/>
                <w:szCs w:val="18"/>
                <w:b w:val="1"/>
                <w:bCs w:val="1"/>
                <w:color w:val="auto"/>
              </w:rPr>
              <w:t>Comprehensive income, continued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color w:val="auto"/>
              </w:rPr>
              <w:t>Investment Securities</w:t>
            </w:r>
          </w:p>
        </w:tc>
        <w:tc>
          <w:tcPr>
            <w:tcW w:w="28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Defined</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Total</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520"/>
              <w:spacing w:after="0" w:line="131" w:lineRule="exact"/>
              <w:rPr>
                <w:sz w:val="20"/>
                <w:szCs w:val="20"/>
                <w:color w:val="auto"/>
              </w:rPr>
            </w:pPr>
            <w:r>
              <w:rPr>
                <w:rFonts w:ascii="Arial" w:cs="Arial" w:eastAsia="Arial" w:hAnsi="Arial"/>
                <w:sz w:val="14"/>
                <w:szCs w:val="14"/>
                <w:color w:val="auto"/>
              </w:rPr>
              <w:t>With</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center"/>
              <w:ind w:right="280"/>
              <w:spacing w:after="0" w:line="131" w:lineRule="exact"/>
              <w:rPr>
                <w:sz w:val="20"/>
                <w:szCs w:val="20"/>
                <w:color w:val="auto"/>
              </w:rPr>
            </w:pPr>
            <w:r>
              <w:rPr>
                <w:rFonts w:ascii="Arial" w:cs="Arial" w:eastAsia="Arial" w:hAnsi="Arial"/>
                <w:sz w:val="14"/>
                <w:szCs w:val="14"/>
                <w:color w:val="auto"/>
                <w:w w:val="90"/>
              </w:rPr>
              <w:t>benefit</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500"/>
              <w:spacing w:after="0" w:line="131" w:lineRule="exact"/>
              <w:rPr>
                <w:sz w:val="20"/>
                <w:szCs w:val="20"/>
                <w:color w:val="auto"/>
              </w:rPr>
            </w:pPr>
            <w:r>
              <w:rPr>
                <w:rFonts w:ascii="Arial" w:cs="Arial" w:eastAsia="Arial" w:hAnsi="Arial"/>
                <w:sz w:val="14"/>
                <w:szCs w:val="14"/>
                <w:color w:val="auto"/>
                <w:w w:val="85"/>
              </w:rPr>
              <w:t>amount</w:t>
            </w:r>
          </w:p>
        </w:tc>
        <w:tc>
          <w:tcPr>
            <w:tcW w:w="820" w:type="dxa"/>
            <w:vAlign w:val="bottom"/>
            <w:gridSpan w:val="2"/>
          </w:tcPr>
          <w:p>
            <w:pPr>
              <w:jc w:val="right"/>
              <w:ind w:right="300"/>
              <w:spacing w:after="0" w:line="131"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OTTI</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All other</w:t>
            </w:r>
          </w:p>
        </w:tc>
        <w:tc>
          <w:tcPr>
            <w:tcW w:w="280" w:type="dxa"/>
            <w:vAlign w:val="bottom"/>
          </w:tcPr>
          <w:p>
            <w:pPr>
              <w:spacing w:after="0"/>
              <w:rPr>
                <w:sz w:val="13"/>
                <w:szCs w:val="13"/>
                <w:color w:val="auto"/>
              </w:rPr>
            </w:pPr>
          </w:p>
        </w:tc>
        <w:tc>
          <w:tcPr>
            <w:tcW w:w="98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90"/>
              </w:rPr>
              <w:t>plan</w:t>
            </w:r>
          </w:p>
        </w:tc>
        <w:tc>
          <w:tcPr>
            <w:tcW w:w="7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Other</w:t>
            </w:r>
          </w:p>
        </w:tc>
        <w:tc>
          <w:tcPr>
            <w:tcW w:w="1260" w:type="dxa"/>
            <w:vAlign w:val="bottom"/>
            <w:gridSpan w:val="2"/>
          </w:tcPr>
          <w:p>
            <w:pPr>
              <w:jc w:val="center"/>
              <w:ind w:right="520"/>
              <w:spacing w:after="0" w:line="159" w:lineRule="exact"/>
              <w:rPr>
                <w:sz w:val="20"/>
                <w:szCs w:val="20"/>
                <w:color w:val="auto"/>
              </w:rPr>
            </w:pPr>
            <w:r>
              <w:rPr>
                <w:rFonts w:ascii="Arial" w:cs="Arial" w:eastAsia="Arial" w:hAnsi="Arial"/>
                <w:sz w:val="14"/>
                <w:szCs w:val="14"/>
                <w:color w:val="auto"/>
                <w:w w:val="86"/>
              </w:rPr>
              <w:t>before tax</w:t>
            </w:r>
          </w:p>
        </w:tc>
        <w:tc>
          <w:tcPr>
            <w:tcW w:w="8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tax</w:t>
            </w:r>
          </w:p>
        </w:tc>
        <w:tc>
          <w:tcPr>
            <w:tcW w:w="100" w:type="dxa"/>
            <w:vAlign w:val="bottom"/>
          </w:tcPr>
          <w:p>
            <w:pPr>
              <w:spacing w:after="0"/>
              <w:rPr>
                <w:sz w:val="13"/>
                <w:szCs w:val="13"/>
                <w:color w:val="auto"/>
              </w:rPr>
            </w:pPr>
          </w:p>
        </w:tc>
        <w:tc>
          <w:tcPr>
            <w:tcW w:w="8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(in thousands)</w:t>
            </w:r>
          </w:p>
        </w:tc>
        <w:tc>
          <w:tcPr>
            <w:tcW w:w="7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$(138,319)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(457,145)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(1,062)</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$(586,769)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230,328</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holding gains (losses), net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82,305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(32,268)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(208)</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Total other comprehensive income before reclassifications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82,097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(32,191)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49,906</w:t>
            </w:r>
          </w:p>
        </w:tc>
        <w:tc>
          <w:tcPr>
            <w:tcW w:w="0" w:type="dxa"/>
            <w:vAlign w:val="bottom"/>
          </w:tcPr>
          <w:p>
            <w:pPr>
              <w:spacing w:after="0"/>
              <w:rPr>
                <w:sz w:val="1"/>
                <w:szCs w:val="1"/>
                <w:color w:val="auto"/>
              </w:rPr>
            </w:pPr>
          </w:p>
        </w:tc>
      </w:tr>
      <w:tr>
        <w:trPr>
          <w:trHeight w:val="215"/>
        </w:trPr>
        <w:tc>
          <w:tcPr>
            <w:tcW w:w="4600" w:type="dxa"/>
            <w:vAlign w:val="bottom"/>
            <w:gridSpan w:val="3"/>
          </w:tcPr>
          <w:p>
            <w:pPr>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income that (increase) decrease net income:</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Accretion of unrealized holding losses on HTM securities</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3,807 (a)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OTTI charges recognized in net income</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27,659</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27,659 (b)</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(10,856)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16,803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Losses realized in net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 (c)</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w w:val="96"/>
              </w:rPr>
              <w:t>Amortization of gains on terminated cash flow hedges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(178) (d)</w:t>
            </w: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(3,269)</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(3,269) (e)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Amortization of actuarial losses</w:t>
            </w:r>
          </w:p>
        </w:tc>
        <w:tc>
          <w:tcPr>
            <w:tcW w:w="10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18,848</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18,848 (e)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(7,398)</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47,230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(18,544)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28,686</w:t>
            </w: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Total gain (loss) during the period</w:t>
            </w: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18,284</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95,850</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15,579</w:t>
            </w:r>
          </w:p>
        </w:tc>
        <w:tc>
          <w:tcPr>
            <w:tcW w:w="3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129,327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(50,735)</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78,592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30, 2012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(120,035)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105,607</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(441,566)</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(1,448)</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(457,442)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179,593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OTTI losses recognized in earnings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Accumulated other comprehensive income (loss), net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Defined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ind w:left="120"/>
              <w:spacing w:after="0" w:line="159" w:lineRule="exact"/>
              <w:rPr>
                <w:sz w:val="20"/>
                <w:szCs w:val="20"/>
                <w:color w:val="auto"/>
              </w:rPr>
            </w:pPr>
            <w:r>
              <w:rPr>
                <w:rFonts w:ascii="Arial" w:cs="Arial" w:eastAsia="Arial" w:hAnsi="Arial"/>
                <w:sz w:val="14"/>
                <w:szCs w:val="14"/>
                <w:color w:val="auto"/>
              </w:rPr>
              <w:t>Investment securities</w:t>
            </w:r>
          </w:p>
        </w:tc>
        <w:tc>
          <w:tcPr>
            <w:tcW w:w="10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90"/>
              </w:rPr>
              <w:t>benefit</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With OTTI</w:t>
            </w: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All other</w:t>
            </w: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w w:val="83"/>
              </w:rPr>
              <w:t>plans</w:t>
            </w:r>
          </w:p>
        </w:tc>
        <w:tc>
          <w:tcPr>
            <w:tcW w:w="7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 December 31, 2012</w:t>
            </w:r>
          </w:p>
        </w:tc>
        <w:tc>
          <w:tcPr>
            <w:tcW w:w="3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(55,790)</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87"/>
              </w:rPr>
              <w:t>92,581</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(276,771)</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$(240,264)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gain (loss) during period</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64,759</w:t>
            </w:r>
          </w:p>
        </w:tc>
        <w:tc>
          <w:tcPr>
            <w:tcW w:w="3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(61,402)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10,182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(1,046)</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2013</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87"/>
              </w:rPr>
              <w:t>31,179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(266,589)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(1,330)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40" w:type="dxa"/>
            <w:vAlign w:val="bottom"/>
            <w:vMerge w:val="restart"/>
          </w:tcPr>
          <w:p>
            <w:pPr>
              <w:jc w:val="right"/>
              <w:ind w:right="932"/>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June 30, 2013.</w:t>
      </w:r>
    </w:p>
    <w:p>
      <w:pPr>
        <w:spacing w:after="0" w:line="100"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The net effect of interest rate swap agreements was to increase net interest income by $10 million and $9 million for the three-month periods ended June 30, 2013 and 2012, respectively, and $19 million and $18 million for the six-month periods ended June 30, 2013 and 2012, respectively.</w:t>
      </w:r>
    </w:p>
    <w:p>
      <w:pPr>
        <w:spacing w:after="0" w:line="85"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59"/>
        </w:trPr>
        <w:tc>
          <w:tcPr>
            <w:tcW w:w="7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82"/>
              <w:spacing w:after="0" w:line="159" w:lineRule="exact"/>
              <w:rPr>
                <w:sz w:val="20"/>
                <w:szCs w:val="20"/>
                <w:color w:val="auto"/>
              </w:rPr>
            </w:pPr>
            <w:r>
              <w:rPr>
                <w:rFonts w:ascii="Arial" w:cs="Arial" w:eastAsia="Arial" w:hAnsi="Arial"/>
                <w:sz w:val="14"/>
                <w:szCs w:val="14"/>
                <w:color w:val="auto"/>
              </w:rPr>
              <w:t>Notional</w:t>
            </w:r>
          </w:p>
        </w:tc>
        <w:tc>
          <w:tcPr>
            <w:tcW w:w="400" w:type="dxa"/>
            <w:vAlign w:val="bottom"/>
          </w:tcPr>
          <w:p>
            <w:pPr>
              <w:spacing w:after="0"/>
              <w:rPr>
                <w:sz w:val="13"/>
                <w:szCs w:val="13"/>
                <w:color w:val="auto"/>
              </w:rPr>
            </w:pPr>
          </w:p>
        </w:tc>
        <w:tc>
          <w:tcPr>
            <w:tcW w:w="940" w:type="dxa"/>
            <w:vAlign w:val="bottom"/>
            <w:gridSpan w:val="2"/>
          </w:tcPr>
          <w:p>
            <w:pPr>
              <w:jc w:val="center"/>
              <w:ind w:right="420"/>
              <w:spacing w:after="0" w:line="159" w:lineRule="exact"/>
              <w:rPr>
                <w:sz w:val="20"/>
                <w:szCs w:val="20"/>
                <w:color w:val="auto"/>
              </w:rPr>
            </w:pPr>
            <w:r>
              <w:rPr>
                <w:rFonts w:ascii="Arial" w:cs="Arial" w:eastAsia="Arial" w:hAnsi="Arial"/>
                <w:sz w:val="14"/>
                <w:szCs w:val="14"/>
                <w:color w:val="auto"/>
                <w:w w:val="84"/>
              </w:rPr>
              <w:t>Average</w:t>
            </w:r>
          </w:p>
        </w:tc>
        <w:tc>
          <w:tcPr>
            <w:tcW w:w="1520" w:type="dxa"/>
            <w:vAlign w:val="bottom"/>
            <w:gridSpan w:val="4"/>
          </w:tcPr>
          <w:p>
            <w:pPr>
              <w:jc w:val="right"/>
              <w:ind w:right="540"/>
              <w:spacing w:after="0" w:line="159" w:lineRule="exact"/>
              <w:rPr>
                <w:sz w:val="20"/>
                <w:szCs w:val="20"/>
                <w:color w:val="auto"/>
              </w:rPr>
            </w:pPr>
            <w:r>
              <w:rPr>
                <w:rFonts w:ascii="Arial" w:cs="Arial" w:eastAsia="Arial" w:hAnsi="Arial"/>
                <w:sz w:val="14"/>
                <w:szCs w:val="14"/>
                <w:color w:val="auto"/>
              </w:rPr>
              <w:t>average rate</w:t>
            </w: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22"/>
              <w:spacing w:after="0" w:line="142" w:lineRule="exact"/>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2"/>
                <w:szCs w:val="12"/>
                <w:color w:val="auto"/>
              </w:rPr>
            </w:pPr>
          </w:p>
        </w:tc>
        <w:tc>
          <w:tcPr>
            <w:tcW w:w="940" w:type="dxa"/>
            <w:vAlign w:val="bottom"/>
            <w:gridSpan w:val="2"/>
          </w:tcPr>
          <w:p>
            <w:pPr>
              <w:jc w:val="center"/>
              <w:ind w:right="400"/>
              <w:spacing w:after="0" w:line="142" w:lineRule="exact"/>
              <w:rPr>
                <w:sz w:val="20"/>
                <w:szCs w:val="20"/>
                <w:color w:val="auto"/>
              </w:rPr>
            </w:pPr>
            <w:r>
              <w:rPr>
                <w:rFonts w:ascii="Arial" w:cs="Arial" w:eastAsia="Arial" w:hAnsi="Arial"/>
                <w:sz w:val="14"/>
                <w:szCs w:val="14"/>
                <w:color w:val="auto"/>
                <w:w w:val="92"/>
              </w:rPr>
              <w:t>maturity</w:t>
            </w:r>
          </w:p>
        </w:tc>
        <w:tc>
          <w:tcPr>
            <w:tcW w:w="860" w:type="dxa"/>
            <w:vAlign w:val="bottom"/>
            <w:tcBorders>
              <w:top w:val="single" w:sz="8" w:color="auto"/>
            </w:tcBorders>
            <w:gridSpan w:val="2"/>
          </w:tcPr>
          <w:p>
            <w:pPr>
              <w:jc w:val="right"/>
              <w:ind w:right="452"/>
              <w:spacing w:after="0" w:line="142" w:lineRule="exact"/>
              <w:rPr>
                <w:sz w:val="20"/>
                <w:szCs w:val="20"/>
                <w:color w:val="auto"/>
              </w:rPr>
            </w:pPr>
            <w:r>
              <w:rPr>
                <w:rFonts w:ascii="Arial" w:cs="Arial" w:eastAsia="Arial" w:hAnsi="Arial"/>
                <w:sz w:val="14"/>
                <w:szCs w:val="14"/>
                <w:color w:val="auto"/>
                <w:w w:val="93"/>
              </w:rPr>
              <w:t>Fixed</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5"/>
              </w:rPr>
              <w:t>(in thousands)</w:t>
            </w:r>
          </w:p>
        </w:tc>
        <w:tc>
          <w:tcPr>
            <w:tcW w:w="400" w:type="dxa"/>
            <w:vAlign w:val="bottom"/>
          </w:tcPr>
          <w:p>
            <w:pPr>
              <w:spacing w:after="0"/>
              <w:rPr>
                <w:sz w:val="12"/>
                <w:szCs w:val="12"/>
                <w:color w:val="auto"/>
              </w:rPr>
            </w:pP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(in years)</w:t>
            </w:r>
          </w:p>
        </w:tc>
        <w:tc>
          <w:tcPr>
            <w:tcW w:w="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1,400,000</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8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3"/>
              </w:rPr>
              <w:t>4.42%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December 31,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4.4</w:t>
            </w:r>
          </w:p>
        </w:tc>
        <w:tc>
          <w:tcPr>
            <w:tcW w:w="860" w:type="dxa"/>
            <w:vAlign w:val="bottom"/>
            <w:gridSpan w:val="2"/>
          </w:tcPr>
          <w:p>
            <w:pPr>
              <w:jc w:val="right"/>
              <w:ind w:right="292"/>
              <w:spacing w:after="0"/>
              <w:rPr>
                <w:sz w:val="20"/>
                <w:szCs w:val="20"/>
                <w:color w:val="auto"/>
              </w:rPr>
            </w:pPr>
            <w:r>
              <w:rPr>
                <w:rFonts w:ascii="Arial" w:cs="Arial" w:eastAsia="Arial" w:hAnsi="Arial"/>
                <w:sz w:val="18"/>
                <w:szCs w:val="18"/>
                <w:color w:val="auto"/>
                <w:w w:val="93"/>
              </w:rPr>
              <w:t>6.07%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560" w:right="2360" w:hanging="5552"/>
        <w:spacing w:after="0" w:line="440" w:lineRule="auto"/>
        <w:tabs>
          <w:tab w:leader="none" w:pos="446"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Under the terms of these agreements, the Company receives settlement amounts at a fixed rate and pays at a variable rate. </w:t>
      </w: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4" w:lineRule="exact"/>
        <w:rPr>
          <w:sz w:val="20"/>
          <w:szCs w:val="20"/>
          <w:color w:val="auto"/>
        </w:rPr>
      </w:pPr>
    </w:p>
    <w:p>
      <w:pPr>
        <w:jc w:val="both"/>
        <w:ind w:right="280" w:firstLine="913"/>
        <w:spacing w:after="0" w:line="306"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 forward and spot contracts, and financial futures. Interest rate contracts entered into for trading purposes had notional values of $15.4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$15.5 billion at June 30, 2013 and December 31, 2012, respectively. The notional amounts of foreign currency and other option and futures contracts entered into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trading purposes aggregated $995 million and $869 million at June 30, 2013 and December 31, 2012, respectively.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3"/>
          </w:tcPr>
          <w:p>
            <w:pPr>
              <w:jc w:val="right"/>
              <w:ind w:right="420"/>
              <w:spacing w:after="0"/>
              <w:rPr>
                <w:sz w:val="20"/>
                <w:szCs w:val="20"/>
                <w:color w:val="auto"/>
              </w:rPr>
            </w:pPr>
            <w:r>
              <w:rPr>
                <w:rFonts w:ascii="Arial" w:cs="Arial" w:eastAsia="Arial" w:hAnsi="Arial"/>
                <w:sz w:val="14"/>
                <w:szCs w:val="14"/>
                <w:color w:val="auto"/>
              </w:rPr>
              <w:t>Asset derivatives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ind w:left="320"/>
              <w:spacing w:after="0"/>
              <w:rPr>
                <w:sz w:val="20"/>
                <w:szCs w:val="20"/>
                <w:color w:val="auto"/>
              </w:rPr>
            </w:pPr>
            <w:r>
              <w:rPr>
                <w:rFonts w:ascii="Arial" w:cs="Arial" w:eastAsia="Arial" w:hAnsi="Arial"/>
                <w:sz w:val="14"/>
                <w:szCs w:val="14"/>
                <w:color w:val="auto"/>
              </w:rPr>
              <w:t>Liability derivatives</w:t>
            </w: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color w:val="auto"/>
                <w:w w:val="84"/>
              </w:rPr>
              <w:t>Fair value</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596"/>
              <w:spacing w:after="0" w:line="142" w:lineRule="exact"/>
              <w:rPr>
                <w:sz w:val="20"/>
                <w:szCs w:val="20"/>
                <w:color w:val="auto"/>
              </w:rPr>
            </w:pPr>
            <w:r>
              <w:rPr>
                <w:rFonts w:ascii="Arial" w:cs="Arial" w:eastAsia="Arial" w:hAnsi="Arial"/>
                <w:sz w:val="14"/>
                <w:szCs w:val="14"/>
                <w:color w:val="auto"/>
                <w:w w:val="87"/>
              </w:rPr>
              <w:t>Fair value</w:t>
            </w:r>
          </w:p>
        </w:tc>
        <w:tc>
          <w:tcPr>
            <w:tcW w:w="10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jc w:val="right"/>
              <w:ind w:right="40"/>
              <w:spacing w:after="0" w:line="131" w:lineRule="exact"/>
              <w:rPr>
                <w:sz w:val="20"/>
                <w:szCs w:val="20"/>
                <w:color w:val="auto"/>
              </w:rPr>
            </w:pPr>
            <w:r>
              <w:rPr>
                <w:rFonts w:ascii="Arial" w:cs="Arial" w:eastAsia="Arial" w:hAnsi="Arial"/>
                <w:sz w:val="14"/>
                <w:szCs w:val="14"/>
                <w:color w:val="auto"/>
              </w:rPr>
              <w:t>June 30,</w:t>
            </w:r>
          </w:p>
        </w:tc>
        <w:tc>
          <w:tcPr>
            <w:tcW w:w="46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7"/>
              <w:spacing w:after="0" w:line="131" w:lineRule="exact"/>
              <w:rPr>
                <w:sz w:val="20"/>
                <w:szCs w:val="20"/>
                <w:color w:val="auto"/>
              </w:rPr>
            </w:pPr>
            <w:r>
              <w:rPr>
                <w:rFonts w:ascii="Arial" w:cs="Arial" w:eastAsia="Arial" w:hAnsi="Arial"/>
                <w:sz w:val="14"/>
                <w:szCs w:val="14"/>
                <w:color w:val="auto"/>
                <w:w w:val="85"/>
              </w:rPr>
              <w:t>June 30,</w:t>
            </w:r>
          </w:p>
        </w:tc>
        <w:tc>
          <w:tcPr>
            <w:tcW w:w="48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2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2013</w:t>
            </w:r>
          </w:p>
        </w:tc>
        <w:tc>
          <w:tcPr>
            <w:tcW w:w="12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2012</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7"/>
              <w:spacing w:after="0" w:line="159" w:lineRule="exact"/>
              <w:rPr>
                <w:sz w:val="20"/>
                <w:szCs w:val="20"/>
                <w:color w:val="auto"/>
              </w:rPr>
            </w:pPr>
            <w:r>
              <w:rPr>
                <w:rFonts w:ascii="Arial" w:cs="Arial" w:eastAsia="Arial" w:hAnsi="Arial"/>
                <w:sz w:val="14"/>
                <w:szCs w:val="14"/>
                <w:color w:val="auto"/>
              </w:rPr>
              <w:t>2013</w:t>
            </w:r>
          </w:p>
        </w:tc>
        <w:tc>
          <w:tcPr>
            <w:tcW w:w="1240" w:type="dxa"/>
            <w:vAlign w:val="bottom"/>
            <w:gridSpan w:val="2"/>
          </w:tcPr>
          <w:p>
            <w:pPr>
              <w:jc w:val="right"/>
              <w:ind w:right="156"/>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437"/>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Fair value hedges: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$ 114,168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51,487</w:t>
            </w:r>
          </w:p>
        </w:tc>
        <w:tc>
          <w:tcPr>
            <w:tcW w:w="4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4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w w:val="98"/>
              </w:rPr>
              <w:t>Derivatives not designated and qualifying as hedging instruments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Mortgage-related commitments to originate real estate loans for sale (a)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39,193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Interest rate contracts (b)</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302,979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399,963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267,463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365,616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and other option and futures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contracts (b)</w:t>
            </w:r>
          </w:p>
        </w:tc>
        <w:tc>
          <w:tcPr>
            <w:tcW w:w="5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w:t>
            </w:r>
          </w:p>
        </w:tc>
        <w:tc>
          <w:tcPr>
            <w:tcW w:w="4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4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368,985</w:t>
            </w:r>
          </w:p>
        </w:tc>
        <w:tc>
          <w:tcPr>
            <w:tcW w:w="4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458,726</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300,759</w:t>
            </w:r>
          </w:p>
        </w:tc>
        <w:tc>
          <w:tcPr>
            <w:tcW w:w="4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534,640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603,019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301,146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5" w:lineRule="exact"/>
        <w:rPr>
          <w:rFonts w:ascii="Arial" w:cs="Arial" w:eastAsia="Arial" w:hAnsi="Arial"/>
          <w:sz w:val="18"/>
          <w:szCs w:val="18"/>
          <w:i w:val="1"/>
          <w:iCs w:val="1"/>
          <w:color w:val="auto"/>
        </w:rPr>
      </w:pPr>
    </w:p>
    <w:p>
      <w:pPr>
        <w:ind w:left="580" w:hanging="572"/>
        <w:spacing w:after="0"/>
        <w:tabs>
          <w:tab w:leader="none" w:pos="58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43" w:lineRule="exact"/>
        <w:rPr>
          <w:rFonts w:ascii="Arial" w:cs="Arial" w:eastAsia="Arial" w:hAnsi="Arial"/>
          <w:sz w:val="18"/>
          <w:szCs w:val="18"/>
          <w:b w:val="1"/>
          <w:bCs w:val="1"/>
          <w:color w:val="auto"/>
        </w:rPr>
      </w:pPr>
    </w:p>
    <w:p>
      <w:pPr>
        <w:ind w:left="460" w:right="2140"/>
        <w:spacing w:after="0" w:line="289"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Derivatives in fair value hedging relationships </w:t>
      </w:r>
      <w:r>
        <w:rPr>
          <w:rFonts w:ascii="Arial" w:cs="Arial" w:eastAsia="Arial" w:hAnsi="Arial"/>
          <w:sz w:val="16"/>
          <w:szCs w:val="16"/>
          <w:color w:val="auto"/>
        </w:rPr>
        <w:t>Interest rate swap agreements: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Fixed rate long-term borrowings (a)</w:t>
      </w:r>
    </w:p>
    <w:p>
      <w:pPr>
        <w:spacing w:after="0" w:line="50" w:lineRule="exact"/>
        <w:rPr>
          <w:rFonts w:ascii="Arial" w:cs="Arial" w:eastAsia="Arial" w:hAnsi="Arial"/>
          <w:sz w:val="18"/>
          <w:szCs w:val="18"/>
          <w:b w:val="1"/>
          <w:bCs w:val="1"/>
          <w:color w:val="auto"/>
        </w:rPr>
      </w:pPr>
    </w:p>
    <w:p>
      <w:pPr>
        <w:ind w:left="460" w:right="184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Derivatives not designated as hedging instruments </w:t>
      </w:r>
      <w:r>
        <w:rPr>
          <w:rFonts w:ascii="Arial" w:cs="Arial" w:eastAsia="Arial" w:hAnsi="Arial"/>
          <w:sz w:val="18"/>
          <w:szCs w:val="18"/>
          <w:color w:val="auto"/>
        </w:rPr>
        <w:t>Trading:</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Interest rate contracts (b)</w:t>
      </w:r>
    </w:p>
    <w:p>
      <w:pPr>
        <w:spacing w:after="0" w:line="9" w:lineRule="exact"/>
        <w:rPr>
          <w:rFonts w:ascii="Arial" w:cs="Arial" w:eastAsia="Arial" w:hAnsi="Arial"/>
          <w:sz w:val="18"/>
          <w:szCs w:val="18"/>
          <w:b w:val="1"/>
          <w:bCs w:val="1"/>
          <w:color w:val="auto"/>
        </w:rPr>
      </w:pPr>
    </w:p>
    <w:p>
      <w:pPr>
        <w:ind w:left="460" w:right="138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Foreign exchange and other option and futures contracts (b) Total</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83" w:lineRule="exact"/>
        <w:rPr>
          <w:rFonts w:ascii="Arial" w:cs="Arial" w:eastAsia="Arial" w:hAnsi="Arial"/>
          <w:sz w:val="18"/>
          <w:szCs w:val="18"/>
          <w:b w:val="1"/>
          <w:bCs w:val="1"/>
          <w:color w:val="auto"/>
        </w:rPr>
      </w:pPr>
    </w:p>
    <w:p>
      <w:pPr>
        <w:ind w:left="460" w:right="2140"/>
        <w:spacing w:after="0" w:line="289"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Derivatives in fair value hedging relationships </w:t>
      </w:r>
      <w:r>
        <w:rPr>
          <w:rFonts w:ascii="Arial" w:cs="Arial" w:eastAsia="Arial" w:hAnsi="Arial"/>
          <w:sz w:val="16"/>
          <w:szCs w:val="16"/>
          <w:color w:val="auto"/>
        </w:rPr>
        <w:t>Interest rate swap agreements: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Fixed rate long-term borrowings (a)</w:t>
      </w:r>
    </w:p>
    <w:p>
      <w:pPr>
        <w:spacing w:after="0" w:line="50" w:lineRule="exact"/>
        <w:rPr>
          <w:rFonts w:ascii="Arial" w:cs="Arial" w:eastAsia="Arial" w:hAnsi="Arial"/>
          <w:sz w:val="18"/>
          <w:szCs w:val="18"/>
          <w:b w:val="1"/>
          <w:bCs w:val="1"/>
          <w:color w:val="auto"/>
        </w:rPr>
      </w:pPr>
    </w:p>
    <w:p>
      <w:pPr>
        <w:ind w:left="460" w:right="184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Derivatives not designated as hedging instruments </w:t>
      </w:r>
      <w:r>
        <w:rPr>
          <w:rFonts w:ascii="Arial" w:cs="Arial" w:eastAsia="Arial" w:hAnsi="Arial"/>
          <w:sz w:val="18"/>
          <w:szCs w:val="18"/>
          <w:color w:val="auto"/>
        </w:rPr>
        <w:t>Trading:</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Interest rate contracts (b)</w:t>
      </w:r>
    </w:p>
    <w:p>
      <w:pPr>
        <w:spacing w:after="0" w:line="9" w:lineRule="exact"/>
        <w:rPr>
          <w:rFonts w:ascii="Arial" w:cs="Arial" w:eastAsia="Arial" w:hAnsi="Arial"/>
          <w:sz w:val="18"/>
          <w:szCs w:val="18"/>
          <w:b w:val="1"/>
          <w:bCs w:val="1"/>
          <w:color w:val="auto"/>
        </w:rPr>
      </w:pPr>
    </w:p>
    <w:p>
      <w:pPr>
        <w:ind w:left="460" w:right="138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Foreign exchange and other option and futures contracts (b)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-2985135</wp:posOffset>
            </wp:positionV>
            <wp:extent cx="666369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-2710815</wp:posOffset>
            </wp:positionV>
            <wp:extent cx="666369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-2401570</wp:posOffset>
            </wp:positionV>
            <wp:extent cx="666369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-2127250</wp:posOffset>
            </wp:positionV>
            <wp:extent cx="666369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-1175385</wp:posOffset>
            </wp:positionV>
            <wp:extent cx="66636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-901065</wp:posOffset>
            </wp:positionV>
            <wp:extent cx="66636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-592455</wp:posOffset>
            </wp:positionV>
            <wp:extent cx="666369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-318135</wp:posOffset>
            </wp:positionV>
            <wp:extent cx="666369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6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151"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Amount of unrealized gain (loss) recognized</w:t>
      </w:r>
    </w:p>
    <w:tbl>
      <w:tblPr>
        <w:tblLayout w:type="fixed"/>
        <w:tblInd w:w="0" w:type="dxa"/>
        <w:tblCellMar>
          <w:top w:w="0" w:type="dxa"/>
          <w:left w:w="0" w:type="dxa"/>
          <w:bottom w:w="0" w:type="dxa"/>
          <w:right w:w="0" w:type="dxa"/>
        </w:tblCellMar>
      </w:tblPr>
      <w:tr>
        <w:trPr>
          <w:trHeight w:val="131"/>
        </w:trPr>
        <w:tc>
          <w:tcPr>
            <w:tcW w:w="1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4"/>
          </w:tcPr>
          <w:p>
            <w:pPr>
              <w:jc w:val="center"/>
              <w:ind w:right="92"/>
              <w:spacing w:after="0" w:line="131" w:lineRule="exact"/>
              <w:rPr>
                <w:sz w:val="20"/>
                <w:szCs w:val="20"/>
                <w:color w:val="auto"/>
              </w:rPr>
            </w:pPr>
            <w:r>
              <w:rPr>
                <w:rFonts w:ascii="Arial" w:cs="Arial" w:eastAsia="Arial" w:hAnsi="Arial"/>
                <w:sz w:val="14"/>
                <w:szCs w:val="14"/>
                <w:color w:val="auto"/>
                <w:w w:val="85"/>
              </w:rPr>
              <w:t>Three months ended</w:t>
            </w: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3"/>
          </w:tcPr>
          <w:p>
            <w:pPr>
              <w:jc w:val="center"/>
              <w:ind w:right="42"/>
              <w:spacing w:after="0" w:line="131" w:lineRule="exact"/>
              <w:rPr>
                <w:sz w:val="20"/>
                <w:szCs w:val="20"/>
                <w:color w:val="auto"/>
              </w:rPr>
            </w:pPr>
            <w:r>
              <w:rPr>
                <w:rFonts w:ascii="Arial" w:cs="Arial" w:eastAsia="Arial" w:hAnsi="Arial"/>
                <w:sz w:val="14"/>
                <w:szCs w:val="14"/>
                <w:color w:val="auto"/>
                <w:w w:val="85"/>
              </w:rPr>
              <w:t>Three months ended</w:t>
            </w:r>
          </w:p>
        </w:tc>
        <w:tc>
          <w:tcPr>
            <w:tcW w:w="60" w:type="dxa"/>
            <w:vAlign w:val="bottom"/>
          </w:tcPr>
          <w:p>
            <w:pPr>
              <w:spacing w:after="0"/>
              <w:rPr>
                <w:sz w:val="11"/>
                <w:szCs w:val="11"/>
                <w:color w:val="auto"/>
              </w:rPr>
            </w:pPr>
          </w:p>
        </w:tc>
      </w:tr>
      <w:tr>
        <w:trPr>
          <w:trHeight w:val="159"/>
        </w:trPr>
        <w:tc>
          <w:tcPr>
            <w:tcW w:w="140" w:type="dxa"/>
            <w:vAlign w:val="bottom"/>
          </w:tcPr>
          <w:p>
            <w:pPr>
              <w:spacing w:after="0"/>
              <w:rPr>
                <w:sz w:val="13"/>
                <w:szCs w:val="13"/>
                <w:color w:val="auto"/>
              </w:rPr>
            </w:pPr>
          </w:p>
        </w:tc>
        <w:tc>
          <w:tcPr>
            <w:tcW w:w="1700" w:type="dxa"/>
            <w:vAlign w:val="bottom"/>
            <w:gridSpan w:val="4"/>
          </w:tcPr>
          <w:p>
            <w:pPr>
              <w:jc w:val="center"/>
              <w:ind w:right="92"/>
              <w:spacing w:after="0" w:line="159" w:lineRule="exact"/>
              <w:rPr>
                <w:sz w:val="20"/>
                <w:szCs w:val="20"/>
                <w:color w:val="auto"/>
              </w:rPr>
            </w:pPr>
            <w:r>
              <w:rPr>
                <w:rFonts w:ascii="Arial" w:cs="Arial" w:eastAsia="Arial" w:hAnsi="Arial"/>
                <w:sz w:val="14"/>
                <w:szCs w:val="14"/>
                <w:color w:val="auto"/>
                <w:w w:val="83"/>
              </w:rPr>
              <w:t>June 30, 2013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4"/>
          </w:tcPr>
          <w:p>
            <w:pPr>
              <w:jc w:val="center"/>
              <w:ind w:right="180"/>
              <w:spacing w:after="0" w:line="159" w:lineRule="exact"/>
              <w:rPr>
                <w:sz w:val="20"/>
                <w:szCs w:val="20"/>
                <w:color w:val="auto"/>
              </w:rPr>
            </w:pPr>
            <w:r>
              <w:rPr>
                <w:rFonts w:ascii="Arial" w:cs="Arial" w:eastAsia="Arial" w:hAnsi="Arial"/>
                <w:sz w:val="14"/>
                <w:szCs w:val="14"/>
                <w:color w:val="auto"/>
                <w:w w:val="83"/>
              </w:rPr>
              <w:t>June 30, 2012</w:t>
            </w:r>
          </w:p>
        </w:tc>
      </w:tr>
      <w:tr>
        <w:trPr>
          <w:trHeight w:val="142"/>
        </w:trPr>
        <w:tc>
          <w:tcPr>
            <w:tcW w:w="76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color w:val="auto"/>
              </w:rPr>
              <w:t>Derivative</w:t>
            </w: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Hedged item</w:t>
            </w:r>
          </w:p>
        </w:tc>
        <w:tc>
          <w:tcPr>
            <w:tcW w:w="46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60" w:type="dxa"/>
            <w:vAlign w:val="bottom"/>
          </w:tcPr>
          <w:p>
            <w:pPr>
              <w:spacing w:after="0"/>
              <w:rPr>
                <w:sz w:val="12"/>
                <w:szCs w:val="12"/>
                <w:color w:val="auto"/>
              </w:rPr>
            </w:pPr>
          </w:p>
        </w:tc>
      </w:tr>
      <w:tr>
        <w:trPr>
          <w:trHeight w:val="166"/>
        </w:trPr>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center"/>
              <w:ind w:left="452"/>
              <w:spacing w:after="0"/>
              <w:rPr>
                <w:sz w:val="20"/>
                <w:szCs w:val="20"/>
                <w:color w:val="auto"/>
              </w:rPr>
            </w:pPr>
            <w:r>
              <w:rPr>
                <w:rFonts w:ascii="Arial" w:cs="Arial" w:eastAsia="Arial" w:hAnsi="Arial"/>
                <w:sz w:val="14"/>
                <w:szCs w:val="14"/>
                <w:color w:val="auto"/>
                <w:w w:val="87"/>
              </w:rPr>
              <w:t>(in thousands)</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623"/>
        </w:trPr>
        <w:tc>
          <w:tcPr>
            <w:tcW w:w="7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(20,138)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18,853</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9,674</w:t>
            </w:r>
          </w:p>
        </w:tc>
        <w:tc>
          <w:tcPr>
            <w:tcW w:w="5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(9,168)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2,080</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(1,225)</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(2,435)</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(355)</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color w:val="auto"/>
                <w:w w:val="87"/>
              </w:rPr>
              <w:t>Amount of unrealized gain (loss) recognized</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1"/>
        </w:trPr>
        <w:tc>
          <w:tcPr>
            <w:tcW w:w="140" w:type="dxa"/>
            <w:vAlign w:val="bottom"/>
          </w:tcPr>
          <w:p>
            <w:pPr>
              <w:spacing w:after="0"/>
              <w:rPr>
                <w:sz w:val="11"/>
                <w:szCs w:val="11"/>
                <w:color w:val="auto"/>
              </w:rPr>
            </w:pPr>
          </w:p>
        </w:tc>
        <w:tc>
          <w:tcPr>
            <w:tcW w:w="1700" w:type="dxa"/>
            <w:vAlign w:val="bottom"/>
            <w:gridSpan w:val="4"/>
          </w:tcPr>
          <w:p>
            <w:pPr>
              <w:jc w:val="center"/>
              <w:ind w:right="72"/>
              <w:spacing w:after="0" w:line="131" w:lineRule="exact"/>
              <w:rPr>
                <w:sz w:val="20"/>
                <w:szCs w:val="20"/>
                <w:color w:val="auto"/>
              </w:rPr>
            </w:pPr>
            <w:r>
              <w:rPr>
                <w:rFonts w:ascii="Arial" w:cs="Arial" w:eastAsia="Arial" w:hAnsi="Arial"/>
                <w:sz w:val="14"/>
                <w:szCs w:val="14"/>
                <w:color w:val="auto"/>
                <w:w w:val="85"/>
              </w:rPr>
              <w:t>Six months ended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3"/>
          </w:tcPr>
          <w:p>
            <w:pPr>
              <w:jc w:val="center"/>
              <w:ind w:right="42"/>
              <w:spacing w:after="0" w:line="131" w:lineRule="exact"/>
              <w:rPr>
                <w:sz w:val="20"/>
                <w:szCs w:val="20"/>
                <w:color w:val="auto"/>
              </w:rPr>
            </w:pPr>
            <w:r>
              <w:rPr>
                <w:rFonts w:ascii="Arial" w:cs="Arial" w:eastAsia="Arial" w:hAnsi="Arial"/>
                <w:sz w:val="14"/>
                <w:szCs w:val="14"/>
                <w:color w:val="auto"/>
                <w:w w:val="87"/>
              </w:rPr>
              <w:t>Six months ended</w:t>
            </w:r>
          </w:p>
        </w:tc>
        <w:tc>
          <w:tcPr>
            <w:tcW w:w="60" w:type="dxa"/>
            <w:vAlign w:val="bottom"/>
          </w:tcPr>
          <w:p>
            <w:pPr>
              <w:spacing w:after="0"/>
              <w:rPr>
                <w:sz w:val="11"/>
                <w:szCs w:val="11"/>
                <w:color w:val="auto"/>
              </w:rPr>
            </w:pPr>
          </w:p>
        </w:tc>
      </w:tr>
      <w:tr>
        <w:trPr>
          <w:trHeight w:val="159"/>
        </w:trPr>
        <w:tc>
          <w:tcPr>
            <w:tcW w:w="140" w:type="dxa"/>
            <w:vAlign w:val="bottom"/>
          </w:tcPr>
          <w:p>
            <w:pPr>
              <w:spacing w:after="0"/>
              <w:rPr>
                <w:sz w:val="13"/>
                <w:szCs w:val="13"/>
                <w:color w:val="auto"/>
              </w:rPr>
            </w:pPr>
          </w:p>
        </w:tc>
        <w:tc>
          <w:tcPr>
            <w:tcW w:w="1700" w:type="dxa"/>
            <w:vAlign w:val="bottom"/>
            <w:gridSpan w:val="4"/>
          </w:tcPr>
          <w:p>
            <w:pPr>
              <w:jc w:val="center"/>
              <w:ind w:right="72"/>
              <w:spacing w:after="0" w:line="159" w:lineRule="exact"/>
              <w:rPr>
                <w:sz w:val="20"/>
                <w:szCs w:val="20"/>
                <w:color w:val="auto"/>
              </w:rPr>
            </w:pPr>
            <w:r>
              <w:rPr>
                <w:rFonts w:ascii="Arial" w:cs="Arial" w:eastAsia="Arial" w:hAnsi="Arial"/>
                <w:sz w:val="14"/>
                <w:szCs w:val="14"/>
                <w:color w:val="auto"/>
                <w:w w:val="85"/>
              </w:rPr>
              <w:t>June 30, 2013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4"/>
          </w:tcPr>
          <w:p>
            <w:pPr>
              <w:jc w:val="center"/>
              <w:ind w:right="180"/>
              <w:spacing w:after="0" w:line="159" w:lineRule="exact"/>
              <w:rPr>
                <w:sz w:val="20"/>
                <w:szCs w:val="20"/>
                <w:color w:val="auto"/>
              </w:rPr>
            </w:pPr>
            <w:r>
              <w:rPr>
                <w:rFonts w:ascii="Arial" w:cs="Arial" w:eastAsia="Arial" w:hAnsi="Arial"/>
                <w:sz w:val="14"/>
                <w:szCs w:val="14"/>
                <w:color w:val="auto"/>
                <w:w w:val="83"/>
              </w:rPr>
              <w:t>June 30, 2012</w:t>
            </w:r>
          </w:p>
        </w:tc>
      </w:tr>
      <w:tr>
        <w:trPr>
          <w:trHeight w:val="142"/>
        </w:trPr>
        <w:tc>
          <w:tcPr>
            <w:tcW w:w="76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color w:val="auto"/>
              </w:rPr>
              <w:t>Derivative</w:t>
            </w: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Hedged item</w:t>
            </w:r>
          </w:p>
        </w:tc>
        <w:tc>
          <w:tcPr>
            <w:tcW w:w="46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60" w:type="dxa"/>
            <w:vAlign w:val="bottom"/>
          </w:tcPr>
          <w:p>
            <w:pPr>
              <w:spacing w:after="0"/>
              <w:rPr>
                <w:sz w:val="12"/>
                <w:szCs w:val="12"/>
                <w:color w:val="auto"/>
              </w:rPr>
            </w:pPr>
          </w:p>
        </w:tc>
      </w:tr>
      <w:tr>
        <w:trPr>
          <w:trHeight w:val="166"/>
        </w:trPr>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center"/>
              <w:ind w:left="472"/>
              <w:spacing w:after="0"/>
              <w:rPr>
                <w:sz w:val="20"/>
                <w:szCs w:val="20"/>
                <w:color w:val="auto"/>
              </w:rPr>
            </w:pPr>
            <w:r>
              <w:rPr>
                <w:rFonts w:ascii="Arial" w:cs="Arial" w:eastAsia="Arial" w:hAnsi="Arial"/>
                <w:sz w:val="14"/>
                <w:szCs w:val="14"/>
                <w:color w:val="auto"/>
                <w:w w:val="85"/>
              </w:rPr>
              <w:t>(in thousands)</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623"/>
        </w:trPr>
        <w:tc>
          <w:tcPr>
            <w:tcW w:w="7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(29,011)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27,753</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2,645</w:t>
            </w:r>
          </w:p>
        </w:tc>
        <w:tc>
          <w:tcPr>
            <w:tcW w:w="5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(2,624)</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3,219</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(1,608)</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(3,145)</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060" w:space="720"/>
            <w:col w:w="4140"/>
          </w:cols>
          <w:pgMar w:left="240" w:top="459" w:right="7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4"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$55 million and $89 million at June 30, 2013 and December 31, 2012, respectively. Changes in unrealized gains and losses are included in mortgage banking revenues and, in general, are realized in subsequent periods as the related loans are sold and commitments satisfied.</w:t>
      </w:r>
    </w:p>
    <w:p>
      <w:pPr>
        <w:spacing w:after="0" w:line="105"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43"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The aggregate fair value of derivative financial instruments in a liability position, which are subject to enforceable master netting arrangements, was $241 million and $374 million at June 30, 2013 and December 31, 2012, respectively. After consideration of such netting arrangements, the net liability positions with counterparties aggregated $145 million and $281 million at June 30, 2013 and December 31, 2012, respectively. The Company was required to post collateral relating to those positions of $134 million and $266 million at June 30, 2013 and December 31, 2012,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June 30, 2013 was $50 million for which the Company had posted collateral of $36 million in the normal course of business. If the credit-risk-related contingent features had been triggered on June 30, 2013, the maximum amount of additional collateral the Company would have been required to post to counterparties was $14 million.</w:t>
      </w:r>
    </w:p>
    <w:p>
      <w:pPr>
        <w:spacing w:after="0" w:line="123"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The aggregate fair value of derivative financial instruments in an asset position, which are subject to enforceable master netting arrangements, was $218 million and $164 million at June 30, 2013 and December 31, 2012, respectively. After consideration of such netting arrangements, the net asset positions with counterparties aggregated $82 million and $71 million at June 30, 2013 and December 31, 2012, respectively. Counterparties posted collateral relating to those positions of $81 million and $69 million at June 30, 2013 and December 31, 2012, respectively. Trading account interest rate swap agreements entered into with customers are subject to the Company’s credit risk standards and often contain collateral provisions.</w:t>
      </w:r>
    </w:p>
    <w:p>
      <w:pPr>
        <w:spacing w:after="0" w:line="2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w:t>
      </w:r>
    </w:p>
    <w:p>
      <w:pPr>
        <w:spacing w:after="0" w:line="9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In the second quarter of 2013, the Company securitized approximately $923 million of one-to-four family residential mortgage loans in guaranteed mortgage securitizations with Ginnie Mae. Approximately $296 million of such loans were formerly held in the Company’s loan portfolio, whereas the remaining $627 million of the loans were newly originated. The Company retained $917 million of the resulting securities and recognized gains of $7 million relating to loans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 continued</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previously held for investment, which has been recorded in other revenues from operations, and gains of $10 million on newly originated loans, which has been reflected in mortgage banking revenues. The Company expects no material credit-related losses on the retained securities as a result of the guarantees by Ginnie Mae. At June 30, 2013 the Company had $1.0 billion of loans in its loan portfolio guaranteed by the Federal Housing Administration that the Company intends to securitize with Ginnie Mae in the third quarter of 2013. The Company expects to retain the substantial majority of the resulting securities in its investment portfolio.</w:t>
      </w:r>
    </w:p>
    <w:p>
      <w:pPr>
        <w:spacing w:after="0" w:line="14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June 30, 2013 and December 31, 2012, the carrying values of the loans in the securitization trust were $133 million and $151 million, respectively. The outstanding principal amount of mortgage-backed securities issued by the qualified special purpose trust that was held by parties unrelated to M&amp;T at June 30, 2013 and December 31, 2012 was $20 million and $23 million, respectively. Because the transaction was non-recourse, the Company’s maximum exposure to loss as a result of its association with the trust at June 30, 2013 is limited to realizing the carrying value of the loans less the amount of the mortgage-backed securities held by third parties.</w:t>
      </w:r>
    </w:p>
    <w:p>
      <w:pPr>
        <w:spacing w:after="0" w:line="118"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June 30, 2013 and December 31, 2012,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2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Company has invested as a limited partner in various partnerships that collectively had total assets of approximately $1.4 billion and $1.5 billion at June 30, 2013 and December 31, 2012,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$264 million, including $75 million of unfunded commitments, at June 30, 2013 and $270 million, including $71 million of unfunded commitments, at December 31, 2012.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June 30, 2013.</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59"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90" w:lineRule="exact"/>
        <w:rPr>
          <w:rFonts w:ascii="Arial" w:cs="Arial" w:eastAsia="Arial" w:hAnsi="Arial"/>
          <w:sz w:val="18"/>
          <w:szCs w:val="18"/>
          <w:color w:val="auto"/>
        </w:rPr>
      </w:pPr>
    </w:p>
    <w:p>
      <w:pPr>
        <w:ind w:left="900" w:right="560" w:hanging="325"/>
        <w:spacing w:after="0" w:line="33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4" w:lineRule="exact"/>
        <w:rPr>
          <w:rFonts w:ascii="Arial" w:cs="Arial" w:eastAsia="Arial" w:hAnsi="Arial"/>
          <w:sz w:val="16"/>
          <w:szCs w:val="16"/>
          <w:color w:val="auto"/>
        </w:rPr>
      </w:pPr>
    </w:p>
    <w:p>
      <w:pPr>
        <w:ind w:left="900" w:right="240" w:hanging="325"/>
        <w:spacing w:after="0" w:line="33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8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90"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As discussed in note 3, the Company sold substantially all of its privately issued mortgage-backed securities classified as available for sale during the second quarter of 2013. In prior periods, the Company generally used model-based techniques to value such securities because the Company was significantly restricted in the level of market observable assumptions that could be relied upon. Specifically, market assumptions regarding credit adjusted cash flows and liquidity influences on discount rates were difficult to observe at the individual bond level. Because of the inactivity in the markets and the lack of observable valuation inputs, the Company had classified the valuation of privately issued mortgage-backed securities as Level 3.</w:t>
      </w:r>
    </w:p>
    <w:p>
      <w:pPr>
        <w:spacing w:after="0" w:line="116"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At December 31, 2012, the Company supplemented its determination of fair value for many of its privately issued mortgage-backed securities by obtaining pricing indications from two independent sources. However, the Company could not readily ascertain that the basis of such valuations could be ascribed to orderly and observable trades in the market for privately issued mortgage-backed securities. As a result, the Company also performed internal modeling to estimate the cash flows and fair value of privately issued mortgage-backed securities with an amortized cost basis of $1.1 billion at December 31, 2012.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home price depreciation or appreciation and loss rates. To determine the point within the range of potential values that was most representative of fair value under current market conditions for each of the bonds, the Company averaged the internal model valuations and the indications obtained from the two independent pricing sources, such that the weighted-average reliance on internal model pricing for the bonds modeled was 33% with a 67% average weighting placed on the values provided by the independent sources. Significant unobservable inputs used in the Company’s modeling of fair value for mortgage-backed securities are included in the accompanying table of significant unobservable inputs to Level 3 measurements.</w:t>
      </w:r>
    </w:p>
    <w:p>
      <w:pPr>
        <w:spacing w:after="0" w:line="112"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June 30, 2013 and December 31, 2012.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5% to 10%, with a weighted-average of 8%, was used. Significant unobservable inputs used in the determination of estimated fair value of collateralized debt obligations are included in the accompanying table of significant unobservable inputs to Level 3 measurements. The total amortized cost and fair value of securities backed by trust preferred securities issued by financial institutions and other entities were $43 million and $60 million, respectively, at June 30, 2013 and $43 million and $62 million, respectively, at December 31, 2012.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40" w:firstLine="913"/>
        <w:spacing w:after="0" w:line="323" w:lineRule="auto"/>
        <w:rPr>
          <w:sz w:val="20"/>
          <w:szCs w:val="20"/>
          <w:color w:val="auto"/>
        </w:rPr>
      </w:pPr>
      <w:r>
        <w:rPr>
          <w:rFonts w:ascii="Arial" w:cs="Arial" w:eastAsia="Arial" w:hAnsi="Arial"/>
          <w:sz w:val="15"/>
          <w:szCs w:val="15"/>
          <w:color w:val="auto"/>
        </w:rPr>
        <w:t>The Company ensures an appropriate control framework is in place over the valuation processes and techniques used for significant Level 3 fair value measurements. To the extent available, the Company attempts to obtain market observable inputs on a sample of bonds each quarter. Analytical procedures are performed to understand changes in fair value from period to period. Internal pricing models used for significant valuation measurements have generally been subjected to validation procedures including testing of mathematical constructs, review of valuation methodology and significant assumptions used.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originated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following tables present assets and liabilities at June 30, 2013 and December 31, 2012 measured at estimated fair value on a recurring basis: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color w:val="auto"/>
                <w:w w:val="87"/>
              </w:rPr>
              <w:t>Fair value</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w w:val="81"/>
              </w:rPr>
              <w:t>measurements at</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85"/>
              </w:rPr>
              <w:t>June 30,</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6"/>
              <w:spacing w:after="0" w:line="159" w:lineRule="exact"/>
              <w:rPr>
                <w:sz w:val="20"/>
                <w:szCs w:val="20"/>
                <w:color w:val="auto"/>
              </w:rPr>
            </w:pPr>
            <w:r>
              <w:rPr>
                <w:rFonts w:ascii="Arial" w:cs="Arial" w:eastAsia="Arial" w:hAnsi="Arial"/>
                <w:sz w:val="14"/>
                <w:szCs w:val="14"/>
                <w:color w:val="auto"/>
                <w:w w:val="83"/>
              </w:rPr>
              <w:t>2013</w:t>
            </w:r>
          </w:p>
        </w:tc>
        <w:tc>
          <w:tcPr>
            <w:tcW w:w="4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87"/>
              </w:rPr>
              <w:t>Level 1 (a)</w:t>
            </w:r>
          </w:p>
        </w:tc>
        <w:tc>
          <w:tcPr>
            <w:tcW w:w="400" w:type="dxa"/>
            <w:vAlign w:val="bottom"/>
          </w:tcPr>
          <w:p>
            <w:pPr>
              <w:spacing w:after="0"/>
              <w:rPr>
                <w:sz w:val="13"/>
                <w:szCs w:val="13"/>
                <w:color w:val="auto"/>
              </w:rPr>
            </w:pPr>
          </w:p>
        </w:tc>
        <w:tc>
          <w:tcPr>
            <w:tcW w:w="114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w w:val="99"/>
              </w:rPr>
              <w:t>Level 2 (a)</w:t>
            </w:r>
          </w:p>
        </w:tc>
        <w:tc>
          <w:tcPr>
            <w:tcW w:w="6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4"/>
          </w:tcPr>
          <w:p>
            <w:pPr>
              <w:ind w:left="32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48,001</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330,234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and federal agencies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38,108</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Obligations of states and political subdivisions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19,231</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19,231</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Mortgage-backed securities: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Government issued or guaranteed</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2,694,893</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2,694,893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Privately issued</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Collateralized debt obligations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59,916</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securities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117,951</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ind w:left="440"/>
              <w:spacing w:after="0"/>
              <w:rPr>
                <w:sz w:val="20"/>
                <w:szCs w:val="20"/>
                <w:color w:val="auto"/>
              </w:rPr>
            </w:pPr>
            <w:r>
              <w:rPr>
                <w:rFonts w:ascii="Arial" w:cs="Arial" w:eastAsia="Arial" w:hAnsi="Arial"/>
                <w:sz w:val="18"/>
                <w:szCs w:val="18"/>
                <w:color w:val="auto"/>
              </w:rPr>
              <w:t>Equity securities</w:t>
            </w:r>
          </w:p>
        </w:tc>
        <w:tc>
          <w:tcPr>
            <w:tcW w:w="1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149,715</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121,254</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28,461</w:t>
            </w:r>
          </w:p>
        </w:tc>
        <w:tc>
          <w:tcPr>
            <w:tcW w:w="38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3,085,086</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121,254</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2,898,644</w:t>
            </w:r>
          </w:p>
        </w:tc>
        <w:tc>
          <w:tcPr>
            <w:tcW w:w="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2,014,505</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2,014,505</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220,957</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204,848</w:t>
            </w:r>
          </w:p>
        </w:tc>
        <w:tc>
          <w:tcPr>
            <w:tcW w:w="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100" w:type="dxa"/>
            <w:vAlign w:val="bottom"/>
            <w:gridSpan w:val="2"/>
          </w:tcPr>
          <w:p>
            <w:pPr>
              <w:ind w:left="19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5,698,783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169,255</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5,448,231</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81,297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277,904</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277,904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Other liabilities (b)</w:t>
            </w:r>
          </w:p>
        </w:tc>
        <w:tc>
          <w:tcPr>
            <w:tcW w:w="1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23,242</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14,541</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301,146</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292,445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980" w:type="dxa"/>
            <w:vAlign w:val="bottom"/>
            <w:vMerge w:val="restart"/>
          </w:tcPr>
          <w:p>
            <w:pPr>
              <w:ind w:left="680"/>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color w:val="auto"/>
                <w:w w:val="87"/>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6"/>
              </w:rPr>
              <w:t>December 31,</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5"/>
              <w:spacing w:after="0" w:line="159" w:lineRule="exact"/>
              <w:rPr>
                <w:sz w:val="20"/>
                <w:szCs w:val="20"/>
                <w:color w:val="auto"/>
              </w:rPr>
            </w:pPr>
            <w:r>
              <w:rPr>
                <w:rFonts w:ascii="Arial" w:cs="Arial" w:eastAsia="Arial" w:hAnsi="Arial"/>
                <w:sz w:val="14"/>
                <w:szCs w:val="14"/>
                <w:color w:val="auto"/>
                <w:w w:val="89"/>
              </w:rPr>
              <w:t>2012</w:t>
            </w:r>
          </w:p>
        </w:tc>
        <w:tc>
          <w:tcPr>
            <w:tcW w:w="38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0"/>
              </w:rPr>
              <w:t>Level 1 (a)</w:t>
            </w:r>
          </w:p>
        </w:tc>
        <w:tc>
          <w:tcPr>
            <w:tcW w:w="11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488,966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56,106</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432,860</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and federal agencies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39,344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39,344</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Obligations of states and political subdivisions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20,901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20,901</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Mortgage-backed securities: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880"/>
              <w:spacing w:after="0"/>
              <w:rPr>
                <w:sz w:val="20"/>
                <w:szCs w:val="20"/>
                <w:color w:val="auto"/>
              </w:rPr>
            </w:pPr>
            <w:r>
              <w:rPr>
                <w:rFonts w:ascii="Arial" w:cs="Arial" w:eastAsia="Arial" w:hAnsi="Arial"/>
                <w:sz w:val="18"/>
                <w:szCs w:val="18"/>
                <w:color w:val="auto"/>
              </w:rPr>
              <w:t>Government issued or guaranteed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3,371,041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3,371,041</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Privately issued</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1,023,886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1,023,886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Collateralized debt obligations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61,869</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securities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111,950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111,950</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Equity securities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110,446</w:t>
            </w:r>
          </w:p>
        </w:tc>
        <w:tc>
          <w:tcPr>
            <w:tcW w:w="3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98,364</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12,082</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4,739,437</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98,364</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3,555,318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1,085,755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Real estate loans held for sale</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1,387,491</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1,387,491</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146,275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vMerge w:val="continue"/>
          </w:tcPr>
          <w:p>
            <w:pPr>
              <w:spacing w:after="0"/>
              <w:rPr>
                <w:sz w:val="19"/>
                <w:szCs w:val="19"/>
                <w:color w:val="auto"/>
              </w:rPr>
            </w:pPr>
          </w:p>
        </w:tc>
        <w:tc>
          <w:tcPr>
            <w:tcW w:w="1340" w:type="dxa"/>
            <w:vAlign w:val="bottom"/>
            <w:gridSpan w:val="2"/>
          </w:tcPr>
          <w:p>
            <w:pPr>
              <w:ind w:left="1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6,810,225</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154,470</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5,521,944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1,133,811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374,274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374,274</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liabilities (b)</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10,592</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10,395</w:t>
            </w:r>
          </w:p>
        </w:tc>
        <w:tc>
          <w:tcPr>
            <w:tcW w:w="760" w:type="dxa"/>
            <w:vAlign w:val="bottom"/>
          </w:tcPr>
          <w:p>
            <w:pPr>
              <w:ind w:left="500"/>
              <w:spacing w:after="0"/>
              <w:rPr>
                <w:sz w:val="20"/>
                <w:szCs w:val="20"/>
                <w:color w:val="auto"/>
              </w:rPr>
            </w:pPr>
            <w:r>
              <w:rPr>
                <w:rFonts w:ascii="Arial" w:cs="Arial" w:eastAsia="Arial" w:hAnsi="Arial"/>
                <w:sz w:val="18"/>
                <w:szCs w:val="18"/>
                <w:color w:val="auto"/>
                <w:w w:val="79"/>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384,866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384,669</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60" w:hanging="572"/>
        <w:spacing w:after="0" w:line="254" w:lineRule="auto"/>
        <w:tabs>
          <w:tab w:leader="none" w:pos="58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and six months ended June 30, 2013 and 2012.</w:t>
      </w:r>
    </w:p>
    <w:p>
      <w:pPr>
        <w:ind w:left="580" w:hanging="572"/>
        <w:spacing w:after="0" w:line="261" w:lineRule="auto"/>
        <w:tabs>
          <w:tab w:leader="none" w:pos="58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changes in Level 3 assets and liabilities measured at estimated fair value on a recurring basis during the three months ended June 30, 2013 were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6"/>
          </w:tcPr>
          <w:p>
            <w:pPr>
              <w:jc w:val="right"/>
              <w:ind w:right="1240"/>
              <w:spacing w:after="0"/>
              <w:rPr>
                <w:sz w:val="20"/>
                <w:szCs w:val="20"/>
                <w:color w:val="auto"/>
              </w:rPr>
            </w:pPr>
            <w:r>
              <w:rPr>
                <w:rFonts w:ascii="Arial" w:cs="Arial" w:eastAsia="Arial" w:hAnsi="Arial"/>
                <w:sz w:val="14"/>
                <w:szCs w:val="14"/>
                <w:color w:val="auto"/>
                <w:w w:val="91"/>
              </w:rPr>
              <w:t>Investment securities available for sale</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500" w:type="dxa"/>
            <w:vAlign w:val="bottom"/>
            <w:tcBorders>
              <w:top w:val="single" w:sz="8" w:color="auto"/>
            </w:tcBorders>
            <w:gridSpan w:val="3"/>
          </w:tcPr>
          <w:p>
            <w:pPr>
              <w:ind w:left="60"/>
              <w:spacing w:after="0" w:line="131" w:lineRule="exact"/>
              <w:rPr>
                <w:sz w:val="20"/>
                <w:szCs w:val="20"/>
                <w:color w:val="auto"/>
              </w:rPr>
            </w:pPr>
            <w:r>
              <w:rPr>
                <w:rFonts w:ascii="Arial" w:cs="Arial" w:eastAsia="Arial" w:hAnsi="Arial"/>
                <w:sz w:val="14"/>
                <w:szCs w:val="14"/>
                <w:color w:val="auto"/>
              </w:rPr>
              <w:t>Privately issued</w:t>
            </w:r>
          </w:p>
        </w:tc>
        <w:tc>
          <w:tcPr>
            <w:tcW w:w="4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7"/>
              </w:rPr>
              <w:t>Collateralized</w:t>
            </w:r>
          </w:p>
        </w:tc>
        <w:tc>
          <w:tcPr>
            <w:tcW w:w="9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1220"/>
              <w:spacing w:after="0" w:line="149" w:lineRule="exact"/>
              <w:rPr>
                <w:sz w:val="20"/>
                <w:szCs w:val="20"/>
                <w:color w:val="auto"/>
              </w:rPr>
            </w:pPr>
            <w:r>
              <w:rPr>
                <w:rFonts w:ascii="Arial" w:cs="Arial" w:eastAsia="Arial" w:hAnsi="Arial"/>
                <w:sz w:val="14"/>
                <w:szCs w:val="14"/>
                <w:color w:val="auto"/>
              </w:rPr>
              <w:t>debt</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w w:val="94"/>
              </w:rPr>
              <w:t>securities</w:t>
            </w:r>
          </w:p>
        </w:tc>
        <w:tc>
          <w:tcPr>
            <w:tcW w:w="400" w:type="dxa"/>
            <w:vAlign w:val="bottom"/>
          </w:tcPr>
          <w:p>
            <w:pPr>
              <w:spacing w:after="0"/>
              <w:rPr>
                <w:sz w:val="13"/>
                <w:szCs w:val="13"/>
                <w:color w:val="auto"/>
              </w:rPr>
            </w:pPr>
          </w:p>
        </w:tc>
        <w:tc>
          <w:tcPr>
            <w:tcW w:w="1720" w:type="dxa"/>
            <w:vAlign w:val="bottom"/>
            <w:gridSpan w:val="3"/>
          </w:tcPr>
          <w:p>
            <w:pPr>
              <w:jc w:val="right"/>
              <w:ind w:right="1040"/>
              <w:spacing w:after="0" w:line="159" w:lineRule="exact"/>
              <w:rPr>
                <w:sz w:val="20"/>
                <w:szCs w:val="20"/>
                <w:color w:val="auto"/>
              </w:rPr>
            </w:pPr>
            <w:r>
              <w:rPr>
                <w:rFonts w:ascii="Arial" w:cs="Arial" w:eastAsia="Arial" w:hAnsi="Arial"/>
                <w:sz w:val="14"/>
                <w:szCs w:val="14"/>
                <w:color w:val="auto"/>
                <w:w w:val="98"/>
              </w:rPr>
              <w:t>obligations</w:t>
            </w:r>
          </w:p>
        </w:tc>
        <w:tc>
          <w:tcPr>
            <w:tcW w:w="10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ind w:left="26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993,247</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61,718</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36,119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(46,302) (a)</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15,500 (b)</w:t>
            </w: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90,203 (e)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(1,277) (e)</w:t>
            </w:r>
          </w:p>
        </w:tc>
        <w:tc>
          <w:tcPr>
            <w:tcW w:w="12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(978,608)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(53,268)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(c)</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(44,211) (d)</w:t>
            </w: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Balance – June 30, 2013</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59,916</w:t>
            </w:r>
          </w:p>
        </w:tc>
        <w:tc>
          <w:tcPr>
            <w:tcW w:w="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Changes in unrealized gains included in earnings related to</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still held at June 30, 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4,123 (b)</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changes in Level 3 assets and liabilities measured at estimated fair value on a recurring basis during the three months ended June 30, 2012 were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6"/>
          </w:tcPr>
          <w:p>
            <w:pPr>
              <w:jc w:val="right"/>
              <w:ind w:right="1180"/>
              <w:spacing w:after="0"/>
              <w:rPr>
                <w:sz w:val="20"/>
                <w:szCs w:val="20"/>
                <w:color w:val="auto"/>
              </w:rPr>
            </w:pPr>
            <w:r>
              <w:rPr>
                <w:rFonts w:ascii="Arial" w:cs="Arial" w:eastAsia="Arial" w:hAnsi="Arial"/>
                <w:sz w:val="14"/>
                <w:szCs w:val="14"/>
                <w:color w:val="auto"/>
                <w:w w:val="91"/>
              </w:rPr>
              <w:t>Investment securities available for sale</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tcBorders>
              <w:top w:val="single" w:sz="8" w:color="auto"/>
            </w:tcBorders>
            <w:gridSpan w:val="3"/>
          </w:tcPr>
          <w:p>
            <w:pPr>
              <w:jc w:val="center"/>
              <w:ind w:right="540"/>
              <w:spacing w:after="0" w:line="131" w:lineRule="exact"/>
              <w:rPr>
                <w:sz w:val="20"/>
                <w:szCs w:val="20"/>
                <w:color w:val="auto"/>
              </w:rPr>
            </w:pPr>
            <w:r>
              <w:rPr>
                <w:rFonts w:ascii="Arial" w:cs="Arial" w:eastAsia="Arial" w:hAnsi="Arial"/>
                <w:sz w:val="14"/>
                <w:szCs w:val="14"/>
                <w:color w:val="auto"/>
                <w:w w:val="87"/>
              </w:rPr>
              <w:t>Privately issued</w:t>
            </w:r>
          </w:p>
        </w:tc>
        <w:tc>
          <w:tcPr>
            <w:tcW w:w="3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9"/>
              </w:rPr>
              <w:t>Collateralized</w:t>
            </w:r>
          </w:p>
        </w:tc>
        <w:tc>
          <w:tcPr>
            <w:tcW w:w="9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debt</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4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4"/>
              </w:rPr>
              <w:t>securities</w:t>
            </w:r>
          </w:p>
        </w:tc>
        <w:tc>
          <w:tcPr>
            <w:tcW w:w="380" w:type="dxa"/>
            <w:vAlign w:val="bottom"/>
          </w:tcPr>
          <w:p>
            <w:pPr>
              <w:spacing w:after="0"/>
              <w:rPr>
                <w:sz w:val="13"/>
                <w:szCs w:val="13"/>
                <w:color w:val="auto"/>
              </w:rPr>
            </w:pPr>
          </w:p>
        </w:tc>
        <w:tc>
          <w:tcPr>
            <w:tcW w:w="1680" w:type="dxa"/>
            <w:vAlign w:val="bottom"/>
            <w:gridSpan w:val="3"/>
          </w:tcPr>
          <w:p>
            <w:pPr>
              <w:jc w:val="right"/>
              <w:ind w:right="1000"/>
              <w:spacing w:after="0" w:line="159" w:lineRule="exact"/>
              <w:rPr>
                <w:sz w:val="20"/>
                <w:szCs w:val="20"/>
                <w:color w:val="auto"/>
              </w:rPr>
            </w:pPr>
            <w:r>
              <w:rPr>
                <w:rFonts w:ascii="Arial" w:cs="Arial" w:eastAsia="Arial" w:hAnsi="Arial"/>
                <w:sz w:val="14"/>
                <w:szCs w:val="14"/>
                <w:color w:val="auto"/>
                <w:w w:val="98"/>
              </w:rPr>
              <w:t>obligations</w:t>
            </w:r>
          </w:p>
        </w:tc>
        <w:tc>
          <w:tcPr>
            <w:tcW w:w="10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jc w:val="right"/>
              <w:ind w:right="106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2012</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1,124,130</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58,184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20,435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Included in earnings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(14,627) (a)</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45,486 (b)</w:t>
            </w: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Included in other comprehensive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23,376 (e)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(2,712) (e)</w:t>
            </w:r>
          </w:p>
        </w:tc>
        <w:tc>
          <w:tcPr>
            <w:tcW w:w="12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(52,360)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3"/>
              </w:rPr>
              <w:t>(31,870) (d)</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2012</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1,080,519</w:t>
            </w: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55,098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34,051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w w:val="93"/>
              </w:rPr>
              <w:t>Changes in unrealized gains (losses) included in earnings</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40" w:type="dxa"/>
            <w:vAlign w:val="bottom"/>
          </w:tcPr>
          <w:p>
            <w:pPr>
              <w:ind w:left="220"/>
              <w:spacing w:after="0"/>
              <w:rPr>
                <w:sz w:val="20"/>
                <w:szCs w:val="20"/>
                <w:color w:val="auto"/>
              </w:rPr>
            </w:pPr>
            <w:r>
              <w:rPr>
                <w:rFonts w:ascii="Arial" w:cs="Arial" w:eastAsia="Arial" w:hAnsi="Arial"/>
                <w:sz w:val="18"/>
                <w:szCs w:val="18"/>
                <w:color w:val="auto"/>
              </w:rPr>
              <w:t>related to assets still held at June 30, 2012</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(14,627) (a)</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28,904 (b)</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changes in Level 3 assets and liabilities measured at estimated fair value on a recurring basis during the six months ended June 30, 2013 were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gridSpan w:val="6"/>
          </w:tcPr>
          <w:p>
            <w:pPr>
              <w:jc w:val="right"/>
              <w:ind w:right="1260"/>
              <w:spacing w:after="0"/>
              <w:rPr>
                <w:sz w:val="20"/>
                <w:szCs w:val="20"/>
                <w:color w:val="auto"/>
              </w:rPr>
            </w:pPr>
            <w:r>
              <w:rPr>
                <w:rFonts w:ascii="Arial" w:cs="Arial" w:eastAsia="Arial" w:hAnsi="Arial"/>
                <w:sz w:val="14"/>
                <w:szCs w:val="14"/>
                <w:color w:val="auto"/>
                <w:w w:val="92"/>
              </w:rPr>
              <w:t>Investment securities available for sale</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20" w:type="dxa"/>
            <w:vAlign w:val="bottom"/>
            <w:tcBorders>
              <w:top w:val="single" w:sz="8" w:color="auto"/>
            </w:tcBorders>
            <w:gridSpan w:val="3"/>
          </w:tcPr>
          <w:p>
            <w:pPr>
              <w:jc w:val="right"/>
              <w:ind w:right="600"/>
              <w:spacing w:after="0" w:line="131" w:lineRule="exact"/>
              <w:rPr>
                <w:sz w:val="20"/>
                <w:szCs w:val="20"/>
                <w:color w:val="auto"/>
              </w:rPr>
            </w:pPr>
            <w:r>
              <w:rPr>
                <w:rFonts w:ascii="Arial" w:cs="Arial" w:eastAsia="Arial" w:hAnsi="Arial"/>
                <w:sz w:val="14"/>
                <w:szCs w:val="14"/>
                <w:color w:val="auto"/>
                <w:w w:val="91"/>
              </w:rPr>
              <w:t>Privately issued</w:t>
            </w:r>
          </w:p>
        </w:tc>
        <w:tc>
          <w:tcPr>
            <w:tcW w:w="4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w w:val="87"/>
              </w:rPr>
              <w:t>Collateralized</w:t>
            </w:r>
          </w:p>
        </w:tc>
        <w:tc>
          <w:tcPr>
            <w:tcW w:w="9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1240"/>
              <w:spacing w:after="0" w:line="149" w:lineRule="exact"/>
              <w:rPr>
                <w:sz w:val="20"/>
                <w:szCs w:val="20"/>
                <w:color w:val="auto"/>
              </w:rPr>
            </w:pPr>
            <w:r>
              <w:rPr>
                <w:rFonts w:ascii="Arial" w:cs="Arial" w:eastAsia="Arial" w:hAnsi="Arial"/>
                <w:sz w:val="14"/>
                <w:szCs w:val="14"/>
                <w:color w:val="auto"/>
              </w:rPr>
              <w:t>debt</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780"/>
              <w:spacing w:after="0" w:line="159" w:lineRule="exact"/>
              <w:rPr>
                <w:sz w:val="20"/>
                <w:szCs w:val="20"/>
                <w:color w:val="auto"/>
              </w:rPr>
            </w:pPr>
            <w:r>
              <w:rPr>
                <w:rFonts w:ascii="Arial" w:cs="Arial" w:eastAsia="Arial" w:hAnsi="Arial"/>
                <w:sz w:val="14"/>
                <w:szCs w:val="14"/>
                <w:color w:val="auto"/>
                <w:w w:val="94"/>
              </w:rPr>
              <w:t>securities</w:t>
            </w:r>
          </w:p>
        </w:tc>
        <w:tc>
          <w:tcPr>
            <w:tcW w:w="400" w:type="dxa"/>
            <w:vAlign w:val="bottom"/>
          </w:tcPr>
          <w:p>
            <w:pPr>
              <w:spacing w:after="0"/>
              <w:rPr>
                <w:sz w:val="13"/>
                <w:szCs w:val="13"/>
                <w:color w:val="auto"/>
              </w:rPr>
            </w:pPr>
          </w:p>
        </w:tc>
        <w:tc>
          <w:tcPr>
            <w:tcW w:w="1740" w:type="dxa"/>
            <w:vAlign w:val="bottom"/>
            <w:gridSpan w:val="3"/>
          </w:tcPr>
          <w:p>
            <w:pPr>
              <w:jc w:val="right"/>
              <w:ind w:right="1040"/>
              <w:spacing w:after="0" w:line="159" w:lineRule="exact"/>
              <w:rPr>
                <w:sz w:val="20"/>
                <w:szCs w:val="20"/>
                <w:color w:val="auto"/>
              </w:rPr>
            </w:pPr>
            <w:r>
              <w:rPr>
                <w:rFonts w:ascii="Arial" w:cs="Arial" w:eastAsia="Arial" w:hAnsi="Arial"/>
                <w:sz w:val="14"/>
                <w:szCs w:val="14"/>
                <w:color w:val="auto"/>
              </w:rPr>
              <w:t>obligations</w:t>
            </w:r>
          </w:p>
        </w:tc>
        <w:tc>
          <w:tcPr>
            <w:tcW w:w="10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right"/>
              <w:ind w:right="110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1,023,886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61,869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47,859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Included in earnings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(56,102) (a)</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58,812 (b)</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Included in other comprehensive income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116,584 (e)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(537) (e)</w:t>
            </w:r>
          </w:p>
        </w:tc>
        <w:tc>
          <w:tcPr>
            <w:tcW w:w="12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(978,608)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Settlements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(100,488)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Transfers in and/or out of Level 3 (c)</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(99,263) (d)</w:t>
            </w:r>
          </w:p>
        </w:tc>
        <w:tc>
          <w:tcPr>
            <w:tcW w:w="0" w:type="dxa"/>
            <w:vAlign w:val="bottom"/>
          </w:tcPr>
          <w:p>
            <w:pPr>
              <w:spacing w:after="0"/>
              <w:rPr>
                <w:sz w:val="1"/>
                <w:szCs w:val="1"/>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Balance – June 30, 2013</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59,916</w:t>
            </w:r>
          </w:p>
        </w:tc>
        <w:tc>
          <w:tcPr>
            <w:tcW w:w="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Changes in unrealized gains included in earnings related to</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still held at June 30, 2013</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5,132 (b)</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00" w:type="dxa"/>
            <w:vAlign w:val="bottom"/>
          </w:tcPr>
          <w:p>
            <w:pPr>
              <w:spacing w:after="0"/>
              <w:rPr>
                <w:sz w:val="24"/>
                <w:szCs w:val="24"/>
                <w:color w:val="auto"/>
              </w:rPr>
            </w:pPr>
          </w:p>
        </w:tc>
        <w:tc>
          <w:tcPr>
            <w:tcW w:w="660" w:type="dxa"/>
            <w:vAlign w:val="bottom"/>
            <w:gridSpan w:val="2"/>
          </w:tcPr>
          <w:p>
            <w:pPr>
              <w:jc w:val="right"/>
              <w:ind w:right="42"/>
              <w:spacing w:after="0"/>
              <w:rPr>
                <w:sz w:val="20"/>
                <w:szCs w:val="20"/>
                <w:color w:val="auto"/>
              </w:rPr>
            </w:pPr>
            <w:r>
              <w:rPr>
                <w:rFonts w:ascii="Arial" w:cs="Arial" w:eastAsia="Arial" w:hAnsi="Arial"/>
                <w:sz w:val="18"/>
                <w:szCs w:val="18"/>
                <w:color w:val="auto"/>
              </w:rPr>
              <w:t>-46-</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changes in Level 3 assets and liabilities measured at estimated fair value on a recurring basis during the six months ended June 30, 2012 were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6"/>
          </w:tcPr>
          <w:p>
            <w:pPr>
              <w:jc w:val="right"/>
              <w:ind w:right="1080"/>
              <w:spacing w:after="0"/>
              <w:rPr>
                <w:sz w:val="20"/>
                <w:szCs w:val="20"/>
                <w:color w:val="auto"/>
              </w:rPr>
            </w:pPr>
            <w:r>
              <w:rPr>
                <w:rFonts w:ascii="Arial" w:cs="Arial" w:eastAsia="Arial" w:hAnsi="Arial"/>
                <w:sz w:val="14"/>
                <w:szCs w:val="14"/>
                <w:color w:val="auto"/>
                <w:w w:val="91"/>
              </w:rPr>
              <w:t>Investment securities available for sale</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460" w:type="dxa"/>
            <w:vAlign w:val="bottom"/>
            <w:tcBorders>
              <w:top w:val="single" w:sz="8" w:color="auto"/>
            </w:tcBorders>
            <w:gridSpan w:val="3"/>
          </w:tcPr>
          <w:p>
            <w:pPr>
              <w:jc w:val="center"/>
              <w:ind w:right="520"/>
              <w:spacing w:after="0" w:line="131" w:lineRule="exact"/>
              <w:rPr>
                <w:sz w:val="20"/>
                <w:szCs w:val="20"/>
                <w:color w:val="auto"/>
              </w:rPr>
            </w:pPr>
            <w:r>
              <w:rPr>
                <w:rFonts w:ascii="Arial" w:cs="Arial" w:eastAsia="Arial" w:hAnsi="Arial"/>
                <w:sz w:val="14"/>
                <w:szCs w:val="14"/>
                <w:color w:val="auto"/>
                <w:w w:val="87"/>
              </w:rPr>
              <w:t>Privately issued</w:t>
            </w:r>
          </w:p>
        </w:tc>
        <w:tc>
          <w:tcPr>
            <w:tcW w:w="4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7"/>
              </w:rPr>
              <w:t>Collateralized</w:t>
            </w:r>
          </w:p>
        </w:tc>
        <w:tc>
          <w:tcPr>
            <w:tcW w:w="8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1080"/>
              <w:spacing w:after="0" w:line="149" w:lineRule="exact"/>
              <w:rPr>
                <w:sz w:val="20"/>
                <w:szCs w:val="20"/>
                <w:color w:val="auto"/>
              </w:rPr>
            </w:pPr>
            <w:r>
              <w:rPr>
                <w:rFonts w:ascii="Arial" w:cs="Arial" w:eastAsia="Arial" w:hAnsi="Arial"/>
                <w:sz w:val="14"/>
                <w:szCs w:val="14"/>
                <w:color w:val="auto"/>
              </w:rPr>
              <w:t>debt</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4"/>
              </w:rPr>
              <w:t>securities</w:t>
            </w:r>
          </w:p>
        </w:tc>
        <w:tc>
          <w:tcPr>
            <w:tcW w:w="420" w:type="dxa"/>
            <w:vAlign w:val="bottom"/>
          </w:tcPr>
          <w:p>
            <w:pPr>
              <w:spacing w:after="0"/>
              <w:rPr>
                <w:sz w:val="13"/>
                <w:szCs w:val="13"/>
                <w:color w:val="auto"/>
              </w:rPr>
            </w:pPr>
          </w:p>
        </w:tc>
        <w:tc>
          <w:tcPr>
            <w:tcW w:w="1580" w:type="dxa"/>
            <w:vAlign w:val="bottom"/>
            <w:gridSpan w:val="3"/>
          </w:tcPr>
          <w:p>
            <w:pPr>
              <w:jc w:val="right"/>
              <w:ind w:right="900"/>
              <w:spacing w:after="0" w:line="159" w:lineRule="exact"/>
              <w:rPr>
                <w:sz w:val="20"/>
                <w:szCs w:val="20"/>
                <w:color w:val="auto"/>
              </w:rPr>
            </w:pPr>
            <w:r>
              <w:rPr>
                <w:rFonts w:ascii="Arial" w:cs="Arial" w:eastAsia="Arial" w:hAnsi="Arial"/>
                <w:sz w:val="14"/>
                <w:szCs w:val="14"/>
                <w:color w:val="auto"/>
                <w:w w:val="98"/>
              </w:rPr>
              <w:t>obligations</w:t>
            </w:r>
          </w:p>
        </w:tc>
        <w:tc>
          <w:tcPr>
            <w:tcW w:w="10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1,151,285</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(22,304) (a)</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72,517 (b)</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48,794 (e)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3,711 (e)</w:t>
            </w:r>
          </w:p>
        </w:tc>
        <w:tc>
          <w:tcPr>
            <w:tcW w:w="12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(97,256)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3"/>
              </w:rPr>
              <w:t>(45,389) (d)</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1,080,519</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55,098</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34,051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 included in earnings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Arial" w:cs="Arial" w:eastAsia="Arial" w:hAnsi="Arial"/>
                <w:sz w:val="18"/>
                <w:szCs w:val="18"/>
                <w:color w:val="auto"/>
              </w:rPr>
              <w:t>related to assets still held at June 30, 2012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(22,304) (a)</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33,647 (b)</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OTTI loss or as gain (loss) on bank investment securities in the consolidated statement of income.</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right="140" w:hanging="452"/>
        <w:spacing w:after="0" w:line="250" w:lineRule="auto"/>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three-month and six-month periods ended June 30, 2012, the Company recognized OTTI losses related to certain mortgage-backed securities of $1 million and $5 million, respectively. In accordance with GAAP, the carrying value of such securities was reduced to fair value, with estimated credit losses recognized in earnings and any remaining unrealized loss recognized in accumulated other comprehensive income. The determination of fair value included use of external and internal valuation sources that, as in the case of available-for-sale privately issued mortgage-backed securities, were weighted and averaged when estimating fair value. Due to the presence of significant unobservable inputs that valuation was classified as Level 3. The amortized cost, fair value and impact on the Company’s financial statements of the modeling described herein were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90"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80% at June 30, 2013. As these discounts are not readily observable and are considered significant, the valuations have been classified as Level 3. Loans subject to nonrecurring fair value measurement were $254 million at June 30, 2013 ($167 million and $87 million of which were classified as Level 2 and Level 3, respectively) and $344 million at June 30, 2012 ($234 million and $110 million of which were classified as Level 2 and Level 3, respectively). Changes in fair value recognized for partial charge-offs of loans and loan impairment reserves on loans held by the Company on June 30, 2013 were decreases of $34 million and $69 million for the three-and six-month periods ended June 30, 2013, respectively. Changes in fair value recognized for partial charge-offs of loans and loan impairment reserves on loans held by the Company on June 30, 2012 were decreases of $21 million and $34 million for the three- and six-month periods ended June 30, 2012,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$15 million and $47 million at June 30, 2013 and June 30, 2012, respectively. Changes in fair value recognized for those foreclosed assets held by the Company were not material during the three- and six-month periods ended June 30, 2013 and 2012.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in the fair value measurements for Level 3 assets and liabilities at June 30, 2013 and December 31, 2012:</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88"/>
              </w:rPr>
              <w:t>Fair value at</w:t>
            </w:r>
          </w:p>
        </w:tc>
        <w:tc>
          <w:tcPr>
            <w:tcW w:w="38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Valuation</w:t>
            </w:r>
          </w:p>
        </w:tc>
        <w:tc>
          <w:tcPr>
            <w:tcW w:w="300" w:type="dxa"/>
            <w:vAlign w:val="bottom"/>
          </w:tcPr>
          <w:p>
            <w:pPr>
              <w:spacing w:after="0"/>
              <w:rPr>
                <w:sz w:val="12"/>
                <w:szCs w:val="12"/>
                <w:color w:val="auto"/>
              </w:rPr>
            </w:pPr>
          </w:p>
        </w:tc>
        <w:tc>
          <w:tcPr>
            <w:tcW w:w="22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Unobservable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color w:val="auto"/>
                <w:w w:val="90"/>
              </w:rPr>
              <w:t>June 30, 2013</w:t>
            </w:r>
          </w:p>
        </w:tc>
        <w:tc>
          <w:tcPr>
            <w:tcW w:w="38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Arial" w:cs="Arial" w:eastAsia="Arial" w:hAnsi="Arial"/>
                <w:sz w:val="14"/>
                <w:szCs w:val="14"/>
                <w:color w:val="auto"/>
              </w:rPr>
              <w:t>technique</w:t>
            </w:r>
          </w:p>
        </w:tc>
        <w:tc>
          <w:tcPr>
            <w:tcW w:w="300" w:type="dxa"/>
            <w:vAlign w:val="bottom"/>
          </w:tcPr>
          <w:p>
            <w:pPr>
              <w:spacing w:after="0"/>
              <w:rPr>
                <w:sz w:val="15"/>
                <w:szCs w:val="15"/>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input/assumptions</w:t>
            </w:r>
          </w:p>
        </w:tc>
        <w:tc>
          <w:tcPr>
            <w:tcW w:w="1440" w:type="dxa"/>
            <w:vAlign w:val="bottom"/>
          </w:tcPr>
          <w:p>
            <w:pPr>
              <w:jc w:val="center"/>
              <w:spacing w:after="0"/>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color w:val="auto"/>
                <w:w w:val="85"/>
              </w:rPr>
              <w:t>(in thousands)</w:t>
            </w:r>
          </w:p>
        </w:tc>
        <w:tc>
          <w:tcPr>
            <w:tcW w:w="3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Recurring fair value measurements</w:t>
            </w: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4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Privately issued mortgage–backed securities</w:t>
            </w:r>
          </w:p>
        </w:tc>
        <w:tc>
          <w:tcPr>
            <w:tcW w:w="96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Arial" w:cs="Arial" w:eastAsia="Arial" w:hAnsi="Arial"/>
                <w:sz w:val="18"/>
                <w:szCs w:val="18"/>
                <w:color w:val="auto"/>
                <w:w w:val="97"/>
              </w:rPr>
              <w:t>Two independent</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5,272</w:t>
            </w:r>
          </w:p>
        </w:tc>
        <w:tc>
          <w:tcPr>
            <w:tcW w:w="1740" w:type="dxa"/>
            <w:vAlign w:val="bottom"/>
            <w:gridSpan w:val="2"/>
          </w:tcPr>
          <w:p>
            <w:pPr>
              <w:ind w:left="380"/>
              <w:spacing w:after="0"/>
              <w:rPr>
                <w:sz w:val="20"/>
                <w:szCs w:val="20"/>
                <w:color w:val="auto"/>
              </w:rPr>
            </w:pPr>
            <w:r>
              <w:rPr>
                <w:rFonts w:ascii="Arial" w:cs="Arial" w:eastAsia="Arial" w:hAnsi="Arial"/>
                <w:sz w:val="18"/>
                <w:szCs w:val="18"/>
                <w:color w:val="auto"/>
              </w:rPr>
              <w:t>price quotes</w:t>
            </w:r>
          </w:p>
        </w:tc>
        <w:tc>
          <w:tcPr>
            <w:tcW w:w="300" w:type="dxa"/>
            <w:vAlign w:val="bottom"/>
          </w:tcPr>
          <w:p>
            <w:pPr>
              <w:spacing w:after="0"/>
              <w:rPr>
                <w:sz w:val="19"/>
                <w:szCs w:val="19"/>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9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Discounted cash</w:t>
            </w: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59,916</w:t>
            </w:r>
          </w:p>
        </w:tc>
        <w:tc>
          <w:tcPr>
            <w:tcW w:w="1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flow</w:t>
            </w:r>
          </w:p>
        </w:tc>
        <w:tc>
          <w:tcPr>
            <w:tcW w:w="2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Probability of default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21%-69% (48%)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80" w:type="dxa"/>
            <w:vAlign w:val="bottom"/>
            <w:gridSpan w:val="3"/>
          </w:tcPr>
          <w:p>
            <w:pPr>
              <w:ind w:left="300"/>
              <w:spacing w:after="0"/>
              <w:rPr>
                <w:sz w:val="20"/>
                <w:szCs w:val="20"/>
                <w:color w:val="auto"/>
              </w:rPr>
            </w:pPr>
            <w:r>
              <w:rPr>
                <w:rFonts w:ascii="Arial" w:cs="Arial" w:eastAsia="Arial" w:hAnsi="Arial"/>
                <w:sz w:val="18"/>
                <w:szCs w:val="18"/>
                <w:color w:val="auto"/>
              </w:rPr>
              <w:t>Loss severity</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other assets (liabilities) (a)</w:t>
            </w:r>
          </w:p>
        </w:tc>
        <w:tc>
          <w:tcPr>
            <w:tcW w:w="9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Discounted cash</w:t>
            </w: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flow</w:t>
            </w:r>
          </w:p>
        </w:tc>
        <w:tc>
          <w:tcPr>
            <w:tcW w:w="2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Commitment expirations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0%-64% (18%)</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88"/>
              </w:rPr>
              <w:t>Fair value at</w:t>
            </w:r>
          </w:p>
        </w:tc>
        <w:tc>
          <w:tcPr>
            <w:tcW w:w="38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Valuation</w:t>
            </w:r>
          </w:p>
        </w:tc>
        <w:tc>
          <w:tcPr>
            <w:tcW w:w="300" w:type="dxa"/>
            <w:vAlign w:val="bottom"/>
          </w:tcPr>
          <w:p>
            <w:pPr>
              <w:spacing w:after="0"/>
              <w:rPr>
                <w:sz w:val="12"/>
                <w:szCs w:val="12"/>
                <w:color w:val="auto"/>
              </w:rPr>
            </w:pPr>
          </w:p>
        </w:tc>
        <w:tc>
          <w:tcPr>
            <w:tcW w:w="22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Unobservable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7"/>
              </w:rPr>
              <w:t>December 31, 2012</w:t>
            </w:r>
          </w:p>
        </w:tc>
        <w:tc>
          <w:tcPr>
            <w:tcW w:w="38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Arial" w:cs="Arial" w:eastAsia="Arial" w:hAnsi="Arial"/>
                <w:sz w:val="14"/>
                <w:szCs w:val="14"/>
                <w:color w:val="auto"/>
              </w:rPr>
              <w:t>technique</w:t>
            </w:r>
          </w:p>
        </w:tc>
        <w:tc>
          <w:tcPr>
            <w:tcW w:w="300" w:type="dxa"/>
            <w:vAlign w:val="bottom"/>
          </w:tcPr>
          <w:p>
            <w:pPr>
              <w:spacing w:after="0"/>
              <w:rPr>
                <w:sz w:val="15"/>
                <w:szCs w:val="15"/>
                <w:color w:val="auto"/>
              </w:rPr>
            </w:pPr>
          </w:p>
        </w:tc>
        <w:tc>
          <w:tcPr>
            <w:tcW w:w="228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input/assumptions</w:t>
            </w:r>
          </w:p>
        </w:tc>
        <w:tc>
          <w:tcPr>
            <w:tcW w:w="1440" w:type="dxa"/>
            <w:vAlign w:val="bottom"/>
          </w:tcPr>
          <w:p>
            <w:pPr>
              <w:jc w:val="center"/>
              <w:spacing w:after="0"/>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color w:val="auto"/>
                <w:w w:val="85"/>
              </w:rPr>
              <w:t>(in thousands)</w:t>
            </w:r>
          </w:p>
        </w:tc>
        <w:tc>
          <w:tcPr>
            <w:tcW w:w="3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Recurring fair value measurements</w:t>
            </w: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4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Privately issued mortgage–backed securities</w:t>
            </w:r>
          </w:p>
        </w:tc>
        <w:tc>
          <w:tcPr>
            <w:tcW w:w="96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Arial" w:cs="Arial" w:eastAsia="Arial" w:hAnsi="Arial"/>
                <w:sz w:val="18"/>
                <w:szCs w:val="18"/>
                <w:color w:val="auto"/>
              </w:rPr>
              <w:t>Discounted cash</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1,023,886</w:t>
            </w:r>
          </w:p>
        </w:tc>
        <w:tc>
          <w:tcPr>
            <w:tcW w:w="1740" w:type="dxa"/>
            <w:vAlign w:val="bottom"/>
            <w:gridSpan w:val="2"/>
          </w:tcPr>
          <w:p>
            <w:pPr>
              <w:ind w:left="380"/>
              <w:spacing w:after="0"/>
              <w:rPr>
                <w:sz w:val="20"/>
                <w:szCs w:val="20"/>
                <w:color w:val="auto"/>
              </w:rPr>
            </w:pPr>
            <w:r>
              <w:rPr>
                <w:rFonts w:ascii="Arial" w:cs="Arial" w:eastAsia="Arial" w:hAnsi="Arial"/>
                <w:sz w:val="18"/>
                <w:szCs w:val="18"/>
                <w:color w:val="auto"/>
              </w:rPr>
              <w:t>flow</w:t>
            </w:r>
          </w:p>
        </w:tc>
        <w:tc>
          <w:tcPr>
            <w:tcW w:w="2580" w:type="dxa"/>
            <w:vAlign w:val="bottom"/>
            <w:gridSpan w:val="3"/>
          </w:tcPr>
          <w:p>
            <w:pPr>
              <w:ind w:left="300"/>
              <w:spacing w:after="0"/>
              <w:rPr>
                <w:sz w:val="20"/>
                <w:szCs w:val="20"/>
                <w:color w:val="auto"/>
              </w:rPr>
            </w:pPr>
            <w:r>
              <w:rPr>
                <w:rFonts w:ascii="Arial" w:cs="Arial" w:eastAsia="Arial" w:hAnsi="Arial"/>
                <w:sz w:val="18"/>
                <w:szCs w:val="18"/>
                <w:color w:val="auto"/>
              </w:rPr>
              <w:t>Probability of default</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1%-40% (19%)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Loss severity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32%-82% (51%)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Collateralized debt obligations</w:t>
            </w:r>
          </w:p>
        </w:tc>
        <w:tc>
          <w:tcPr>
            <w:tcW w:w="96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Arial" w:cs="Arial" w:eastAsia="Arial" w:hAnsi="Arial"/>
                <w:sz w:val="18"/>
                <w:szCs w:val="18"/>
                <w:color w:val="auto"/>
              </w:rPr>
              <w:t>Discounted cash</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61,869</w:t>
            </w:r>
          </w:p>
        </w:tc>
        <w:tc>
          <w:tcPr>
            <w:tcW w:w="1740" w:type="dxa"/>
            <w:vAlign w:val="bottom"/>
            <w:gridSpan w:val="2"/>
          </w:tcPr>
          <w:p>
            <w:pPr>
              <w:ind w:left="380"/>
              <w:spacing w:after="0"/>
              <w:rPr>
                <w:sz w:val="20"/>
                <w:szCs w:val="20"/>
                <w:color w:val="auto"/>
              </w:rPr>
            </w:pPr>
            <w:r>
              <w:rPr>
                <w:rFonts w:ascii="Arial" w:cs="Arial" w:eastAsia="Arial" w:hAnsi="Arial"/>
                <w:sz w:val="18"/>
                <w:szCs w:val="18"/>
                <w:color w:val="auto"/>
              </w:rPr>
              <w:t>flow</w:t>
            </w:r>
          </w:p>
        </w:tc>
        <w:tc>
          <w:tcPr>
            <w:tcW w:w="2580" w:type="dxa"/>
            <w:vAlign w:val="bottom"/>
            <w:gridSpan w:val="3"/>
          </w:tcPr>
          <w:p>
            <w:pPr>
              <w:ind w:left="300"/>
              <w:spacing w:after="0"/>
              <w:rPr>
                <w:sz w:val="20"/>
                <w:szCs w:val="20"/>
                <w:color w:val="auto"/>
              </w:rPr>
            </w:pPr>
            <w:r>
              <w:rPr>
                <w:rFonts w:ascii="Arial" w:cs="Arial" w:eastAsia="Arial" w:hAnsi="Arial"/>
                <w:sz w:val="18"/>
                <w:szCs w:val="18"/>
                <w:color w:val="auto"/>
              </w:rPr>
              <w:t>Probability of default</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22%-69% (47%)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Loss severity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Net other assets (liabilities) (a)</w:t>
            </w:r>
          </w:p>
        </w:tc>
        <w:tc>
          <w:tcPr>
            <w:tcW w:w="96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Arial" w:cs="Arial" w:eastAsia="Arial" w:hAnsi="Arial"/>
                <w:sz w:val="18"/>
                <w:szCs w:val="18"/>
                <w:color w:val="auto"/>
              </w:rPr>
              <w:t>Discounted cash</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47,859</w:t>
            </w:r>
          </w:p>
        </w:tc>
        <w:tc>
          <w:tcPr>
            <w:tcW w:w="1740" w:type="dxa"/>
            <w:vAlign w:val="bottom"/>
            <w:gridSpan w:val="2"/>
          </w:tcPr>
          <w:p>
            <w:pPr>
              <w:ind w:left="380"/>
              <w:spacing w:after="0"/>
              <w:rPr>
                <w:sz w:val="20"/>
                <w:szCs w:val="20"/>
                <w:color w:val="auto"/>
              </w:rPr>
            </w:pPr>
            <w:r>
              <w:rPr>
                <w:rFonts w:ascii="Arial" w:cs="Arial" w:eastAsia="Arial" w:hAnsi="Arial"/>
                <w:sz w:val="18"/>
                <w:szCs w:val="18"/>
                <w:color w:val="auto"/>
              </w:rPr>
              <w:t>flow</w:t>
            </w:r>
          </w:p>
        </w:tc>
        <w:tc>
          <w:tcPr>
            <w:tcW w:w="2580" w:type="dxa"/>
            <w:vAlign w:val="bottom"/>
            <w:gridSpan w:val="3"/>
          </w:tcPr>
          <w:p>
            <w:pPr>
              <w:ind w:left="300"/>
              <w:spacing w:after="0"/>
              <w:rPr>
                <w:sz w:val="20"/>
                <w:szCs w:val="20"/>
                <w:color w:val="auto"/>
              </w:rPr>
            </w:pPr>
            <w:r>
              <w:rPr>
                <w:rFonts w:ascii="Arial" w:cs="Arial" w:eastAsia="Arial" w:hAnsi="Arial"/>
                <w:sz w:val="18"/>
                <w:szCs w:val="18"/>
                <w:color w:val="auto"/>
              </w:rPr>
              <w:t>Commitment expirations</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0%-69% (20%)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 increase (decrease) in the probability of default and loss severity for collateralized debt securities backed by trust preferred securities would generally result in a lower (higher) fair value measurement.</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An increase (decrease) in the estimate of expirations for commitments to originate residential mortgage loans would generally result in a lower (higher) fair value measurement. Estimated commitment expirations are derived considering loan type, changes in interest rates and remaining length of time until closing.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w w:val="87"/>
              </w:rPr>
              <w:t>June 30, 2013</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500"/>
              <w:spacing w:after="0" w:line="131" w:lineRule="exact"/>
              <w:rPr>
                <w:sz w:val="20"/>
                <w:szCs w:val="20"/>
                <w:color w:val="auto"/>
              </w:rPr>
            </w:pPr>
            <w:r>
              <w:rPr>
                <w:rFonts w:ascii="Arial" w:cs="Arial" w:eastAsia="Arial" w:hAnsi="Arial"/>
                <w:sz w:val="14"/>
                <w:szCs w:val="14"/>
                <w:color w:val="auto"/>
                <w:w w:val="90"/>
              </w:rPr>
              <w:t>Carrying</w:t>
            </w:r>
          </w:p>
        </w:tc>
        <w:tc>
          <w:tcPr>
            <w:tcW w:w="80" w:type="dxa"/>
            <w:vAlign w:val="bottom"/>
          </w:tcPr>
          <w:p>
            <w:pPr>
              <w:spacing w:after="0"/>
              <w:rPr>
                <w:sz w:val="11"/>
                <w:szCs w:val="11"/>
                <w:color w:val="auto"/>
              </w:rPr>
            </w:pPr>
          </w:p>
        </w:tc>
        <w:tc>
          <w:tcPr>
            <w:tcW w:w="1080" w:type="dxa"/>
            <w:vAlign w:val="bottom"/>
            <w:gridSpan w:val="2"/>
          </w:tcPr>
          <w:p>
            <w:pPr>
              <w:jc w:val="right"/>
              <w:ind w:right="420"/>
              <w:spacing w:after="0" w:line="131" w:lineRule="exact"/>
              <w:rPr>
                <w:sz w:val="20"/>
                <w:szCs w:val="20"/>
                <w:color w:val="auto"/>
              </w:rPr>
            </w:pPr>
            <w:r>
              <w:rPr>
                <w:rFonts w:ascii="Arial" w:cs="Arial" w:eastAsia="Arial" w:hAnsi="Arial"/>
                <w:sz w:val="14"/>
                <w:szCs w:val="14"/>
                <w:color w:val="auto"/>
              </w:rPr>
              <w:t>Estimated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5"/>
              </w:rPr>
              <w:t>amount</w:t>
            </w:r>
          </w:p>
        </w:tc>
        <w:tc>
          <w:tcPr>
            <w:tcW w:w="80" w:type="dxa"/>
            <w:vAlign w:val="bottom"/>
          </w:tcPr>
          <w:p>
            <w:pPr>
              <w:spacing w:after="0"/>
              <w:rPr>
                <w:sz w:val="13"/>
                <w:szCs w:val="13"/>
                <w:color w:val="auto"/>
              </w:rPr>
            </w:pPr>
          </w:p>
        </w:tc>
        <w:tc>
          <w:tcPr>
            <w:tcW w:w="10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fair value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93"/>
              <w:spacing w:after="0" w:line="159" w:lineRule="exact"/>
              <w:rPr>
                <w:sz w:val="20"/>
                <w:szCs w:val="20"/>
                <w:color w:val="auto"/>
              </w:rPr>
            </w:pPr>
            <w:r>
              <w:rPr>
                <w:rFonts w:ascii="Arial" w:cs="Arial" w:eastAsia="Arial" w:hAnsi="Arial"/>
                <w:sz w:val="14"/>
                <w:szCs w:val="14"/>
                <w:color w:val="auto"/>
              </w:rPr>
              <w:t>Level 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color w:val="auto"/>
                <w:w w:val="90"/>
              </w:rPr>
              <w:t>(in thousands)</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1,474,502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1,474,502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1,412,924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61,578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Interest-bearing deposits at banks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2,555,354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2,555,354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2,555,354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Trading account assets</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378,235</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378,235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330,234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5,210,526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5,128,413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4,779,417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227,742</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Loans and leases: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loans and leases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18,021,812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17,763,265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17,763,265</w:t>
            </w:r>
          </w:p>
        </w:tc>
        <w:tc>
          <w:tcPr>
            <w:tcW w:w="0" w:type="dxa"/>
            <w:vAlign w:val="bottom"/>
          </w:tcPr>
          <w:p>
            <w:pPr>
              <w:spacing w:after="0"/>
              <w:rPr>
                <w:sz w:val="1"/>
                <w:szCs w:val="1"/>
                <w:color w:val="auto"/>
              </w:rPr>
            </w:pPr>
          </w:p>
        </w:tc>
      </w:tr>
      <w:tr>
        <w:trPr>
          <w:trHeight w:val="216"/>
        </w:trPr>
        <w:tc>
          <w:tcPr>
            <w:tcW w:w="5240" w:type="dxa"/>
            <w:vAlign w:val="bottom"/>
          </w:tcPr>
          <w:p>
            <w:pPr>
              <w:ind w:left="880"/>
              <w:spacing w:after="0"/>
              <w:rPr>
                <w:sz w:val="20"/>
                <w:szCs w:val="20"/>
                <w:color w:val="auto"/>
              </w:rPr>
            </w:pPr>
            <w:r>
              <w:rPr>
                <w:rFonts w:ascii="Arial" w:cs="Arial" w:eastAsia="Arial" w:hAnsi="Arial"/>
                <w:sz w:val="18"/>
                <w:szCs w:val="18"/>
                <w:color w:val="auto"/>
              </w:rPr>
              <w:t>Commercial real estate loans</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26,116,394</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26,107,812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132,729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25,975,083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real estate loans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10,399,749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10,328,995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6,980,989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3,348,006</w:t>
            </w:r>
          </w:p>
        </w:tc>
        <w:tc>
          <w:tcPr>
            <w:tcW w:w="0" w:type="dxa"/>
            <w:vAlign w:val="bottom"/>
          </w:tcPr>
          <w:p>
            <w:pPr>
              <w:spacing w:after="0"/>
              <w:rPr>
                <w:sz w:val="1"/>
                <w:szCs w:val="1"/>
                <w:color w:val="auto"/>
              </w:rPr>
            </w:pPr>
          </w:p>
        </w:tc>
      </w:tr>
      <w:tr>
        <w:trPr>
          <w:trHeight w:val="216"/>
        </w:trPr>
        <w:tc>
          <w:tcPr>
            <w:tcW w:w="5240" w:type="dxa"/>
            <w:vAlign w:val="bottom"/>
          </w:tcPr>
          <w:p>
            <w:pPr>
              <w:ind w:left="880"/>
              <w:spacing w:after="0"/>
              <w:rPr>
                <w:sz w:val="20"/>
                <w:szCs w:val="20"/>
                <w:color w:val="auto"/>
              </w:rPr>
            </w:pPr>
            <w:r>
              <w:rPr>
                <w:rFonts w:ascii="Arial" w:cs="Arial" w:eastAsia="Arial" w:hAnsi="Arial"/>
                <w:sz w:val="18"/>
                <w:szCs w:val="18"/>
                <w:color w:val="auto"/>
              </w:rPr>
              <w:t>Consumer loans</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11,433,911</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11,373,978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11,373,978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Allowance for credit losses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(927,065)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1300"/>
              <w:spacing w:after="0"/>
              <w:rPr>
                <w:sz w:val="20"/>
                <w:szCs w:val="20"/>
                <w:color w:val="auto"/>
              </w:rPr>
            </w:pPr>
            <w:r>
              <w:rPr>
                <w:rFonts w:ascii="Arial" w:cs="Arial" w:eastAsia="Arial" w:hAnsi="Arial"/>
                <w:sz w:val="18"/>
                <w:szCs w:val="18"/>
                <w:color w:val="auto"/>
              </w:rPr>
              <w:t>Loans and leases, net</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65,044,801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65,574,050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7,113,718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58,460,332</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222,705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222,705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Financial liabilities: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deposits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(24,074,815)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(24,074,815)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(24,074,815)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Savings deposits and NOW accounts</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(37,247,688)</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(37,247,688)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(37,247,688)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(4,054,524)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(4,071,757)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(4,071,757)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(284,443)</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(284,443)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(284,443)</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(307,740)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(307,740)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(5,122,398)</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(5,260,847)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(5,260,847)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(52,958)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Trading account liabilities</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(277,904)</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(277,904)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(277,904)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Commitments to originate real estate loans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7,408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7,408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to sell real estate loans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76,139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76,139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Other credit-related commitments</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(118,338)</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(118,338)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(118,338)</w:t>
            </w: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agreements used for interest rate risk</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management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114,168</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114,168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114,168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-50-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December 31, 2012</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60"/>
              <w:spacing w:after="0" w:line="131"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40"/>
              <w:spacing w:after="0" w:line="131" w:lineRule="exact"/>
              <w:rPr>
                <w:sz w:val="20"/>
                <w:szCs w:val="20"/>
                <w:color w:val="auto"/>
              </w:rPr>
            </w:pPr>
            <w:r>
              <w:rPr>
                <w:rFonts w:ascii="Arial" w:cs="Arial" w:eastAsia="Arial" w:hAnsi="Arial"/>
                <w:sz w:val="14"/>
                <w:szCs w:val="14"/>
                <w:color w:val="auto"/>
                <w:w w:val="99"/>
              </w:rPr>
              <w:t>Estimated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3"/>
                <w:szCs w:val="13"/>
                <w:color w:val="auto"/>
              </w:rPr>
            </w:pPr>
          </w:p>
        </w:tc>
        <w:tc>
          <w:tcPr>
            <w:tcW w:w="124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1,986,615</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1,986,615</w:t>
            </w:r>
          </w:p>
        </w:tc>
        <w:tc>
          <w:tcPr>
            <w:tcW w:w="14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1,895,423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91,192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129,945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Trading account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488,966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488,966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56,106</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432,860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6,074,361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6,018,968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98,364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4,687,211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1,233,393</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loans and leases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17,776,953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17,554,562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17,554,562</w:t>
            </w: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Commercial real estate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25,993,790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25,858,482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199,997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25,658,485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11,240,837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11,381,319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8,100,915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3,280,404</w:t>
            </w: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Consumer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11,559,377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11,504,799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11,504,799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Allowance for credit losses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(925,860)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300"/>
              <w:spacing w:after="0"/>
              <w:rPr>
                <w:sz w:val="20"/>
                <w:szCs w:val="20"/>
                <w:color w:val="auto"/>
              </w:rPr>
            </w:pPr>
            <w:r>
              <w:rPr>
                <w:rFonts w:ascii="Arial" w:cs="Arial" w:eastAsia="Arial" w:hAnsi="Arial"/>
                <w:sz w:val="18"/>
                <w:szCs w:val="18"/>
                <w:color w:val="auto"/>
              </w:rPr>
              <w:t>Loans and leases, net</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65,645,097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66,299,162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8,300,912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57,998,250</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222,897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222,897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deposits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(24,240,802)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(24,240,802)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(24,240,802)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Savings deposits and NOW accounts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(35,763,566)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(35,763,566)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(35,763,566)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(4,562,366)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(4,584,384)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(4,584,384)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Deposits at Cayman Islands office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(1,044,519)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(1,044,519)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(1,044,519)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(1,074,482)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(1,074,482)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(1,074,482)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Long-term borrowings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(4,607,758)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(4,768,408)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(4,768,408)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Trading account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(374,274)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(374,274)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(374,274)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Commitments to originate real estate loans for sale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47,859</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47,859</w:t>
            </w:r>
          </w:p>
        </w:tc>
        <w:tc>
          <w:tcPr>
            <w:tcW w:w="14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to sell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Other credit-related commitments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(119,464)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(119,464)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(119,464)</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Interest rate swap agreements used for interest rate risk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management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143,179</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60" w:firstLine="913"/>
        <w:spacing w:after="0" w:line="268"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11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estimates made by the Company may not be indicative of assumptions and adjustments that a purchaser of the Company’s loans and leases would seek.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13"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20"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07"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color w:val="auto"/>
              </w:rPr>
              <w:t>June 30,</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59"/>
        </w:trPr>
        <w:tc>
          <w:tcPr>
            <w:tcW w:w="5220" w:type="dxa"/>
            <w:vAlign w:val="bottom"/>
          </w:tcPr>
          <w:p>
            <w:pPr>
              <w:spacing w:after="0"/>
              <w:rPr>
                <w:sz w:val="13"/>
                <w:szCs w:val="13"/>
                <w:color w:val="auto"/>
              </w:rPr>
            </w:pPr>
          </w:p>
        </w:tc>
        <w:tc>
          <w:tcPr>
            <w:tcW w:w="2320" w:type="dxa"/>
            <w:vAlign w:val="bottom"/>
            <w:gridSpan w:val="2"/>
          </w:tcPr>
          <w:p>
            <w:pPr>
              <w:jc w:val="right"/>
              <w:ind w:right="492"/>
              <w:spacing w:after="0" w:line="159" w:lineRule="exact"/>
              <w:rPr>
                <w:sz w:val="20"/>
                <w:szCs w:val="20"/>
                <w:color w:val="auto"/>
              </w:rPr>
            </w:pPr>
            <w:r>
              <w:rPr>
                <w:rFonts w:ascii="Arial" w:cs="Arial" w:eastAsia="Arial" w:hAnsi="Arial"/>
                <w:sz w:val="14"/>
                <w:szCs w:val="14"/>
                <w:color w:val="auto"/>
              </w:rPr>
              <w:t>2013</w:t>
            </w:r>
          </w:p>
        </w:tc>
        <w:tc>
          <w:tcPr>
            <w:tcW w:w="104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5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80" w:type="dxa"/>
            <w:vAlign w:val="bottom"/>
            <w:tcBorders>
              <w:top w:val="single" w:sz="8" w:color="auto"/>
            </w:tcBorders>
            <w:gridSpan w:val="2"/>
          </w:tcPr>
          <w:p>
            <w:pPr>
              <w:jc w:val="right"/>
              <w:ind w:right="61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Home equity lines of credit</w:t>
            </w:r>
          </w:p>
        </w:tc>
        <w:tc>
          <w:tcPr>
            <w:tcW w:w="2320" w:type="dxa"/>
            <w:vAlign w:val="bottom"/>
            <w:gridSpan w:val="2"/>
          </w:tcPr>
          <w:p>
            <w:pPr>
              <w:jc w:val="right"/>
              <w:ind w:right="172"/>
              <w:spacing w:after="0"/>
              <w:rPr>
                <w:sz w:val="20"/>
                <w:szCs w:val="20"/>
                <w:color w:val="auto"/>
              </w:rPr>
            </w:pPr>
            <w:r>
              <w:rPr>
                <w:rFonts w:ascii="Arial" w:cs="Arial" w:eastAsia="Arial" w:hAnsi="Arial"/>
                <w:sz w:val="18"/>
                <w:szCs w:val="18"/>
                <w:color w:val="auto"/>
              </w:rPr>
              <w:t>$ 6,276,882</w:t>
            </w:r>
          </w:p>
        </w:tc>
        <w:tc>
          <w:tcPr>
            <w:tcW w:w="1040" w:type="dxa"/>
            <w:vAlign w:val="bottom"/>
          </w:tcPr>
          <w:p>
            <w:pPr>
              <w:jc w:val="right"/>
              <w:spacing w:after="0"/>
              <w:rPr>
                <w:sz w:val="20"/>
                <w:szCs w:val="20"/>
                <w:color w:val="auto"/>
              </w:rPr>
            </w:pPr>
            <w:r>
              <w:rPr>
                <w:rFonts w:ascii="Arial" w:cs="Arial" w:eastAsia="Arial" w:hAnsi="Arial"/>
                <w:sz w:val="18"/>
                <w:szCs w:val="18"/>
                <w:color w:val="auto"/>
              </w:rPr>
              <w:t>6,282,615</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real estate loans to be sold</w:t>
            </w:r>
          </w:p>
        </w:tc>
        <w:tc>
          <w:tcPr>
            <w:tcW w:w="2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247,411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139,929</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Other commercial real estate and construction</w:t>
            </w:r>
          </w:p>
        </w:tc>
        <w:tc>
          <w:tcPr>
            <w:tcW w:w="2320" w:type="dxa"/>
            <w:vAlign w:val="bottom"/>
            <w:gridSpan w:val="2"/>
          </w:tcPr>
          <w:p>
            <w:pPr>
              <w:jc w:val="right"/>
              <w:ind w:right="172"/>
              <w:spacing w:after="0"/>
              <w:rPr>
                <w:sz w:val="20"/>
                <w:szCs w:val="20"/>
                <w:color w:val="auto"/>
              </w:rPr>
            </w:pPr>
            <w:r>
              <w:rPr>
                <w:rFonts w:ascii="Arial" w:cs="Arial" w:eastAsia="Arial" w:hAnsi="Arial"/>
                <w:sz w:val="18"/>
                <w:szCs w:val="18"/>
                <w:color w:val="auto"/>
              </w:rPr>
              <w:t>4,301,842</w:t>
            </w:r>
          </w:p>
        </w:tc>
        <w:tc>
          <w:tcPr>
            <w:tcW w:w="1040" w:type="dxa"/>
            <w:vAlign w:val="bottom"/>
          </w:tcPr>
          <w:p>
            <w:pPr>
              <w:jc w:val="right"/>
              <w:spacing w:after="0"/>
              <w:rPr>
                <w:sz w:val="20"/>
                <w:szCs w:val="20"/>
                <w:color w:val="auto"/>
              </w:rPr>
            </w:pPr>
            <w:r>
              <w:rPr>
                <w:rFonts w:ascii="Arial" w:cs="Arial" w:eastAsia="Arial" w:hAnsi="Arial"/>
                <w:sz w:val="18"/>
                <w:szCs w:val="18"/>
                <w:color w:val="auto"/>
              </w:rPr>
              <w:t>3,819,342</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 to be sold</w:t>
            </w:r>
          </w:p>
        </w:tc>
        <w:tc>
          <w:tcPr>
            <w:tcW w:w="2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895,796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1,550,441</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Other residential real estate</w:t>
            </w:r>
          </w:p>
        </w:tc>
        <w:tc>
          <w:tcPr>
            <w:tcW w:w="2320" w:type="dxa"/>
            <w:vAlign w:val="bottom"/>
            <w:gridSpan w:val="2"/>
          </w:tcPr>
          <w:p>
            <w:pPr>
              <w:jc w:val="right"/>
              <w:ind w:right="172"/>
              <w:spacing w:after="0"/>
              <w:rPr>
                <w:sz w:val="20"/>
                <w:szCs w:val="20"/>
                <w:color w:val="auto"/>
              </w:rPr>
            </w:pPr>
            <w:r>
              <w:rPr>
                <w:rFonts w:ascii="Arial" w:cs="Arial" w:eastAsia="Arial" w:hAnsi="Arial"/>
                <w:sz w:val="18"/>
                <w:szCs w:val="18"/>
                <w:color w:val="auto"/>
              </w:rPr>
              <w:t>440,030</w:t>
            </w:r>
          </w:p>
        </w:tc>
        <w:tc>
          <w:tcPr>
            <w:tcW w:w="1040" w:type="dxa"/>
            <w:vAlign w:val="bottom"/>
          </w:tcPr>
          <w:p>
            <w:pPr>
              <w:jc w:val="right"/>
              <w:spacing w:after="0"/>
              <w:rPr>
                <w:sz w:val="20"/>
                <w:szCs w:val="20"/>
                <w:color w:val="auto"/>
              </w:rPr>
            </w:pPr>
            <w:r>
              <w:rPr>
                <w:rFonts w:ascii="Arial" w:cs="Arial" w:eastAsia="Arial" w:hAnsi="Arial"/>
                <w:sz w:val="18"/>
                <w:szCs w:val="18"/>
                <w:color w:val="auto"/>
              </w:rPr>
              <w:t>445,268</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and other</w:t>
            </w:r>
          </w:p>
        </w:tc>
        <w:tc>
          <w:tcPr>
            <w:tcW w:w="2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10,079,740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10,070,711</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320" w:type="dxa"/>
            <w:vAlign w:val="bottom"/>
            <w:gridSpan w:val="2"/>
          </w:tcPr>
          <w:p>
            <w:pPr>
              <w:jc w:val="right"/>
              <w:ind w:right="172"/>
              <w:spacing w:after="0"/>
              <w:rPr>
                <w:sz w:val="20"/>
                <w:szCs w:val="20"/>
                <w:color w:val="auto"/>
              </w:rPr>
            </w:pPr>
            <w:r>
              <w:rPr>
                <w:rFonts w:ascii="Arial" w:cs="Arial" w:eastAsia="Arial" w:hAnsi="Arial"/>
                <w:sz w:val="18"/>
                <w:szCs w:val="18"/>
                <w:color w:val="auto"/>
              </w:rPr>
              <w:t>3,848,708</w:t>
            </w:r>
          </w:p>
        </w:tc>
        <w:tc>
          <w:tcPr>
            <w:tcW w:w="1040" w:type="dxa"/>
            <w:vAlign w:val="bottom"/>
          </w:tcPr>
          <w:p>
            <w:pPr>
              <w:jc w:val="right"/>
              <w:spacing w:after="0"/>
              <w:rPr>
                <w:sz w:val="20"/>
                <w:szCs w:val="20"/>
                <w:color w:val="auto"/>
              </w:rPr>
            </w:pPr>
            <w:r>
              <w:rPr>
                <w:rFonts w:ascii="Arial" w:cs="Arial" w:eastAsia="Arial" w:hAnsi="Arial"/>
                <w:sz w:val="18"/>
                <w:szCs w:val="18"/>
                <w:color w:val="auto"/>
              </w:rPr>
              <w:t>4,025,329</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36,058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53,201</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Financial guarantees, indemnification contracts and other</w:t>
            </w:r>
          </w:p>
        </w:tc>
        <w:tc>
          <w:tcPr>
            <w:tcW w:w="2320" w:type="dxa"/>
            <w:vAlign w:val="bottom"/>
            <w:gridSpan w:val="2"/>
          </w:tcPr>
          <w:p>
            <w:pPr>
              <w:jc w:val="right"/>
              <w:ind w:right="172"/>
              <w:spacing w:after="0"/>
              <w:rPr>
                <w:sz w:val="20"/>
                <w:szCs w:val="20"/>
                <w:color w:val="auto"/>
              </w:rPr>
            </w:pPr>
            <w:r>
              <w:rPr>
                <w:rFonts w:ascii="Arial" w:cs="Arial" w:eastAsia="Arial" w:hAnsi="Arial"/>
                <w:sz w:val="18"/>
                <w:szCs w:val="18"/>
                <w:color w:val="auto"/>
              </w:rPr>
              <w:t>2,600,259</w:t>
            </w:r>
          </w:p>
        </w:tc>
        <w:tc>
          <w:tcPr>
            <w:tcW w:w="1040" w:type="dxa"/>
            <w:vAlign w:val="bottom"/>
          </w:tcPr>
          <w:p>
            <w:pPr>
              <w:jc w:val="right"/>
              <w:spacing w:after="0"/>
              <w:rPr>
                <w:sz w:val="20"/>
                <w:szCs w:val="20"/>
                <w:color w:val="auto"/>
              </w:rPr>
            </w:pPr>
            <w:r>
              <w:rPr>
                <w:rFonts w:ascii="Arial" w:cs="Arial" w:eastAsia="Arial" w:hAnsi="Arial"/>
                <w:sz w:val="18"/>
                <w:szCs w:val="18"/>
                <w:color w:val="auto"/>
              </w:rPr>
              <w:t>2,120,361</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3,016,980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2,625,408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18"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$2.1 billion at June 30, 2013 and $2.0 billion at December 31, 2012.</w:t>
      </w:r>
    </w:p>
    <w:p>
      <w:pPr>
        <w:spacing w:after="0" w:line="116"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4"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40"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in 2013 and $6 million per year from 2014 through 2017.</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7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$54 million at June 30, 2013. Assets of subsidiaries providing reinsurance that are available to satisfy claims totaled approximately $39 million at June 30, 2013.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11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2013, management believes that any further liability arising out of the Company’s obligation to loan purchasers is not material to the Company’s consolidated financial position.</w:t>
      </w:r>
    </w:p>
    <w:p>
      <w:pPr>
        <w:spacing w:after="0" w:line="120"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$70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4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22 to the Company’s consolidated financial statements as of and for the year ended December 31, 2012.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2012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w w:val="86"/>
              </w:rPr>
              <w:t>Three months ended June 30</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160"/>
              <w:spacing w:after="0" w:line="131" w:lineRule="exact"/>
              <w:rPr>
                <w:sz w:val="20"/>
                <w:szCs w:val="20"/>
                <w:color w:val="auto"/>
              </w:rPr>
            </w:pPr>
            <w:r>
              <w:rPr>
                <w:rFonts w:ascii="Arial" w:cs="Arial" w:eastAsia="Arial" w:hAnsi="Arial"/>
                <w:sz w:val="14"/>
                <w:szCs w:val="14"/>
                <w:color w:val="auto"/>
              </w:rPr>
              <w:t>Inter-</w:t>
            </w:r>
          </w:p>
        </w:tc>
        <w:tc>
          <w:tcPr>
            <w:tcW w:w="12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2"/>
              </w:rPr>
              <w:t>Net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40"/>
              <w:spacing w:after="0" w:line="131" w:lineRule="exact"/>
              <w:rPr>
                <w:sz w:val="20"/>
                <w:szCs w:val="20"/>
                <w:color w:val="auto"/>
              </w:rPr>
            </w:pPr>
            <w:r>
              <w:rPr>
                <w:rFonts w:ascii="Arial" w:cs="Arial" w:eastAsia="Arial" w:hAnsi="Arial"/>
                <w:sz w:val="14"/>
                <w:szCs w:val="14"/>
                <w:color w:val="auto"/>
                <w:w w:val="91"/>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Total</w:t>
            </w: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income</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Total</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1"/>
              </w:rPr>
              <w:t>segment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w w:val="90"/>
              </w:rPr>
              <w:t>revenues(a)</w:t>
            </w:r>
          </w:p>
        </w:tc>
        <w:tc>
          <w:tcPr>
            <w:tcW w:w="7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7"/>
              </w:rPr>
              <w:t>(loss)</w:t>
            </w:r>
          </w:p>
        </w:tc>
        <w:tc>
          <w:tcPr>
            <w:tcW w:w="9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0"/>
              </w:rPr>
              <w:t>revenues(a)</w:t>
            </w:r>
          </w:p>
        </w:tc>
        <w:tc>
          <w:tcPr>
            <w:tcW w:w="8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revenues</w:t>
            </w:r>
          </w:p>
        </w:tc>
        <w:tc>
          <w:tcPr>
            <w:tcW w:w="7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106,486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30,562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Commercial Banking</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252,907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87,220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248,754</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99,623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187,773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168,083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(14,109)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(10,015)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(8,036)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(11,807)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(20,616)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(14,757)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34,143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Retail Banking</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292,837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51,500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313,994</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3,198</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58,191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(18,360)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63,209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(23,263)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(53,254)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1,186,276</w:t>
            </w:r>
          </w:p>
        </w:tc>
        <w:tc>
          <w:tcPr>
            <w:tcW w:w="2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348,466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1,039,633</w:t>
            </w:r>
          </w:p>
        </w:tc>
        <w:tc>
          <w:tcPr>
            <w:tcW w:w="2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233,380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40" w:type="dxa"/>
            <w:vAlign w:val="bottom"/>
            <w:vMerge w:val="restart"/>
          </w:tcPr>
          <w:p>
            <w:pPr>
              <w:jc w:val="right"/>
              <w:ind w:right="252"/>
              <w:spacing w:after="0"/>
              <w:rPr>
                <w:sz w:val="20"/>
                <w:szCs w:val="20"/>
                <w:color w:val="auto"/>
              </w:rPr>
            </w:pPr>
            <w:r>
              <w:rPr>
                <w:rFonts w:ascii="Arial" w:cs="Arial" w:eastAsia="Arial" w:hAnsi="Arial"/>
                <w:sz w:val="18"/>
                <w:szCs w:val="18"/>
                <w:color w:val="auto"/>
              </w:rPr>
              <w:t>-55-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Segment information,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color w:val="auto"/>
                <w:w w:val="88"/>
              </w:rPr>
              <w:t>Six months ended June 30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3"/>
              </w:rPr>
              <w:t>2012</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tcPr>
          <w:p>
            <w:pPr>
              <w:ind w:left="140"/>
              <w:spacing w:after="0" w:line="131" w:lineRule="exact"/>
              <w:rPr>
                <w:sz w:val="20"/>
                <w:szCs w:val="20"/>
                <w:color w:val="auto"/>
              </w:rPr>
            </w:pPr>
            <w:r>
              <w:rPr>
                <w:rFonts w:ascii="Arial" w:cs="Arial" w:eastAsia="Arial" w:hAnsi="Arial"/>
                <w:sz w:val="14"/>
                <w:szCs w:val="14"/>
                <w:color w:val="auto"/>
                <w:w w:val="97"/>
              </w:rPr>
              <w:t>Inter-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center"/>
              <w:ind w:right="72"/>
              <w:spacing w:after="0" w:line="131" w:lineRule="exact"/>
              <w:rPr>
                <w:sz w:val="20"/>
                <w:szCs w:val="20"/>
                <w:color w:val="auto"/>
              </w:rPr>
            </w:pPr>
            <w:r>
              <w:rPr>
                <w:rFonts w:ascii="Arial" w:cs="Arial" w:eastAsia="Arial" w:hAnsi="Arial"/>
                <w:sz w:val="14"/>
                <w:szCs w:val="14"/>
                <w:color w:val="auto"/>
                <w:w w:val="91"/>
              </w:rPr>
              <w:t>Net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160"/>
              <w:spacing w:after="0" w:line="131" w:lineRule="exact"/>
              <w:rPr>
                <w:sz w:val="20"/>
                <w:szCs w:val="20"/>
                <w:color w:val="auto"/>
              </w:rPr>
            </w:pPr>
            <w:r>
              <w:rPr>
                <w:rFonts w:ascii="Arial" w:cs="Arial" w:eastAsia="Arial" w:hAnsi="Arial"/>
                <w:sz w:val="14"/>
                <w:szCs w:val="14"/>
                <w:color w:val="auto"/>
              </w:rPr>
              <w:t>Inter-</w:t>
            </w:r>
          </w:p>
        </w:tc>
        <w:tc>
          <w:tcPr>
            <w:tcW w:w="700" w:type="dxa"/>
            <w:vAlign w:val="bottom"/>
          </w:tcPr>
          <w:p>
            <w:pPr>
              <w:jc w:val="center"/>
              <w:spacing w:after="0" w:line="131" w:lineRule="exact"/>
              <w:rPr>
                <w:sz w:val="20"/>
                <w:szCs w:val="20"/>
                <w:color w:val="auto"/>
              </w:rPr>
            </w:pPr>
            <w:r>
              <w:rPr>
                <w:rFonts w:ascii="Arial" w:cs="Arial" w:eastAsia="Arial" w:hAnsi="Arial"/>
                <w:sz w:val="14"/>
                <w:szCs w:val="14"/>
                <w:color w:val="auto"/>
                <w:w w:val="82"/>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Total</w:t>
            </w:r>
          </w:p>
        </w:tc>
        <w:tc>
          <w:tcPr>
            <w:tcW w:w="70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segment</w:t>
            </w:r>
          </w:p>
        </w:tc>
        <w:tc>
          <w:tcPr>
            <w:tcW w:w="120" w:type="dxa"/>
            <w:vAlign w:val="bottom"/>
          </w:tcPr>
          <w:p>
            <w:pPr>
              <w:spacing w:after="0"/>
              <w:rPr>
                <w:sz w:val="12"/>
                <w:szCs w:val="12"/>
                <w:color w:val="auto"/>
              </w:rPr>
            </w:pPr>
          </w:p>
        </w:tc>
        <w:tc>
          <w:tcPr>
            <w:tcW w:w="70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8"/>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segment</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2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w w:val="93"/>
              </w:rPr>
              <w:t>revenues(a)</w:t>
            </w:r>
          </w:p>
        </w:tc>
        <w:tc>
          <w:tcPr>
            <w:tcW w:w="70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3"/>
          </w:tcPr>
          <w:p>
            <w:pPr>
              <w:jc w:val="center"/>
              <w:ind w:right="152"/>
              <w:spacing w:after="0" w:line="159" w:lineRule="exact"/>
              <w:rPr>
                <w:sz w:val="20"/>
                <w:szCs w:val="20"/>
                <w:color w:val="auto"/>
              </w:rPr>
            </w:pPr>
            <w:r>
              <w:rPr>
                <w:rFonts w:ascii="Arial" w:cs="Arial" w:eastAsia="Arial" w:hAnsi="Arial"/>
                <w:sz w:val="14"/>
                <w:szCs w:val="14"/>
                <w:color w:val="auto"/>
                <w:w w:val="87"/>
              </w:rPr>
              <w:t>(loss)</w:t>
            </w:r>
          </w:p>
        </w:tc>
        <w:tc>
          <w:tcPr>
            <w:tcW w:w="140" w:type="dxa"/>
            <w:vAlign w:val="bottom"/>
          </w:tcPr>
          <w:p>
            <w:pPr>
              <w:spacing w:after="0"/>
              <w:rPr>
                <w:sz w:val="13"/>
                <w:szCs w:val="13"/>
                <w:color w:val="auto"/>
              </w:rPr>
            </w:pPr>
          </w:p>
        </w:tc>
        <w:tc>
          <w:tcPr>
            <w:tcW w:w="900" w:type="dxa"/>
            <w:vAlign w:val="bottom"/>
            <w:gridSpan w:val="4"/>
          </w:tcPr>
          <w:p>
            <w:pPr>
              <w:jc w:val="right"/>
              <w:ind w:right="180"/>
              <w:spacing w:after="0" w:line="159" w:lineRule="exact"/>
              <w:rPr>
                <w:sz w:val="20"/>
                <w:szCs w:val="20"/>
                <w:color w:val="auto"/>
              </w:rPr>
            </w:pPr>
            <w:r>
              <w:rPr>
                <w:rFonts w:ascii="Arial" w:cs="Arial" w:eastAsia="Arial" w:hAnsi="Arial"/>
                <w:sz w:val="14"/>
                <w:szCs w:val="14"/>
                <w:color w:val="auto"/>
                <w:w w:val="93"/>
              </w:rPr>
              <w:t>revenues(a)</w:t>
            </w:r>
          </w:p>
        </w:tc>
        <w:tc>
          <w:tcPr>
            <w:tcW w:w="120" w:type="dxa"/>
            <w:vAlign w:val="bottom"/>
          </w:tcPr>
          <w:p>
            <w:pPr>
              <w:spacing w:after="0"/>
              <w:rPr>
                <w:sz w:val="13"/>
                <w:szCs w:val="13"/>
                <w:color w:val="auto"/>
              </w:rPr>
            </w:pPr>
          </w:p>
        </w:tc>
        <w:tc>
          <w:tcPr>
            <w:tcW w:w="8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revenues</w:t>
            </w:r>
          </w:p>
        </w:tc>
        <w:tc>
          <w:tcPr>
            <w:tcW w:w="8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8"/>
          </w:tcPr>
          <w:p>
            <w:pPr>
              <w:jc w:val="right"/>
              <w:ind w:right="58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211,904</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2,513</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63,123</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221,294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72,418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502,757</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2,665</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194,607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486,216</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202,719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353,066</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2,106</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166,376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149,129</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(2,068)</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(18,616)</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(6,190)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(12,967)</w:t>
            </w:r>
          </w:p>
        </w:tc>
        <w:tc>
          <w:tcPr>
            <w:tcW w:w="820" w:type="dxa"/>
            <w:vAlign w:val="bottom"/>
            <w:gridSpan w:val="3"/>
          </w:tcPr>
          <w:p>
            <w:pPr>
              <w:ind w:left="180"/>
              <w:spacing w:after="0"/>
              <w:rPr>
                <w:sz w:val="20"/>
                <w:szCs w:val="20"/>
                <w:color w:val="auto"/>
              </w:rPr>
            </w:pPr>
            <w:r>
              <w:rPr>
                <w:rFonts w:ascii="Arial" w:cs="Arial" w:eastAsia="Arial" w:hAnsi="Arial"/>
                <w:sz w:val="18"/>
                <w:szCs w:val="18"/>
                <w:color w:val="auto"/>
                <w:w w:val="92"/>
              </w:rPr>
              <w:t>(35,397)</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(22,998)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231,663</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40,287</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68,504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203,037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584,022</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6,855</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103,850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620,842</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106,848</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393,864</w:t>
            </w: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(35,810)</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32,309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196,696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2"/>
              </w:rPr>
              <w:t>(48,880)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(117,784)</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2,275,208</w:t>
            </w:r>
          </w:p>
        </w:tc>
        <w:tc>
          <w:tcPr>
            <w:tcW w:w="700" w:type="dxa"/>
            <w:vAlign w:val="bottom"/>
            <w:gridSpan w:val="4"/>
          </w:tcPr>
          <w:p>
            <w:pPr>
              <w:jc w:val="center"/>
              <w:ind w:left="78"/>
              <w:spacing w:after="0"/>
              <w:rPr>
                <w:sz w:val="20"/>
                <w:szCs w:val="20"/>
                <w:color w:val="auto"/>
              </w:rPr>
            </w:pPr>
            <w:r>
              <w:rPr>
                <w:rFonts w:ascii="Arial" w:cs="Arial" w:eastAsia="Arial" w:hAnsi="Arial"/>
                <w:sz w:val="18"/>
                <w:szCs w:val="18"/>
                <w:color w:val="auto"/>
                <w:w w:val="99"/>
              </w:rPr>
              <w:t>—</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622,579</w:t>
            </w:r>
          </w:p>
        </w:tc>
        <w:tc>
          <w:tcPr>
            <w:tcW w:w="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2,036,745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439,843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color w:val="auto"/>
              </w:rPr>
              <w:t>Average total assets</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7"/>
          </w:tcPr>
          <w:p>
            <w:pPr>
              <w:jc w:val="right"/>
              <w:spacing w:after="0" w:line="131" w:lineRule="exact"/>
              <w:rPr>
                <w:sz w:val="20"/>
                <w:szCs w:val="20"/>
                <w:color w:val="auto"/>
              </w:rPr>
            </w:pPr>
            <w:r>
              <w:rPr>
                <w:rFonts w:ascii="Arial" w:cs="Arial" w:eastAsia="Arial" w:hAnsi="Arial"/>
                <w:sz w:val="14"/>
                <w:szCs w:val="14"/>
                <w:color w:val="auto"/>
                <w:w w:val="87"/>
              </w:rPr>
              <w:t>Six months ended</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2"/>
              </w:rPr>
              <w:t>Year ended</w:t>
            </w:r>
          </w:p>
        </w:tc>
        <w:tc>
          <w:tcPr>
            <w:tcW w:w="22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jc w:val="right"/>
              <w:ind w:right="32"/>
              <w:spacing w:after="0"/>
              <w:rPr>
                <w:sz w:val="20"/>
                <w:szCs w:val="20"/>
                <w:color w:val="auto"/>
              </w:rPr>
            </w:pPr>
            <w:r>
              <w:rPr>
                <w:rFonts w:ascii="Arial" w:cs="Arial" w:eastAsia="Arial" w:hAnsi="Arial"/>
                <w:sz w:val="14"/>
                <w:szCs w:val="14"/>
                <w:color w:val="auto"/>
                <w:w w:val="88"/>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4"/>
                <w:szCs w:val="14"/>
                <w:color w:val="auto"/>
                <w:w w:val="85"/>
              </w:rPr>
              <w:t>December 31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w w:val="96"/>
              </w:rPr>
              <w:t>2013</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54"/>
              <w:spacing w:after="0" w:line="159" w:lineRule="exact"/>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6"/>
          </w:tcPr>
          <w:p>
            <w:pPr>
              <w:jc w:val="right"/>
              <w:ind w:right="380"/>
              <w:spacing w:after="0" w:line="142" w:lineRule="exact"/>
              <w:rPr>
                <w:sz w:val="20"/>
                <w:szCs w:val="20"/>
                <w:color w:val="auto"/>
              </w:rPr>
            </w:pPr>
            <w:r>
              <w:rPr>
                <w:rFonts w:ascii="Arial" w:cs="Arial" w:eastAsia="Arial" w:hAnsi="Arial"/>
                <w:sz w:val="14"/>
                <w:szCs w:val="14"/>
                <w:color w:val="auto"/>
                <w:w w:val="93"/>
              </w:rPr>
              <w:t>(in millions)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left="298"/>
              <w:spacing w:after="0"/>
              <w:rPr>
                <w:sz w:val="20"/>
                <w:szCs w:val="20"/>
                <w:color w:val="auto"/>
              </w:rPr>
            </w:pPr>
            <w:r>
              <w:rPr>
                <w:rFonts w:ascii="Arial" w:cs="Arial" w:eastAsia="Arial" w:hAnsi="Arial"/>
                <w:sz w:val="18"/>
                <w:szCs w:val="18"/>
                <w:color w:val="auto"/>
                <w:w w:val="99"/>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Banking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21,446</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19,455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3"/>
              </w:rPr>
              <w:t>17,122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16,316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16,278</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16,136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16,583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Retail Banking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11,357</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right"/>
              <w:ind w:right="420"/>
              <w:spacing w:after="0"/>
              <w:rPr>
                <w:sz w:val="20"/>
                <w:szCs w:val="20"/>
                <w:color w:val="auto"/>
              </w:rPr>
            </w:pPr>
            <w:r>
              <w:rPr>
                <w:rFonts w:ascii="Arial" w:cs="Arial" w:eastAsia="Arial" w:hAnsi="Arial"/>
                <w:sz w:val="18"/>
                <w:szCs w:val="18"/>
                <w:color w:val="auto"/>
                <w:w w:val="90"/>
              </w:rPr>
              <w:t>11,791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center"/>
              <w:ind w:left="298"/>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82,637</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79,056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79,983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53" w:lineRule="auto"/>
        <w:tabs>
          <w:tab w:leader="none" w:pos="4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Total revenues are comprised of net interest income and other income. Net interest income is the difference between taxable-equivalent interest earned on assets and interest paid on liabilities by a segment and a funding charge (credit) based on the Company’s internal funds transfer pricing and allocation methodology. Segments are charged a cost to fund any assets (e.g. loans) and are paid a funding credit for any funds provided (e.g. deposits). The taxable-equivalent adjustment aggregated $6,217,000 and $6,645,000 for the three-month periods ended June 30, 2013 and 2012, respectively, and $12,667,000 and $13,350,000 for the six-month periods ended June 30, 2013 and 2012,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Bayview Lending Group LLC and Bayview Financial Holdings, L.P.</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M&amp;T holds a 20% interest in Bayview Lending Group LLC (“BLG”), a privately-held commercial mortgage company. M&amp;T recognizes income or loss from BLG using the equity method of accounting. The carrying value of that investment was $84 million at June 30, 2013.</w:t>
      </w:r>
    </w:p>
    <w:p>
      <w:pPr>
        <w:spacing w:after="0" w:line="13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$3.6 billion and $3.8 billion at June 30, 2013 and December 31, 2012, respectively. In addition, the Company has servicing rights that were obtained from Bayview Financial related to residential mortgage loans with outstanding principal balances of $2.5 billion at June 30, 2013 and $2.7 billion at December 31, 2012. Revenues from servicing residential and small-balance commercial mortgage loans obtained from BLG and Bayview Financial were $8 million and $9 million during the three months ended June 30, 2013 and 2012, respectively, and $16 million and $18 million for the six months ended June 30, 2013 and June 30, 2012, respectively. The Company sub-services residential mortgage loans for Bayview Financial and affiliates having outstanding principal balances totaling $10.4 billion and $11.4 billion at June 30, 2013 and December 31, 2012, respectively. Revenues earned for sub-servicing those loans were $2 million for each of the three month periods ended June 30, 2013 and 2012, and $4 million and $5 million for the six months ended June 30, 2013 and 2012, respectively. In addition, at June 30, 2013 and December 31, 2012, the Company held $5 million and $11 million, respectively, of mortgage-backed securities in its available-for-sale investment securities portfolio that were securitized by Bayview Financial. Finally, the Company held $231 million and $242 million of similar investment securities in its held-to-maturity portfolio at June 30, 2013 and December 31, 2012, respectively.</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Net income for M&amp;T Bank Corporation (“M&amp;T”) in the second quarter of 2013 was $348 million or $2.55 of diluted earnings per common share, compared with $233 million or $1.71 of diluted earnings per common share in the year-earlier quarter. During the initial quarter of 2013, net income totaled $274 million or $1.98 of diluted earnings per common share. Basic earnings per common share were $2.56 in the recent quarter, compared with $1.71 in the second quarter of 2012 and $2.00 in the initial 2013 quarter. The after-tax impact of net acquisition and integration-related expenses (included herein as merger-related expenses) was $5 million ($8 million pre-tax) or $.04 of basic and diluted earnings per common share in the second quarter of 2013, compared with $4 million ($7 million pre-tax) or $.03 of basic and diluted earnings per common share in the year-earlier quarter and $3 million ($5 million pre-tax), or $.02 of basic and diluted earnings per common share in the first quarter of 2013. Such expenses in 2013 were associated with M&amp;T’s pending acquisition of Hudson City Bancorp, Inc. (“Hudson City”), headquartered in Paramus, New Jersey, and in 2012 were associated with M&amp;T’s May 16, 2011 acquisition of Wilmington Trust Corporation (“Wilmington Trust”), headquartered in Wilmington, Delaware. For the first six months of 2013, net income totaled $623 million or $4.53 of diluted earnings per common share, compared with $440 million or $3.20 of diluted earnings per common share in the first half of 2012. Basic earnings per common share for the six-month periods ended June 30, 2013 and 2012 were $4.56 and $3.21, respectively. The after-tax impact of merger-related expenses during the first six months of 2013 was $8 million ($12 million pre-tax), or $.06 of basic and diluted earnings per common share, compared with $6 million ($10 million pre-tax) or $.05 of basic and diluted earnings per common share during the six-month period ended June 30, 2012.</w:t>
      </w:r>
    </w:p>
    <w:p>
      <w:pPr>
        <w:spacing w:after="0" w:line="12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annualized rate of return on average total assets for M&amp;T and its consolidated subsidiaries (“the Company”) in the recent quarter was 1.68%, compared with 1.17% in the second quarter of 2012 and 1.36% in the first quarter of 2013. The annualized rate of return on average common shareholders’ equity was 13.78% in the second quarter of 2013, compared with 10.12% in the year-earlier quarter and 11.10% in the first three months of 2013. During the six-month period ended June 30, 2013, the annualized rates of return on average assets and average common shareholders’ equity were 1.52% and 12.47%, respectively, compared with 1.12% and 9.58%, respectively, in the first six months of 2012.</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Reflected in the results for the second quarter of 2013 were certain noteworthy items. The Company sold the majority of its privately issued mortgage-backed securities (“MBS”) that had been held in the available-for-sale investment securities portfolio for an after-tax loss of $28 million ($46 million pre-tax), or $.22 per diluted common share. In addition, the Company’s holdings of Visa and MasterCard shares were sold for an after-tax gain of $62 million ($103 million pre-tax), or $.48 per diluted common share. Finally, during the recent quarter the Company reversed an accrual for a contingent compensation obligation assumed in the May 2011 acquisition of Wilmington Trust that expired, resulting in a $26 million reduction of “other expense – other costs of operations” having an after-tax impact of $15 million, or $.12 of diluted earnings per common share.</w:t>
      </w:r>
    </w:p>
    <w:p>
      <w:pPr>
        <w:spacing w:after="0" w:line="12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On August 27, 2012, M&amp;T announced that it had entered into a definitive agreement with Hudson City under which Hudson City would be acquired by M&amp;T. Pursuant to the terms of the agreement, Hudson City shareholders will receive consideration for each common share of Hudson City in an amount valued at</w:t>
      </w:r>
    </w:p>
    <w:p>
      <w:pPr>
        <w:ind w:right="600"/>
        <w:spacing w:after="0" w:line="261" w:lineRule="auto"/>
        <w:rPr>
          <w:sz w:val="20"/>
          <w:szCs w:val="20"/>
          <w:color w:val="auto"/>
        </w:rPr>
      </w:pPr>
      <w:r>
        <w:rPr>
          <w:rFonts w:ascii="Arial" w:cs="Arial" w:eastAsia="Arial" w:hAnsi="Arial"/>
          <w:sz w:val="18"/>
          <w:szCs w:val="18"/>
          <w:color w:val="auto"/>
        </w:rPr>
        <w:t>.08403 of an M&amp;T share in the form of either M&amp;T common stock or cash, based on the election of each Hudson City shareholder, subject to proration as specified in the merger agreement (which provides for an aggregate split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consideration of 60% common stock of M&amp;T and 40% cash). As of June 30, 2013 total consideration to be paid was valued at approximately $4.7 billion. At June 30, 2013, Hudson City had $39.7 billion of assets, including $25.3 billion of loans and $10.6 billion of investment securities, and $35.0 billion of liabilities, including $22.6 billion of deposits. The merger has received the approval of the common shareholders of M&amp;T and Hudson City. However, the merger is subject to a number of other conditions, including regulatory approvals.</w:t>
      </w:r>
    </w:p>
    <w:p>
      <w:pPr>
        <w:spacing w:after="0" w:line="143"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On April 12, 2013, M&amp;T announced that additional time would be required to obtain a regulatory determination on the applications for the proposed merger with Hudson City. M&amp;T had learned that regulators identified certain concerns with the Company’s procedures, systems and processes related to the Company’s Bank Secrecy Act and anti-money-laundering compliance program. On June 17, 2013, M&amp;T and Manufacturers and Traders Trust Company (“M&amp;T Bank”), M&amp;T’s principal banking subsidiary, entered into a written agreement with the Federal Reserve Bank of New York (“Federal Reserve Bank”). Under the terms of the agreement, M&amp;T and M&amp;T Bank are required to submit to the Federal Reserve Bank a revised compliance risk management program designed to ensure compliance with anti-money laundering laws and regulations and to take certain other steps to enhance their compliance practices. M&amp;T has commenced a major initiative, including the hiring of outside consulting firms, intended to fully address those regulator concerns. In view of the potential timeframe required to implement this initiative, demonstrate its efficacy to the satisfaction of the regulators and otherwise meet any other regulatory requirements that may be imposed in connection with these matters, M&amp;T and Hudson City believe that the timeframe for closing the transaction will be extended substantially beyond the date previously expected. Accordingly, M&amp;T and Hudson City extended the date after which either party may elect to terminate the merger agreement if the merger has not yet been completed from August 27, 2013 to January 31, 2014. Nevertheless, there can be no assurances that the merger will be completed by that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and Regulatory Developments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discussed in the Company’s Form 10-K for the year ended December 31, 2012,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many of which are not yet completed or implemented. The Dodd-Frank Act could have a material adverse impact on the financial services industry as a whole, as well as on M&amp;T’s business, results of operations, financial condition and liquidity.</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Many aspects of the Dodd-Frank Act still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directly impact the net income of financial institutions. Provisions in the legislation that revoke the Tier 1 capital treatment of trust preferred securities and otherwise require revisions to the capital requirements of M&amp;T and M&amp;T Bank could require M&amp;T and M&amp;T Bank to further seek other sources of capital in the future.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discussion of the provisions of the Dodd-Frank Act is included in Part II, Item 7 of the Company’s Form 10-K for the year ended December 31, 2012.</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July 31, 2013, the U.S. District Court for the District of Columbia issued an order granting summary judgment to the plaintiffs in a case challenging certain provisions of the Federal Reserve’s rule concerning electronic debit card transaction fees and network exclusivity arrangements (the “Current Rule”) that were adopted to implement Section 1075 of the Dodd-Frank Act – the so-called “Durbin Amendment.” The Court held that, in adopting the Current Rule, the Federal Reserve violated the Durbin Amendment’s provisions concerning which costs are allowed to be taken into account for purposes of setting fees that are “reasonable and proportional to the costs incurred by the issuer” and therefore the Current Rule’s maximum permissible fees were too high. In addition, the Court held that the Current Rule’s network non-exclusivity provisions concerning unaffiliated payment networks for debit cards also violated the Durbin Amendment. The Court vacated the Current Rule, but stayed its ruling to provide the Federal Reserve an opportunity to replace the invalidated portions. If the Federal Reserve re-issues rules for purposes of implementing the Durbin Amendment in a manner consistent with this decision, the amount of debit card interchange fees the Company would be permitted to charge likely would be reduced. The amount of such reduction cannot be estimated at this time.</w:t>
      </w:r>
    </w:p>
    <w:p>
      <w:pPr>
        <w:spacing w:after="0" w:line="12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In July 2013, the Federal Reserve Board, the Office of the Comptroller of the Currency and the Federal Deposit Insurance Corporation approved final rules (the “New Capital Rules”) establishing a new comprehensive capital framework for U.S. banking organizations. The New Capital Rules generally implement the Basel Committee on Banking Supervision’s (the “Basel Committee”) December 2010 final capital framework referred to as “Basel III” for strengthening international capital standards. The New Capital Rules substantially revise the risk-based capital requirements applicable to bank holding companies and their depository institution subsidiaries, including M&amp;T and M&amp;T Bank, as compared to the current U.S. general risk-based capital rules. The New Capital Rules revise the definitions and the components of regulatory capital, as well as address other issues affecting the numerator in banking institutions’ regulatory capital ratios. The New Capital Rules also address asset risk weights and other matters affecting the denominator in banking institutions’ regulatory capital ratios and replace the existing general risk-weighting approach, which was derived from the Basel Committee’s 1988 “Basel I” capital accords, with a more risk-sensitive approach based, in part, on the “standardized approach” in the Basel Committee’s 2004 “Basel II” capital accords. In addition, the New Capital Rules implement certain provisions of the Dodd-Frank Act, including the requirements of Section 939A to remove references to credit ratings from the federal agencies’ rules. The New Capital Rules are effective for the Company on January 1, 2015, subject to phase-in periods for certain of their components and other provisions.</w:t>
      </w:r>
    </w:p>
    <w:p>
      <w:pPr>
        <w:spacing w:after="0" w:line="112"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Among other matters, the New Capital Rules: (i) introduce a new capital measure called “Common Equity Tier 1” (“CET1”) and related regulatory capital ratio of CET1 to risk-weighted assets; (ii) specify that Tier 1 capital consists of CET1 and “Additional Tier 1 capital” instruments meeting certain revised requirements; (iii) mandate that most deductions/adjustments to regulatory capital measures be made to CET1 and not to the other components of capital; and</w:t>
      </w:r>
    </w:p>
    <w:p>
      <w:pPr>
        <w:spacing w:after="0" w:line="1" w:lineRule="exact"/>
        <w:rPr>
          <w:sz w:val="20"/>
          <w:szCs w:val="20"/>
          <w:color w:val="auto"/>
        </w:rPr>
      </w:pPr>
    </w:p>
    <w:p>
      <w:pPr>
        <w:ind w:right="180" w:firstLine="8"/>
        <w:spacing w:after="0" w:line="254" w:lineRule="auto"/>
        <w:tabs>
          <w:tab w:leader="none" w:pos="2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expand the scope of the deductions from and adjustments to capital as compared to existing regulations. Under the New Capital Rules, for most banking organizations, including M&amp;T, the most common form of Additional Tier 1 capital is non-cumulative perpetual preferred stock and the most common forms of Tier 2 capital are subordinated notes and a portion of the allocation for loan and lease losses, in each case, subject to the New Capital Rules’ specific requirements.</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the New Capital Rules, the minimum capital ratios as of January 1, 2015 will be as follows:</w:t>
      </w:r>
    </w:p>
    <w:p>
      <w:pPr>
        <w:spacing w:after="0" w:line="90" w:lineRule="exact"/>
        <w:rPr>
          <w:sz w:val="20"/>
          <w:szCs w:val="20"/>
          <w:color w:val="auto"/>
        </w:rPr>
      </w:pPr>
    </w:p>
    <w:p>
      <w:pPr>
        <w:ind w:left="1480" w:hanging="446"/>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4.5% CET1 to risk-weighted assets;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6.0% Tier 1 capital (that is, CET1 plus Additional Tier 1 capital) to risk-weighted assets;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8.0% Total capital (that is, Tier 1 capital plus Tier 2 capital) to risk-weighted assets;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4.0% Tier 1 capital to average consolidated assets as reported on consolidated financial statements (known as the “leverage ratio”).</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New Capital Rules also introduce a new “capital conservation buffer”, composed entirely of CET1, on top of these minimum risk-weighted asset ratios. The capital conservation buffer is designed to absorb losses during periods of economic stress. Banking institutions with a ratio of CET1 to risk-weighted assets above the minimum but below the capital conservation buffer will face constraints on dividends, equity and other capital instrument repurchases and compensation based on the amount of the shortfall. Thus, when fully phased-in on January 1, 2019, the capital standards applicable to the Company will include an additional capital conservation buffer of 2.5% of CET1, effectively resulting in minimum ratios inclusive of the capital conservation buffer of (i) CET1 to risk-weighted assets of at least 7%, (ii) Tier 1 capital to risk-weighted assets of at least 8.5%, and (iii) Total capital to risk-weighted assets of at least 10.5%.</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New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items, in the aggregate, exceed 15% of CET1.</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under the current general risk-based capital rules, the effects of accumulated other comprehensive income or loss (“AOCI”) items included in shareholders’ equity (for example, marks-to-market of securities held in the available-for-sale portfolio) under U.S. GAAP are reversed for the purposes of determining regulatory capital ratios. Pursuant to the New Capital Rules, the effects of certain AOCI items are not excluded; however, non-advanced approaches banking organizations, including the Company, may make a one-time permanent election to continue to exclude these items. This election must be made concurrently with the first filing of certain of the Company’s periodic regulatory reports in the beginning of 2015. The New Capital Rules also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only 25% of M&amp;T’s $1.2 billion of trust preferred securities currently outstanding and expected to be outstanding on the effective date of the New Capital Rules (which is the date of publication in the Federal Register) will be included in Tier 1 capital and in 2016, none of M&amp;T’s trust preferred securities will be included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Implementation of the deductions and other adjustments to CET1 will begin on January 1, 2015 and will be phased-in over a 4-year period (beginning at 40% on January 1, 2015 and an additional 20% per year thereafter). The implementation of the capital conservation buffer will begin on January 1, 2016 at the 0.625% level and increase by 0.625% on each subsequent January 1, until it reaches 2.5% on January 1, 2019.</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With respect to the insured depository institution subsidiaries of the Company, the New Capital Rules revise the “prompt corrective action” (“PCA”) regulations adopted pursuant to Section 38 of the Federal Deposit Insurance Act, by: (i) introducing a CET1 ratio requirement at each PCA category (other than critically undercapitalized), with the required CET1 ratio being 6.5% for well-capitalized status; (ii) increasing the minimum Tier 1 capital ratio requirement for each category, with the minimum Tier 1 capital ratio for well-capitalized status being 8% (as compared to the current 6%); and (iii) eliminating the current provision that provides that a bank with a composite supervisory rating of 1 may have a 3% leverage ratio and still be adequately capitalized. The New Capital Rules do not change the total risk-based capital requirement for any PCA category.</w:t>
      </w:r>
    </w:p>
    <w:p>
      <w:pPr>
        <w:spacing w:after="0" w:line="12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The New Capital Rules prescribe a new standardized approach for risk weightings that expand the risk-weighting categories from the current four Basel I-derived categories (0%, 20%, 50% and 100%) to a larger and more risk-sensitive number of categories, depending on the nature of the assets, generally ranging from 0% for U.S. government and agency securities, to 600% for certain equity exposures, and resulting in higher risk weights for a variety of asset classes.</w:t>
      </w:r>
    </w:p>
    <w:p>
      <w:pPr>
        <w:spacing w:after="0" w:line="8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Management believes that the Company will be able to comply with the targeted capital ratios upon implementation of the revised requirements, as finalized. More specifically, management estimates that the Company’s ratio of CET1 to risk-weighted assets under the New Capital Rules on a fully phased-in basis was approximately 8.10% to 8.15% as of June 30, 2013, reflecting a good faith estimate of the computation of CET1 and the Company’s risk-weighted assets under the methodologies set forth in the New Capital Rules.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regulatory capital ratios under risk-based capital rules currently in effect are presented herein under the heading “Capital.”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of business combinations and other acquisitions, the Company had intangible assets consisting of goodwill and core deposit and other intangible assets totaling $3.6 billion at each of June 30, 2013 and December 31, 2012 and $3.7 billion at June 30, 2012. Included in such intangible assets was goodwill of $3.5 billion at each of those dates. Amortization of core deposit and other intangible assets, after tax effect, was $8 million ($.06 per diluted common share) during each of the two most recent quarters, compared with $10 million ($.08 per diluted common share) during the second quarter of 2012. For the six-month periods ended June 30, 2013 and 2012, amortization of core deposit and other intangible assets, after tax effect, totaled $16 million ($.12 per diluted common share) and $20 million ($.16 per diluted common share), respectively.</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operating income totaled $361 million in the second quarter of 2013, compared with $247 million in the corresponding 2012 quarter. Diluted net operating earnings per common share for the recent quarter were $2.65, compared with $1.82 in the second quarter of 2012. Net operating income and diluted net operating earnings per common share were $285 million and $2.06, respectively, in the first quarter of 2013. For the first six months of 2013, net operating income and diluted net operating earnings per common share were $646 million and $4.71, respectively, compared with $466 million and $3.41, respectively, in the similar 2012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operating income in the recent quarter expressed as an annualized rate of return on average tangible assets was 1.81%, compared with 1.30%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1.48% in the second quarter of 2012 and first quarter of 2013, respectively. Net operating income represented an annualized return on average tangible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of 22.72% in the recently completed quarter, compared with 18.54% and 18.71% in the quarters ended June 30, 2012 and March 31, 2013,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 the first half of 2013, net operating income represented an annualized return on average tangible assets and average tangible common shareholders’ equity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1.65% and 20.76%, respectively, compared with 1.24% and 17.68%, respectively, in the six-month period ended June 30, 2012.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Taxable-equivalent net interest income totaled $684 million in the recent quarter, up 4% from $655 million in the year-earlier quarter. That improvement reflects a $3.5 billion or 5% rise in average earning assets as compared with the second quarter of 2012, partially offset by a 3 basis point (hundredths of one percent) narrowing of the Company’s net interest margin, or taxable-equivalent net interest income expressed as an annualized percentage of average earning assets. The rise in average earning assets was attributable to a $4.2 billion increase in average loans outstanding and a $1.1 billion increase in average interest-bearing deposits held at the Federal Reserve Bank, partially offset by a $2.0 billion decline in average balances of investment securities. The higher average loan balances outstanding were largely attributable to increased demand for commercial loans and commercial real estate loans. Taxable-equivalent net interest income was increased by $13 million during the recent quarter, resulting from an improvement in estimated cash flows expected to be collected on acquired loans. Stabilizing economic conditions and better than expected repayments led to a reduction in estimated future credit losses on acquired loans of $130 million, resulting in an approximate 2% increase in projected cash flows that will be recognized as interest income over the remaining terms of those loans. Taxable-equivalent net interest income in the recent quarter was 3% above the $663 million recorded in the initial quarter of 2013. That improvement reflects a $1.6 billion increase in average earning assets, predominantly the result of a $1.9 billion rise in average interest-bearing deposits held at the Federal Reserve Bank, partially offset by a decline in average balances of investment securities of $509 million. The recent quarter’s net interest margin of 3.71% was unchanged from 2013’s first quarter.</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first six months of 2013, taxable-equivalent net interest income was $1.35 billion, 5% higher than $1.28 billion in the corresponding 2012 period. That increase was largely attributable to higher average earning assets, which rose $3.7 billion or 5% from $69.4 billion in the first half of 2012 to $73.2 billion in the first six months of 2013. Contributing to the growth in average earning assets were higher balances of commercial loans and commercial real estate loans due to increased demand for such loans.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Average loans and leases rose 7% to $66.0 billion in the recent quarter from $61.8 billion in the second quarter of 2012. Commercial loans and leases averaged $17.7 billion in the second quarter of 2013, up $1.6 billion or 10% from $16.1 billion in the year-earlier quarter. Average commercial real estate loans rose 5% to $26.1 billion in the recent quarter from $24.7 billion in the second quarter of 2012. Average residential real estate loans outstanding rose 17% to $10.8 billion in the second quarter of 2013 from $9.2 billion in the corresponding quarter of 2012. Included in that portfolio were loans originated for sale, which averaged $977 million in the recent quarter, compared with $281 million in the second quarter of 2012. The growth in residential real estate loans reflects the Company’s decision during the third quarter of 2011 to retain for portfolio a higher proportion of originated loans. However, beginning in September 2012, the Company again began originating for sale the majority of residential real estate loans originated due to the significant growth in the portfolio and the pending Hudson City acquisition. Average consumer loans and leases totaled $11.4 billion in the recent quarter, $360 million or 3% lower than $11.8 billion in 2012’s second quarter. That decrease was largely due to lower average balances of automobile and home equity loans and outstanding lines of credit.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second quarter of 2013, the Company securitized approximately $296 million of residential real estate loans previously originated by the Company and held in its loan portfolio. The residential real estate loans were guaranteed by the Federal Housing Administration (“FHA”), and substantially all of the resulting Government National Mortgage Association (“Ginnie Mae”) mortgage-backed investment securities have been retained by the Company in the held-to-maturity portfolio. An additional $1.0 billion of FHA loans in the Company’s residential real estate loan portfolio will be securitized in the third quarter of 2013 and the resulting Ginnie Mae mortgage-backed securities will largely be retained in the Company’s investment securities portfolio. The Company also expects to securitize up to approximately $1.5 billion of loans held in its consumer loan portfolio during the third quarter of 2013. The Company is securitizing loans to improve its regulatory capital ratios and strengthen its liquidity and risk profile, including the ability to pledge any of the retained assets, as a result of changing regulatory requirements. The fair value of loans to be securitized exceeded their amortized cost at June 30, 2013.</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Average loan balances in the recent quarter rose $128 million from the first quarter of 2013. Average outstanding commercial loan and lease balances increased $385 million, or 2%, and average balances of commercial real estate loans rose $136 million, or 1%, while average residential real estate loans declined $336 million, or 3%, and average consumer loans decreased $57 million from 2013’s first quarter. The decline in residential real estate loans reflects payments received and the recent quarter securitization of FHA residential real estate loans. The accompanying table summarizes quarterly changes in the major components of the loan and lease portfolio.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2nd Qtr.</w:t>
            </w: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6"/>
              </w:rPr>
              <w:t>2nd Qtr.</w:t>
            </w: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1st Qtr.</w:t>
            </w:r>
          </w:p>
        </w:tc>
        <w:tc>
          <w:tcPr>
            <w:tcW w:w="0" w:type="dxa"/>
            <w:vAlign w:val="bottom"/>
          </w:tcPr>
          <w:p>
            <w:pPr>
              <w:spacing w:after="0"/>
              <w:rPr>
                <w:sz w:val="1"/>
                <w:szCs w:val="1"/>
                <w:color w:val="auto"/>
              </w:rPr>
            </w:pPr>
          </w:p>
        </w:tc>
      </w:tr>
      <w:tr>
        <w:trPr>
          <w:trHeight w:val="159"/>
        </w:trPr>
        <w:tc>
          <w:tcPr>
            <w:tcW w:w="3280" w:type="dxa"/>
            <w:vAlign w:val="bottom"/>
            <w:tcBorders>
              <w:bottom w:val="single" w:sz="8" w:color="CCEEFF"/>
            </w:tcBorders>
          </w:tcPr>
          <w:p>
            <w:pPr>
              <w:spacing w:after="0"/>
              <w:rPr>
                <w:sz w:val="13"/>
                <w:szCs w:val="13"/>
                <w:color w:val="auto"/>
              </w:rPr>
            </w:pPr>
          </w:p>
        </w:tc>
        <w:tc>
          <w:tcPr>
            <w:tcW w:w="34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80"/>
              <w:spacing w:after="0" w:line="159" w:lineRule="exact"/>
              <w:rPr>
                <w:sz w:val="20"/>
                <w:szCs w:val="20"/>
                <w:color w:val="auto"/>
              </w:rPr>
            </w:pPr>
            <w:r>
              <w:rPr>
                <w:rFonts w:ascii="Arial" w:cs="Arial" w:eastAsia="Arial" w:hAnsi="Arial"/>
                <w:sz w:val="14"/>
                <w:szCs w:val="14"/>
                <w:color w:val="auto"/>
              </w:rPr>
              <w:t>2013</w:t>
            </w:r>
          </w:p>
        </w:tc>
        <w:tc>
          <w:tcPr>
            <w:tcW w:w="5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2012</w:t>
            </w:r>
          </w:p>
        </w:tc>
        <w:tc>
          <w:tcPr>
            <w:tcW w:w="7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3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$17,713</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4560" w:type="dxa"/>
            <w:vAlign w:val="bottom"/>
            <w:gridSpan w:val="3"/>
          </w:tcPr>
          <w:p>
            <w:pPr>
              <w:jc w:val="right"/>
              <w:ind w:right="580"/>
              <w:spacing w:after="0"/>
              <w:rPr>
                <w:sz w:val="20"/>
                <w:szCs w:val="20"/>
                <w:color w:val="auto"/>
              </w:rPr>
            </w:pPr>
            <w:r>
              <w:rPr>
                <w:rFonts w:ascii="Arial" w:cs="Arial" w:eastAsia="Arial" w:hAnsi="Arial"/>
                <w:sz w:val="18"/>
                <w:szCs w:val="18"/>
                <w:color w:val="auto"/>
              </w:rPr>
              <w:t>26,051</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4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10,806</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Consumer</w:t>
            </w:r>
          </w:p>
        </w:tc>
        <w:tc>
          <w:tcPr>
            <w:tcW w:w="3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Automobile</w:t>
            </w:r>
          </w:p>
        </w:tc>
        <w:tc>
          <w:tcPr>
            <w:tcW w:w="4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2,516</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Home equity lines</w:t>
            </w:r>
          </w:p>
        </w:tc>
        <w:tc>
          <w:tcPr>
            <w:tcW w:w="4560" w:type="dxa"/>
            <w:vAlign w:val="bottom"/>
            <w:gridSpan w:val="3"/>
          </w:tcPr>
          <w:p>
            <w:pPr>
              <w:jc w:val="right"/>
              <w:ind w:right="580"/>
              <w:spacing w:after="0"/>
              <w:rPr>
                <w:sz w:val="20"/>
                <w:szCs w:val="20"/>
                <w:color w:val="auto"/>
              </w:rPr>
            </w:pPr>
            <w:r>
              <w:rPr>
                <w:rFonts w:ascii="Arial" w:cs="Arial" w:eastAsia="Arial" w:hAnsi="Arial"/>
                <w:sz w:val="18"/>
                <w:szCs w:val="18"/>
                <w:color w:val="auto"/>
              </w:rPr>
              <w:t>5,759</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loans</w:t>
            </w:r>
          </w:p>
        </w:tc>
        <w:tc>
          <w:tcPr>
            <w:tcW w:w="4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424</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Other</w:t>
            </w:r>
          </w:p>
        </w:tc>
        <w:tc>
          <w:tcPr>
            <w:tcW w:w="3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2,710</w:t>
            </w:r>
          </w:p>
        </w:tc>
        <w:tc>
          <w:tcPr>
            <w:tcW w:w="58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2</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consumer</w:t>
            </w:r>
          </w:p>
        </w:tc>
        <w:tc>
          <w:tcPr>
            <w:tcW w:w="3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80" w:type="dxa"/>
            <w:vAlign w:val="bottom"/>
            <w:vMerge w:val="continue"/>
          </w:tcPr>
          <w:p>
            <w:pPr>
              <w:spacing w:after="0"/>
              <w:rPr>
                <w:sz w:val="19"/>
                <w:szCs w:val="19"/>
                <w:color w:val="auto"/>
              </w:rPr>
            </w:pPr>
          </w:p>
        </w:tc>
        <w:tc>
          <w:tcPr>
            <w:tcW w:w="456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65,979</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400" w:type="dxa"/>
            <w:vAlign w:val="bottom"/>
            <w:vMerge w:val="restart"/>
          </w:tcPr>
          <w:p>
            <w:pPr>
              <w:jc w:val="right"/>
              <w:ind w:right="1612"/>
              <w:spacing w:after="0"/>
              <w:rPr>
                <w:sz w:val="20"/>
                <w:szCs w:val="20"/>
                <w:color w:val="auto"/>
              </w:rPr>
            </w:pPr>
            <w:r>
              <w:rPr>
                <w:rFonts w:ascii="Arial" w:cs="Arial" w:eastAsia="Arial" w:hAnsi="Arial"/>
                <w:sz w:val="18"/>
                <w:szCs w:val="18"/>
                <w:color w:val="auto"/>
              </w:rPr>
              <w:t>- 64 -</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first six months of 2013, average loans and leases totaled $65.9 billion, $4.8 billion or 8% above $61.2 billion in the similar period of 2012. The most significant factors contributing to that growth were increased demand for commercial loans and commercial real estate loans and the retention of a majority of originated residential real estate loans for portfolio for the first eight months of 2012.</w:t>
      </w:r>
    </w:p>
    <w:p>
      <w:pPr>
        <w:spacing w:after="0" w:line="14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investment securities portfolio averaged $5.3 billion in the second quarter of 2013, down $2.0 billion from $7.3 billion in the year-earlier quarter and $509 million lower than the $5.8 billion averaged in the initial 2013 quarter. The recent quarter’s decline as compared with the second quarter of 2012 and the first quarter of 2013 was predominantly due to maturities, paydowns and sales of mortgage-backed securities. For the first six months of 2013 and 2012, investment securities averaged $5.5 billion and $7.4 billion, respectively. Late in the recent quarter, the Company undertook certain actions to improve its regulatory capital and liquidity positions in response to evolving regulatory requirements. As a result, approximately $1.0 billion of privately issued MBS held in the available-for-sale portfolio were sold, as were the Company’s holdings of Visa and MasterCard common stock. In the second quarter of 2013, the Company securitized approximately $296 million of residential real estate loans guaranteed by the FHA and substantially all of the resulting Ginnie Mae securities were added to the held-to-maturity investment securities portfolio. An additional $1.0 billion of similar FHA loans will be securitized in the third quarter and the resulting Ginnie Mae securities will also be largely retained by the Company. The expected securitization of those residential real estate loans had no effect on the Company’s results of operations in the recent quarter as the fair value of the loans exceeded their amortized cost. The Company also began originating FHA residential real estate loans for purposes of securitizing such loans into Ginnie Mae mortgage-backed securities that will be retained in the Company’s investment securities portfolio. Approximately $627 million of such loans were securitized and substantially all of the resulting Ginnie Mae securities were added to the held-to-maturity portfolio in the recent quarter. The Ginnie Mae securities added to the held-to-maturity investment securities portfolio in the second quarter of 2013 added approximately $227 million to average investment securities balances in the quarter. The investment securities portfolio is largely comprised of residential MBS, debt securities issued by municipalities, trust preferred securities issued by certain financial institutions, and shorter-term U.S. Treasury and federal agency notes. When purchasing investment securities, the Company considers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Nevertheless, there were no other-than-temporary impairment charges recognized in the second quarter of 2013. Other-than-temporary impairment charges recognized during the quarters ended March 31, 2013 and June 30, 2012 were $10 million and $16 million, respectively. Such impairment charges related to certain privately issued MBS backed by residential and commercial real estate loans. Persistently high unemployment, loan delinquencies and foreclosures that led to a backlog of homes held for sale by financial institutions and others were significant factors contributing to the recognition of the other-than-temporary impairment charges related to the MBS. As noted earlier, substantially all of the privately issued MBS held in the available-for-sale investment securities portfolio were sold late in the second quarter of 2013. The impairment charges in the second quarter of 2012 and the initial 2013 quarter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predominantly related to a subset of the sold MBS. Additional information about the investment securities portfolio is included in notes 3 and 12 of Notes to Financial Statements.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earning assets include interest-earning deposits at the Federal Reserve Bank and other banks, trading account assets, federal funds sold and agreements to resell securities. Those other earning assets in the aggregate averaged $2.7 billion in the recent quarter, compared with $1.4 billion and $684 million in the second quarter of 2012 and the first quarter of 2013, respectively. Interest-bearing deposits at banks averaged $2.4 billion in the second quarter of 2013, compared with $1.2 billion in the year-earlier period and $527 million in the initial 2013 quarter. The higher level of such deposits in the recent quarter was due, in part, to increased Wilmington Trust-related customer deposits and the proceeds from the sales of investment securities during the quarter.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As a result of the changes described herein, average earning assets totaled $74.0 billion in the recent quarter, compared with $70.4 billion in the similar quarter of 2012 and $72.3 billion in the first quarter of 2013. Average earning assets totaled $73.2 billion and $69.4 billion during the six-month periods ended June 30, 2013 and 2012, respectively.</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Core deposits averaged $63.7 billion in the second quarter of 2013, up 8% from $58.7 billion in the year-earlier quarter and 3% higher than $61.9 billion in the first quarter of 2013. Average core deposits of Wilmington Trust, National Association (“Wilmington Trust, N.A.”), a wholly owned bank subsidiary of M&amp;T, including both noninterest-bearing trust deposits and certificates of deposit of $250,000 or less generated on a nationwide basis, were $1.5 billion, $1.7 billion and $1.0 billion during the three-month periods ended June 30, 2013, June 30, 2012 and March 31, 2013, respectively. The growth in core deposits since the second quarter of 2012 was due, in part, to the lack of attractive alternative investments available to the Company’s customers resulting from lower interest rates and from the economic environment in the U.S. and higher balances held on behalf of trust customers. The low interest rate environment has resulted in a shift in customer savings trends, as average time deposits have continued to decline, while average noninterest-bearing deposits and savings deposits have generally increased. The following table provides an analysis of quarterly changes in the components of average core deposits. For the six-month periods ended June 30, 2013 and 2012, core deposits averaged $62.8 billion and $57.5 billion,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2nd Qtr.</w:t>
            </w: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6"/>
              </w:rPr>
              <w:t>2nd Qtr.</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2"/>
              </w:rPr>
              <w:t>1st Qtr.</w:t>
            </w:r>
          </w:p>
        </w:tc>
        <w:tc>
          <w:tcPr>
            <w:tcW w:w="0" w:type="dxa"/>
            <w:vAlign w:val="bottom"/>
          </w:tcPr>
          <w:p>
            <w:pPr>
              <w:spacing w:after="0"/>
              <w:rPr>
                <w:sz w:val="1"/>
                <w:szCs w:val="1"/>
                <w:color w:val="auto"/>
              </w:rPr>
            </w:pPr>
          </w:p>
        </w:tc>
      </w:tr>
      <w:tr>
        <w:trPr>
          <w:trHeight w:val="159"/>
        </w:trPr>
        <w:tc>
          <w:tcPr>
            <w:tcW w:w="3400" w:type="dxa"/>
            <w:vAlign w:val="bottom"/>
            <w:tcBorders>
              <w:bottom w:val="single" w:sz="8" w:color="CCEEFF"/>
            </w:tcBorders>
          </w:tcPr>
          <w:p>
            <w:pPr>
              <w:spacing w:after="0"/>
              <w:rPr>
                <w:sz w:val="13"/>
                <w:szCs w:val="13"/>
                <w:color w:val="auto"/>
              </w:rPr>
            </w:pPr>
          </w:p>
        </w:tc>
        <w:tc>
          <w:tcPr>
            <w:tcW w:w="3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6"/>
              <w:spacing w:after="0" w:line="159" w:lineRule="exact"/>
              <w:rPr>
                <w:sz w:val="20"/>
                <w:szCs w:val="20"/>
                <w:color w:val="auto"/>
              </w:rPr>
            </w:pPr>
            <w:r>
              <w:rPr>
                <w:rFonts w:ascii="Arial" w:cs="Arial" w:eastAsia="Arial" w:hAnsi="Arial"/>
                <w:sz w:val="14"/>
                <w:szCs w:val="14"/>
                <w:color w:val="auto"/>
                <w:w w:val="96"/>
              </w:rPr>
              <w:t>2013</w:t>
            </w:r>
          </w:p>
        </w:tc>
        <w:tc>
          <w:tcPr>
            <w:tcW w:w="5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1"/>
              <w:spacing w:after="0" w:line="159" w:lineRule="exact"/>
              <w:rPr>
                <w:sz w:val="20"/>
                <w:szCs w:val="20"/>
                <w:color w:val="auto"/>
              </w:rPr>
            </w:pPr>
            <w:r>
              <w:rPr>
                <w:rFonts w:ascii="Arial" w:cs="Arial" w:eastAsia="Arial" w:hAnsi="Arial"/>
                <w:sz w:val="14"/>
                <w:szCs w:val="14"/>
                <w:color w:val="auto"/>
              </w:rPr>
              <w:t>2012</w:t>
            </w:r>
          </w:p>
        </w:tc>
        <w:tc>
          <w:tcPr>
            <w:tcW w:w="7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NOW accounts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Savings deposits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35,546</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Time deposits $250,000 or less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3,496</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23,744</w:t>
            </w:r>
          </w:p>
        </w:tc>
        <w:tc>
          <w:tcPr>
            <w:tcW w:w="58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63,704</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80" w:type="dxa"/>
            <w:vAlign w:val="bottom"/>
            <w:vMerge w:val="restart"/>
          </w:tcPr>
          <w:p>
            <w:pPr>
              <w:jc w:val="right"/>
              <w:ind w:right="1612"/>
              <w:spacing w:after="0"/>
              <w:rPr>
                <w:sz w:val="20"/>
                <w:szCs w:val="20"/>
                <w:color w:val="auto"/>
              </w:rPr>
            </w:pPr>
            <w:r>
              <w:rPr>
                <w:rFonts w:ascii="Arial" w:cs="Arial" w:eastAsia="Arial" w:hAnsi="Arial"/>
                <w:sz w:val="18"/>
                <w:szCs w:val="18"/>
                <w:color w:val="auto"/>
              </w:rPr>
              <w:t>- 66 -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Additional funding sources for the Company included branch-related time deposits over $250,000, deposits associated with the Company’s Cayman Islands office, and brokered deposits. Time deposits over $250,000, excluding brokered certificates of deposit, averaged $318 million in the second quarter of 2013, compared with $419 million and $329 million in the year-earlier quarter and the first quarter of 2013, respectively. Cayman Islands office deposits averaged $326 million, $457 million and $858 million for the three-month periods ended June 30, 2013, June 30, 2012 and March 31, 2013, respectively. Brokered time deposits averaged $396 million in the recent quarter, compared with $808 million in the second quarter of 2012 and $431 million in the initial 2013 quarter. The Company also had brokered NOW and brokered money-market deposit accounts, which in the aggregate averaged $936 million during the recent quarter, compared with $1.1 billion and $1.0 billion during the second quarter of 2012 and the first quarter of 2013, respectively. The levels of brokered NOW and brokered money-market deposit accounts reflect the demand for such deposits, largely resulting from the desire of brokerage firms to earn reasonable yields while ensuring that customer deposits are fully insured. The level of Cayman Islands office deposits and brokered time deposits are also reflective of customer demand. Additional amounts of such deposits may be added in the future depending on market conditions, including demand by customers and other investors for those deposits, and the cost of funds available from alternative sources at the time.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also uses borrowings from banks, securities dealers, various Federal Home Loan Banks, the Federal Reserve Bank and others as sources of funding. Average short-term borrowings totaled $343 million in the recent quarter, compared with $875 million in the second quarter of 2012 and $637 million in the initial quarter of 2013. Included in short-term borrowings were unsecured federal funds borrowings, which generally mature on the next business day, that averaged $239 million and $716 million in the second quarters of 2013 and 2012, respectively, compared with $500 million in the first quarter of 2013. Overnight federal funds borrowings represented the largest component of short-term borrowings and totaled $219 million at June 30, 2013, $821 million at June 30, 2012 and $939 million at December 31, 2012.</w:t>
      </w:r>
    </w:p>
    <w:p>
      <w:pPr>
        <w:spacing w:after="0" w:line="12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Long-term borrowings averaged $5.1 billion in the recent quarter, compared with $6.1 billion in the second quarter of 2012 and $4.7 billion in the initial 2013 quarter. Included in average long-term borrowings were amounts borrowed from the Federal Home Loan Bank (“FHLB”) of New York, the FHLB of Atlanta and the FHLB of Pittsburgh of $30 million in each of the first and second quarters of 2013 and $1.1 billion in the second quarter of 2012, and subordinated capital notes of $1.6 billion in the recent quarter, $2.2 billion in the second quarter of 2012 and $1.8 billion in the initial quarter of 2013. During the first quarter of 2013, M&amp;T Bank initiated a Bank Note Program whereby M&amp;T Bank may offer up to $5 billion of unsecured senior and subordinated notes, which will mature 270 days or more from their date of issue. During March 2013, three-year floating rate senior notes due March 2016 were issued for $300 million and five-year 1.45% fixed rate senior notes due March 2018 were issued for $500 million. On April 15, 2013, $250 million of 4.875% subordinated notes of the Company matured and were redeemed. On July 2, 2012, the Company redeemed $400 million of subordinated capital notes of M&amp;T Bank that were due to mature in 2013, as such notes had ceased to qualify as regulatory capital during the one-year period before their contractual maturity date. The Company has utilized interest rate swap agreements to modify the repricing characteristics of certain components of long-term debt. As of June 30, 2013, interest rate swap agreements were used to hedge approximately $900 million of fixed rate subordinated notes and $500 million of fixed rate senior notes. Further information on interest rate swap agreements is provided in note 10 of Notes to Financial Statements. Junior subordinated debentures associated with trust preferred securities that were included in average long-term borrowings were $1.2 billion in each of the quarters ended June 30, 2013, June 30, 2012 and March 31, 2013. Additional information regarding junior subordinated debentures is provided in note 5 of Notes to Financial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Also included in long-term borrowings were agreements to repurchase securities, which averaged $1.4 billion during each of the second quarters of 2013 and 2012 and the first quarter of 2013. The agreements have various repurchase dates through 2017, however, the contractual maturities of the underlying securities extend beyond such repurchase dates.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3.48% in the second quarter of 2013, compared with 3.49% in the year-earlier quarter. The yield on earning assets during the recent quarter was 4.10%, down 15 basis points from 4.25% in the second quarter of 2012, while the rate paid on interest-bearing liabilities declined 14 basis points to .62% from .76% in the second quarter of 2012. In the initial quarter of 2013, the net interest spread was 3.49%, the yield on earning assets was 4.13% and the rate paid on interest-bearing liabilities was .64%. For the first six months of 2013, the net interest spread was 3.49%, up 3 basis points from the similar 2012 period. The yield on earning assets and the rate paid on interest-bearing liabilities were 4.12% and .63%, respectively, during the first six months of 2013, compared with 4.24% and .78%, respectively, in the corresponding 2012 period.</w:t>
      </w:r>
    </w:p>
    <w:p>
      <w:pPr>
        <w:spacing w:after="0" w:line="118"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$26.6 billion in the recent quarter, compared with $23.3 billion in the second quarter of 2012 and $25.4 billion in the first quarter of 2013. The increases in net interest-free funds in the two most recent quarters as compared with the second quarter of 2012 were predominantly the result of higher average balances of noninterest-bearing deposits. Such deposits averaged $23.7 billion, $21.4 billion and $23.0 billion in the quarters ended June 30, 2013, June 30, 2012 and March 31, 2013, respectively. During the first six months of 2013 and 2012, average net interest-free funds aggregated $26.0 billion and $22.4 billion, respectively. Goodwill and core deposit and other intangible assets averaged $3.6 billion during the quarters ended June 30, 2013 and March 31, 2013, compared with $3.7 billion during the quarter ended June 30, 2012. The cash surrender value of bank owned life insurance averaged $1.6 billion in each of the three-month periods ended June 30, 2013, June 30, 2012 and March 31, 2013. Increases in the cash surrender value of bank owned life insurance and benefits received are not included in interest income, but rather are recorded in “other revenues from operations.” The contribution of net interest-free funds to net interest margin was .23% in the recent quarter, compared with .25% in the second quarter of 2012 and .22% in the initial quarter of 2013. That contribution for the first six months of 2013 and 2012 was .22% and .25%, respectively.</w:t>
      </w:r>
    </w:p>
    <w:p>
      <w:pPr>
        <w:spacing w:after="0" w:line="11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 3.71% in each of the two most recent quarters, compared with 3.74% in the year-earlier quarter. During each of the first six months of 2013 and 2012, the net interest margin was 3.71%.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14" w:lineRule="auto"/>
        <w:rPr>
          <w:sz w:val="20"/>
          <w:szCs w:val="20"/>
          <w:color w:val="auto"/>
        </w:rPr>
      </w:pPr>
      <w:r>
        <w:rPr>
          <w:rFonts w:ascii="Arial" w:cs="Arial" w:eastAsia="Arial" w:hAnsi="Arial"/>
          <w:sz w:val="15"/>
          <w:szCs w:val="15"/>
          <w:color w:val="auto"/>
        </w:rPr>
        <w:t>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$1.4 billion at June 30, 2013, compared with $900 million at each of June 30, 2012, December 31, 2012 and March 31, 2013. Under the terms of those swap agreements, the Company received payments based on the outstanding notional amount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June 30, 2013 and 2012 and the quarter ended March 31, 2013 were not material to the Company’s results of operations. The estimated aggregate fair value of interest rate swap agreements designated as fair value hedges represented gains of approximately $114 million at June 30, 2013, $150 million at June 30, 2012, $134 million at March 31, 2013 and $143 million at December 31, 2012.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June 30, 2013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$79 million of collateral with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weighted-average rates to be received and paid under interest rate swap agreements currently in effect were 4.42% and 1.27%, respectively, at June 30,</w:t>
      </w:r>
    </w:p>
    <w:p>
      <w:pPr>
        <w:spacing w:after="0" w:line="50" w:lineRule="exact"/>
        <w:rPr>
          <w:sz w:val="20"/>
          <w:szCs w:val="20"/>
          <w:color w:val="auto"/>
        </w:rPr>
      </w:pPr>
    </w:p>
    <w:p>
      <w:pPr>
        <w:ind w:right="320"/>
        <w:spacing w:after="0" w:line="331" w:lineRule="auto"/>
        <w:rPr>
          <w:sz w:val="20"/>
          <w:szCs w:val="20"/>
          <w:color w:val="auto"/>
        </w:rPr>
      </w:pPr>
      <w:r>
        <w:rPr>
          <w:rFonts w:ascii="Arial" w:cs="Arial" w:eastAsia="Arial" w:hAnsi="Arial"/>
          <w:sz w:val="15"/>
          <w:szCs w:val="15"/>
          <w:color w:val="auto"/>
        </w:rPr>
        <w:t>2013.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color w:val="auto"/>
                <w:w w:val="87"/>
              </w:rPr>
              <w:t>Three months ended 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(9,578)</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(9,069)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interest income/margin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9,578</w:t>
            </w:r>
          </w:p>
        </w:tc>
        <w:tc>
          <w:tcPr>
            <w:tcW w:w="32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9,069</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932,967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5.91%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color w:val="auto"/>
                <w:w w:val="92"/>
              </w:rPr>
              <w:t>Six months ended June 30</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(19,092)</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(18,058)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interest income/margin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19,092</w:t>
            </w:r>
          </w:p>
        </w:tc>
        <w:tc>
          <w:tcPr>
            <w:tcW w:w="32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18,058</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916,575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6.03%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Computed as an annualized percentage of average earning assets or interest-bearing liabilities.</w:t>
      </w:r>
    </w:p>
    <w:p>
      <w:pPr>
        <w:spacing w:after="0" w:line="15"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Weighted-average rate paid or received on interest rate swap agreements in effect during the period.</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the previously noted Bank Note Program, and other available borrowing facilities. The Company has, from time to time, issued subordinated capital notes to provide liquidity and enhance regulatory capital ratios. Such notes qualify for inclusion in the Company’s total capital as defined by Federal regulators. However, pursuant to the Dodd-Frank Act, the Company’s junior subordinated debentures associated with trust preferred securities will be phased-out of the definition of Tier 1 capital. Effective January 1, 2015, 75% of such junior subordinated debentures will be excluded from the Company’s Tier 1 capital, and beginning January 1, 2016, 100% will be excluded. The amounts excluded from Tier 1 capital will be includable in total capital.</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aggregated $219 million, $821 million and $939 million at June 30, 2013, June 30, 2012 and December 31, 2012, respectively. In general, those borrowings were unsecured and matured on the next business day. In addition to satisfying customer demand, Cayman Islands office deposits and brokered certificates of deposits may be used by the Company as an alternative to short-term borrowings. Cayman Islands office deposits also generally mature on the next business day and totaled $284 million at June 30, 2013, $366 million at June 30, 2012 and $1.0 billion at December 31, 2012. Outstanding brokered time deposits at June 30, 2013,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June 30, 2012 and December 31, 2012 were $361 million, $748 million and $462 million, respectively. At June 30, 2013, the weighted-average remaining term to maturity of brokered time deposits was 3 months. The Company also has brokered NOW and brokered money-market deposit accounts which aggregated $1.2 billion, $1.0 billion and $1.1 billion at June 30, 2013, June 30, 2012 and December 31, 2012, respectively.</w:t>
      </w:r>
    </w:p>
    <w:p>
      <w:pPr>
        <w:spacing w:after="0" w:line="107" w:lineRule="exact"/>
        <w:rPr>
          <w:sz w:val="20"/>
          <w:szCs w:val="20"/>
          <w:color w:val="auto"/>
        </w:rPr>
      </w:pPr>
    </w:p>
    <w:p>
      <w:pPr>
        <w:ind w:right="260" w:firstLine="456"/>
        <w:spacing w:after="0" w:line="314" w:lineRule="auto"/>
        <w:rPr>
          <w:sz w:val="20"/>
          <w:szCs w:val="20"/>
          <w:color w:val="auto"/>
        </w:rPr>
      </w:pPr>
      <w:r>
        <w:rPr>
          <w:rFonts w:ascii="Arial" w:cs="Arial" w:eastAsia="Arial" w:hAnsi="Arial"/>
          <w:sz w:val="15"/>
          <w:szCs w:val="15"/>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$5 million and $13 million at June 30, 2013 and 2012, respectively, and $7 million at December 31, 2012. The total amount of VRDBs outstanding backed by M&amp;T Bank letters of credit was $2.0 billion at June 30, 2013, compared with $1.9 billion at each of June 30 and December 31, 2012. M&amp;T Bank also serves as remarketing agent for most of those bonds.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2013 approximately $870 million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 M&amp;T also maintains a $30 million line of credit with an unaffiliated commercial bank, on which there were no borrowings outstanding at June 30, 2013 or at December 31, 2012.</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and would therefore result in a significant strain on liquidity at either M&amp;T or its subsidiary banks.</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24"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accompanying table as of June 30, 2013 and December 31, 2012 displays the estimated impact on net interest income from non-trading financial instruments in the base scenario described above resulting from parallel changes in interest rates across repricing categories during the first modeling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660" w:type="dxa"/>
            <w:vAlign w:val="bottom"/>
            <w:gridSpan w:val="5"/>
          </w:tcPr>
          <w:p>
            <w:pPr>
              <w:jc w:val="right"/>
              <w:ind w:right="56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6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600" w:type="dxa"/>
            <w:vAlign w:val="bottom"/>
          </w:tcPr>
          <w:p>
            <w:pPr>
              <w:spacing w:after="0"/>
              <w:rPr>
                <w:sz w:val="14"/>
                <w:szCs w:val="14"/>
                <w:color w:val="auto"/>
              </w:rPr>
            </w:pPr>
          </w:p>
        </w:tc>
        <w:tc>
          <w:tcPr>
            <w:tcW w:w="2660" w:type="dxa"/>
            <w:vAlign w:val="bottom"/>
            <w:gridSpan w:val="5"/>
          </w:tcPr>
          <w:p>
            <w:pPr>
              <w:jc w:val="right"/>
              <w:ind w:right="54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6"/>
        </w:trPr>
        <w:tc>
          <w:tcPr>
            <w:tcW w:w="1420" w:type="dxa"/>
            <w:vAlign w:val="bottom"/>
            <w:tcBorders>
              <w:bottom w:val="single" w:sz="8" w:color="auto"/>
            </w:tcBorders>
            <w:vMerge w:val="continue"/>
          </w:tcPr>
          <w:p>
            <w:pPr>
              <w:spacing w:after="0"/>
              <w:rPr>
                <w:sz w:val="14"/>
                <w:szCs w:val="14"/>
                <w:color w:val="auto"/>
              </w:rPr>
            </w:pPr>
          </w:p>
        </w:tc>
        <w:tc>
          <w:tcPr>
            <w:tcW w:w="5740" w:type="dxa"/>
            <w:vAlign w:val="bottom"/>
            <w:gridSpan w:val="3"/>
          </w:tcPr>
          <w:p>
            <w:pPr>
              <w:jc w:val="right"/>
              <w:ind w:right="380"/>
              <w:spacing w:after="0" w:line="146" w:lineRule="exact"/>
              <w:rPr>
                <w:sz w:val="20"/>
                <w:szCs w:val="20"/>
                <w:color w:val="auto"/>
              </w:rPr>
            </w:pPr>
            <w:r>
              <w:rPr>
                <w:rFonts w:ascii="Arial" w:cs="Arial" w:eastAsia="Arial" w:hAnsi="Arial"/>
                <w:sz w:val="14"/>
                <w:szCs w:val="14"/>
                <w:color w:val="auto"/>
              </w:rPr>
              <w:t>June 30, 2013</w:t>
            </w:r>
          </w:p>
        </w:tc>
        <w:tc>
          <w:tcPr>
            <w:tcW w:w="1520" w:type="dxa"/>
            <w:vAlign w:val="bottom"/>
            <w:gridSpan w:val="3"/>
          </w:tcPr>
          <w:p>
            <w:pPr>
              <w:jc w:val="right"/>
              <w:ind w:right="120"/>
              <w:spacing w:after="0" w:line="146" w:lineRule="exact"/>
              <w:rPr>
                <w:sz w:val="20"/>
                <w:szCs w:val="20"/>
                <w:color w:val="auto"/>
              </w:rPr>
            </w:pPr>
            <w:r>
              <w:rPr>
                <w:rFonts w:ascii="Arial" w:cs="Arial" w:eastAsia="Arial" w:hAnsi="Arial"/>
                <w:sz w:val="14"/>
                <w:szCs w:val="14"/>
                <w:color w:val="auto"/>
              </w:rPr>
              <w:t>December 31, 2012</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+200 basis points</w:t>
            </w:r>
          </w:p>
        </w:tc>
        <w:tc>
          <w:tcPr>
            <w:tcW w:w="46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$ 209,054</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210,030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107,031</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117,198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(80,264)</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(69,687)</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-200 basis points</w:t>
            </w:r>
          </w:p>
        </w:tc>
        <w:tc>
          <w:tcPr>
            <w:tcW w:w="5740" w:type="dxa"/>
            <w:vAlign w:val="bottom"/>
            <w:gridSpan w:val="3"/>
          </w:tcPr>
          <w:p>
            <w:pPr>
              <w:jc w:val="right"/>
              <w:ind w:right="320"/>
              <w:spacing w:after="0"/>
              <w:rPr>
                <w:sz w:val="20"/>
                <w:szCs w:val="20"/>
                <w:color w:val="auto"/>
              </w:rPr>
            </w:pPr>
            <w:r>
              <w:rPr>
                <w:rFonts w:ascii="Arial" w:cs="Arial" w:eastAsia="Arial" w:hAnsi="Arial"/>
                <w:sz w:val="18"/>
                <w:szCs w:val="18"/>
                <w:color w:val="auto"/>
              </w:rPr>
              <w:t>(108,729)</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(90,333)</w:t>
            </w:r>
          </w:p>
        </w:tc>
        <w:tc>
          <w:tcPr>
            <w:tcW w:w="0" w:type="dxa"/>
            <w:vAlign w:val="bottom"/>
          </w:tcPr>
          <w:p>
            <w:pPr>
              <w:spacing w:after="0"/>
              <w:rPr>
                <w:sz w:val="1"/>
                <w:szCs w:val="1"/>
                <w:color w:val="auto"/>
              </w:rPr>
            </w:pPr>
          </w:p>
        </w:tc>
      </w:tr>
      <w:tr>
        <w:trPr>
          <w:trHeight w:val="356"/>
        </w:trPr>
        <w:tc>
          <w:tcPr>
            <w:tcW w:w="1420" w:type="dxa"/>
            <w:vAlign w:val="bottom"/>
          </w:tcPr>
          <w:p>
            <w:pPr>
              <w:spacing w:after="0"/>
              <w:rPr>
                <w:sz w:val="24"/>
                <w:szCs w:val="24"/>
                <w:color w:val="auto"/>
              </w:rPr>
            </w:pPr>
          </w:p>
        </w:tc>
        <w:tc>
          <w:tcPr>
            <w:tcW w:w="4600" w:type="dxa"/>
            <w:vAlign w:val="bottom"/>
          </w:tcPr>
          <w:p>
            <w:pPr>
              <w:jc w:val="right"/>
              <w:ind w:right="1416"/>
              <w:spacing w:after="0"/>
              <w:rPr>
                <w:sz w:val="20"/>
                <w:szCs w:val="20"/>
                <w:color w:val="auto"/>
              </w:rPr>
            </w:pPr>
            <w:r>
              <w:rPr>
                <w:rFonts w:ascii="Arial" w:cs="Arial" w:eastAsia="Arial" w:hAnsi="Arial"/>
                <w:sz w:val="18"/>
                <w:szCs w:val="18"/>
                <w:color w:val="auto"/>
              </w:rPr>
              <w:t>- 72 -</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12 of Notes to Financial Statements.</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MBS and investments in U.S. Treasury and other government securities, MBS,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are presented in note 10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notional amounts of interest rate contracts entered into for trading purposes totaled $15.4 billion at June 30, 2013, compared with $15.0 billion at June 30, 2012 and $15.5 billion at December 31, 2012. The notional amounts of foreign currency and other option and futures contracts entered into for trading purposes aggregated $995 million at June 30, 2013, compared with $1.4 billion at June 30, 2012 and $869 million at December 31, 2012. 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totaled $378 million and $278 million, respectively, at June 30, 2013, $545 million and $430 million, respectively, at June 30, 2012, and $489 million and $374 million, respectively, at December 31, 2012. Included in trading account assets were assets related to deferred compensation plans totaling $26 million and $34 million at June 30, 2013 and 2012, respectively, and $36 million at December 31, 2012. Changes in the fair value of such assets are recorded as “trading account and foreign exchange gains” in the consolidated statement of income. Included in “other liabilities” in the consolidated balance sheet at each of June 30, 2013 and December 31, 2012 were $30 million of liabilities related to deferred compensation plans, while at June 30, 2012 liabilities related to deferred compensation plans totaled $31 million. Changes in the balances of such liabilities due to the valuation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allocated investment options to which the liabilities are indexed are recorded in “other costs of operations” in the consolidated statement of income.</w:t>
      </w:r>
    </w:p>
    <w:p>
      <w:pPr>
        <w:spacing w:after="0" w:line="194"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 Additional information about the Company’s use of derivative financial instruments in its trading activities is included in note 10 of Notes to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second quarter of 2013 was $57 million, compared with $60 million in the year-earlier quarter and $38 million in the first quarter of 2013. For the six-month periods ended June 30, 2013 and 2012, the provision for credit losses was $95 million and $109 million, respectively. While the Company has experienced improvement in its credit metrics during the past two years, sluggish economic activity, relatively high unemployment rates, generally depressed real estate valuations and higher than normal levels of delinquencies and charge-offs have significantly affected the quality of the Company’s loan portfolios. In particular, the Company’s alternative (“Alt-A”) residential real estate loan portfolio and its residential real estate builder and developer loan portfolio experienced the majority of the credit problems related to the turmoil in the residential real estate market place in recent years. Alt-A loans represent residential real estate loans that at origination typically included some form of limited borrower documentation requirements as compared with more traditional residential real estate loans. Loans in the Company’s Alt-A portfolio were originated by the Company prior to 2008. The Company also experienced higher levels of commercial loan and consumer loan charge-offs over the past several years due to, among other things, higher unemployment levels and the recessionary economy.</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loan charge-offs were $57 million in the recent quarter, compared with $52 million in the second quarter of 2012 and $37 million in the first 2013 quarter. Net charge-offs as an annualized percentage of average loans and leases were .35% in the second quarter of 2013, compared with .34% and .23% in the quarters ended June 30, 2012 and March 31, 2013, respectively. Net charge-offs for the six-month period ended June 30 aggregated $94 million in 2013 and $100 million in 2012, representing .29% and .33%, respectively, of average loans and leases. A summary of net charge-offs by loan type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CHARGE-OFFS (RECOVERIES)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jc w:val="center"/>
              <w:spacing w:after="0" w:line="131" w:lineRule="exact"/>
              <w:rPr>
                <w:sz w:val="20"/>
                <w:szCs w:val="20"/>
                <w:color w:val="auto"/>
              </w:rPr>
            </w:pPr>
            <w:r>
              <w:rPr>
                <w:rFonts w:ascii="Arial" w:cs="Arial" w:eastAsia="Arial" w:hAnsi="Arial"/>
                <w:sz w:val="14"/>
                <w:szCs w:val="14"/>
                <w:color w:val="auto"/>
                <w:w w:val="81"/>
              </w:rPr>
              <w:t>Year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82"/>
              </w:rPr>
              <w:t>1st Qtr.</w:t>
            </w:r>
          </w:p>
        </w:tc>
        <w:tc>
          <w:tcPr>
            <w:tcW w:w="360" w:type="dxa"/>
            <w:vAlign w:val="bottom"/>
          </w:tcPr>
          <w:p>
            <w:pPr>
              <w:spacing w:after="0"/>
              <w:rPr>
                <w:sz w:val="13"/>
                <w:szCs w:val="13"/>
                <w:color w:val="auto"/>
              </w:rPr>
            </w:pPr>
          </w:p>
        </w:tc>
        <w:tc>
          <w:tcPr>
            <w:tcW w:w="9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2nd Qtr.</w:t>
            </w:r>
          </w:p>
        </w:tc>
        <w:tc>
          <w:tcPr>
            <w:tcW w:w="6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3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44,631</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Real estate:</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3,721</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3,373</w:t>
            </w:r>
          </w:p>
        </w:tc>
        <w:tc>
          <w:tcPr>
            <w:tcW w:w="540" w:type="dxa"/>
            <w:vAlign w:val="bottom"/>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17,461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16,209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36,743</w:t>
            </w:r>
          </w:p>
        </w:tc>
        <w:tc>
          <w:tcPr>
            <w:tcW w:w="36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57,052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93,795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820" w:type="dxa"/>
            <w:vAlign w:val="bottom"/>
            <w:vMerge w:val="restart"/>
          </w:tcPr>
          <w:p>
            <w:pPr>
              <w:jc w:val="right"/>
              <w:ind w:right="2012"/>
              <w:spacing w:after="0"/>
              <w:rPr>
                <w:sz w:val="20"/>
                <w:szCs w:val="20"/>
                <w:color w:val="auto"/>
              </w:rPr>
            </w:pPr>
            <w:r>
              <w:rPr>
                <w:rFonts w:ascii="Arial" w:cs="Arial" w:eastAsia="Arial" w:hAnsi="Arial"/>
                <w:sz w:val="18"/>
                <w:szCs w:val="18"/>
                <w:color w:val="auto"/>
              </w:rPr>
              <w:t>- 74 -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1"/>
                <w:szCs w:val="11"/>
                <w:color w:val="auto"/>
              </w:rPr>
            </w:pPr>
          </w:p>
        </w:tc>
      </w:tr>
      <w:tr>
        <w:trPr>
          <w:trHeight w:val="159"/>
        </w:trPr>
        <w:tc>
          <w:tcPr>
            <w:tcW w:w="6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spacing w:after="0" w:line="159" w:lineRule="exact"/>
              <w:rPr>
                <w:sz w:val="20"/>
                <w:szCs w:val="20"/>
                <w:color w:val="auto"/>
              </w:rPr>
            </w:pPr>
            <w:r>
              <w:rPr>
                <w:rFonts w:ascii="Arial" w:cs="Arial" w:eastAsia="Arial" w:hAnsi="Arial"/>
                <w:sz w:val="14"/>
                <w:szCs w:val="14"/>
                <w:color w:val="auto"/>
              </w:rPr>
              <w:t>1st Qtr.</w:t>
            </w:r>
          </w:p>
        </w:tc>
        <w:tc>
          <w:tcPr>
            <w:tcW w:w="9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2nd Qtr.</w:t>
            </w:r>
          </w:p>
        </w:tc>
        <w:tc>
          <w:tcPr>
            <w:tcW w:w="7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13,648</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11,724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10,844</w:t>
            </w:r>
          </w:p>
        </w:tc>
        <w:tc>
          <w:tcPr>
            <w:tcW w:w="3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9,619</w:t>
            </w:r>
          </w:p>
        </w:tc>
        <w:tc>
          <w:tcPr>
            <w:tcW w:w="620" w:type="dxa"/>
            <w:vAlign w:val="bottom"/>
          </w:tcPr>
          <w:p>
            <w:pPr>
              <w:jc w:val="right"/>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23,747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16,987</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40,734</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48,284</w:t>
            </w:r>
          </w:p>
        </w:tc>
        <w:tc>
          <w:tcPr>
            <w:tcW w:w="36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51,978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100,262</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Reflected in net charge-offs of commercial loans in the recent quarter were $30 million of charge-offs for a relationship with a motor vehicle-related parts wholesaler. Included in net recoveries of commercial real estate loans in the recent quarter were net recoveries of previously charged-off loans to residential homebuilders and developers of $9 million, compared with net charge-offs of such loans of $11 million and $2 million for the quarters ended June 30, 2012 and March 31, 2013, respectively. Reflected in net charge-offs of residential real estate loans were net charge-offs of Alt-A first mortgage loans of $2 million in the second quarter of 2013, compared with $5 million in the year-earlier quarter and $4 million in the initial quarter of 2013. Included in net charge-offs of consumer loans and leases were net charge-offs during the quarters ended June 30, 2013, June 30, 2012 and March 31, 2013, respectively, of: automobile loans of $3 million, $2 million and $3 million; recreational vehicle loans of $3 million, $4 million and $4 million; and home equity loans and lines of credit, including Alt-A second lien loans, of $5 million, $7 million and $6 million. Including both first and second lien mortgages, net charge-offs of Alt-A loans totaled $2 million for the quarter ended June 30, 2013, $6 million for the quarter ended June 30, 2012 and $4 million for the quarter ended March 31, 2013.</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$4.9 billion, $7.1 billion, $5.8 billion and $5.3 billion at June 30, 2013, June 30, 2012, December 31, 2012 and March 31, 2013, respectively. The portion of the nonaccretable balance related to remaining principal losses as well as life-to-date principal losses charged against the nonaccretable balance as of June 30, 2013 and December 31, 2012 are presented in the accompanying table.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color w:val="auto"/>
                <w:w w:val="87"/>
              </w:rPr>
              <w:t>Nonaccretable balance - principal</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4"/>
          </w:tcPr>
          <w:p>
            <w:pPr>
              <w:jc w:val="right"/>
              <w:ind w:right="940"/>
              <w:spacing w:after="0" w:line="142" w:lineRule="exact"/>
              <w:rPr>
                <w:sz w:val="20"/>
                <w:szCs w:val="20"/>
                <w:color w:val="auto"/>
              </w:rPr>
            </w:pPr>
            <w:r>
              <w:rPr>
                <w:rFonts w:ascii="Arial" w:cs="Arial" w:eastAsia="Arial" w:hAnsi="Arial"/>
                <w:sz w:val="14"/>
                <w:szCs w:val="14"/>
                <w:color w:val="auto"/>
              </w:rPr>
              <w:t>Remaining balance</w:t>
            </w:r>
          </w:p>
        </w:tc>
        <w:tc>
          <w:tcPr>
            <w:tcW w:w="1880" w:type="dxa"/>
            <w:vAlign w:val="bottom"/>
            <w:gridSpan w:val="3"/>
          </w:tcPr>
          <w:p>
            <w:pPr>
              <w:jc w:val="right"/>
              <w:ind w:right="318"/>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rPr>
              <w:t>June 30,</w:t>
            </w: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500" w:type="dxa"/>
            <w:vAlign w:val="bottom"/>
          </w:tcPr>
          <w:p>
            <w:pPr>
              <w:spacing w:after="0"/>
              <w:rPr>
                <w:sz w:val="11"/>
                <w:szCs w:val="11"/>
                <w:color w:val="auto"/>
              </w:rPr>
            </w:pPr>
          </w:p>
        </w:tc>
        <w:tc>
          <w:tcPr>
            <w:tcW w:w="1120" w:type="dxa"/>
            <w:vAlign w:val="bottom"/>
            <w:tcBorders>
              <w:top w:val="single" w:sz="8" w:color="auto"/>
            </w:tcBorders>
            <w:gridSpan w:val="2"/>
          </w:tcPr>
          <w:p>
            <w:pPr>
              <w:ind w:left="80"/>
              <w:spacing w:after="0" w:line="131" w:lineRule="exact"/>
              <w:rPr>
                <w:sz w:val="20"/>
                <w:szCs w:val="20"/>
                <w:color w:val="auto"/>
              </w:rPr>
            </w:pPr>
            <w:r>
              <w:rPr>
                <w:rFonts w:ascii="Arial" w:cs="Arial" w:eastAsia="Arial" w:hAnsi="Arial"/>
                <w:sz w:val="14"/>
                <w:szCs w:val="14"/>
                <w:color w:val="auto"/>
              </w:rPr>
              <w:t>June 30,</w:t>
            </w: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1"/>
              <w:spacing w:after="0" w:line="159" w:lineRule="exact"/>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8"/>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80" w:type="dxa"/>
            <w:vAlign w:val="bottom"/>
            <w:gridSpan w:val="4"/>
          </w:tcPr>
          <w:p>
            <w:pPr>
              <w:jc w:val="center"/>
              <w:ind w:right="400"/>
              <w:spacing w:after="0" w:line="142" w:lineRule="exact"/>
              <w:rPr>
                <w:sz w:val="20"/>
                <w:szCs w:val="20"/>
                <w:color w:val="auto"/>
              </w:rPr>
            </w:pPr>
            <w:r>
              <w:rPr>
                <w:rFonts w:ascii="Arial" w:cs="Arial" w:eastAsia="Arial" w:hAnsi="Arial"/>
                <w:sz w:val="14"/>
                <w:szCs w:val="14"/>
                <w:color w:val="auto"/>
                <w:w w:val="87"/>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36,255</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40,198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65,585</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141,587</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285,681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272,478</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32,294</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36,471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50,642</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Consumer</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38,173</w:t>
            </w:r>
          </w:p>
        </w:tc>
        <w:tc>
          <w:tcPr>
            <w:tcW w:w="4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50,856</w:t>
            </w:r>
          </w:p>
        </w:tc>
        <w:tc>
          <w:tcPr>
            <w:tcW w:w="640" w:type="dxa"/>
            <w:vAlign w:val="bottom"/>
          </w:tcPr>
          <w:p>
            <w:pPr>
              <w:jc w:val="right"/>
              <w:spacing w:after="0"/>
              <w:rPr>
                <w:sz w:val="20"/>
                <w:szCs w:val="20"/>
                <w:color w:val="auto"/>
              </w:rPr>
            </w:pPr>
            <w:r>
              <w:rPr>
                <w:rFonts w:ascii="Arial" w:cs="Arial" w:eastAsia="Arial" w:hAnsi="Arial"/>
                <w:sz w:val="18"/>
                <w:szCs w:val="18"/>
                <w:color w:val="auto"/>
              </w:rPr>
              <w:t>70,003</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248,309</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413,206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458,708</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300" w:type="dxa"/>
            <w:vAlign w:val="bottom"/>
            <w:vMerge w:val="restart"/>
          </w:tcPr>
          <w:p>
            <w:pPr>
              <w:jc w:val="right"/>
              <w:ind w:right="572"/>
              <w:spacing w:after="0"/>
              <w:rPr>
                <w:sz w:val="20"/>
                <w:szCs w:val="20"/>
                <w:color w:val="auto"/>
              </w:rPr>
            </w:pPr>
            <w:r>
              <w:rPr>
                <w:rFonts w:ascii="Arial" w:cs="Arial" w:eastAsia="Arial" w:hAnsi="Arial"/>
                <w:sz w:val="18"/>
                <w:szCs w:val="18"/>
                <w:color w:val="auto"/>
              </w:rPr>
              <w:t>- 75 -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regularly reviews its cash flow projections for acquired loans, including its estimates of lifetime principal losses. In general, based largely on stabilizing economic conditions, the estimates of cash flows expected to be generated by acquired loans increased during the recent quarter by approximately 2%, or $143 million. That improvement reflected a lowering of estimated principal losses by approximately $130 million, largely driven by a $125 million decrease in expected principal losses in the acquired commercial real estate loan portfolio. The increases in projected cash flows, including both the $130 million of principal referred to above and interest payments related thereto, resulted in a $143 million transfer from the nonaccretable balance to the accretable yield. Approximately $13 million of that transfer was recognized as interest income during the quarter ended June 30, 2013. The remainder will be recognized as interest income in subsequent periods.</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Nonaccrual loans totaled $965 million or 1.46% of total loans and leases outstanding at June 30, 2013, compared with $968 million or 1.54% at June 30, 2012, $1.01 billion or 1.52% at December 31, 2012, and $1.05 billion or 1.60% at March 31, 2013. The decline in nonaccrual loans at the recent quarter-end as compared with March 31, 2013 was largely due to lower commercial loans in nonaccrual status. The increase in nonaccrual loans from December 31, 2012 to March 31, 2013 was partially attributable to the Company’s ability to now identify home equity loans and lines of credit as nonaccrual when those loans are less than ninety days past due but the related senior lien loan that is not owned by the Company is more than ninety days past due. The incorporation of that additional information did not have a significant impact on the Company’s provision or allowance for credit losses.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Accruing loans past due 90 days or more (excluding acquired loans) were $340 million or .52% of total loans and leases at June 30, 2013, compared with $275 million or .44% at June 30, 2012, $358 million or .54% at December 31, 2012 and $331 million or .50% at March 31, 2013. Those loans included loans guaranteed by government-related entities of $315 million at June 30, 2013, $255 million at June 30, 2012, $316 million at December 31, 2012 and $312 million at March 31, 2013.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$284 million at each of March 31 and June 30, 2013, $242 million at June 30, 2012 and $294 million at December 31, 2012.</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$395 million at June 30, 2013, or .60% of total loans. Purchased impaired loans totaled $561 million and $447 million at June 30 and December 31, 2012. The decline in such loans during the first half of 2013 was predominantly the result of payments received from customers.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Acquired accruing loans past due 90 days or more are loans that could not be specifically identified as impaired as of the acquisition date, but were recorded at estimated fair value as of such date. Such loans totaled $156 million at June 30, 2013, compared with $162 million at June 30, 2012 and $167 million at December 31, 2012.</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considers such modifications as troubled debt restructurings.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M&amp;T has not granted a concession with respect to the ultimate collection of the original loan balance. Such loans aggregated $200 million, $154 million and $167 million at June 30, 2013, June 30, 2012 and December 31, 2012, respectively.</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Nonaccrual commercial loans and leases aggregated $145 million at June 30, 2013, $153 million at June 30, 2012, $152 million at December 31, 2012 and $204 million at March 31, 2013. The higher level of commercial loans classified as nonaccrual at the end of the first quarter of 2013 as compared with December 31, 2012 was the result of the addition during 2013’s initial quarter of one relationship with a motor vehicle-related parts wholesaler with outstanding balances of $59 million at that time. The decline in nonaccrual commercial loans from March 31 to June 30, 2013 reflects a $30 million charge-off related to the relationship with the motor vehicle-related parts wholesaler noted above. Commercial real estate loans classified as nonaccrual totaled $369 million at June 30, 2013, $440 million at June 30, 2012, $412 million at December 31, 2012 and $393 million at March 31, 2013. Reflected in such nonaccrual loans were loans to residential homebuilders and developers totaling $132 million and $240 million at June 30, 2013 and June 30, 2012, respectively, $182 million at December 31, 2012 and $167 million at March 31, 2013. Information about the location of nonaccrual and charged–off loans to residential real estate builders and developers as of and for the three-month period ended June 30, 2013 is presented in the accompanying table.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color w:val="auto"/>
                <w:w w:val="86"/>
              </w:rPr>
              <w:t>Quarter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June 30, 2013</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340"/>
              <w:spacing w:after="0" w:line="159" w:lineRule="exact"/>
              <w:rPr>
                <w:sz w:val="20"/>
                <w:szCs w:val="20"/>
                <w:color w:val="auto"/>
              </w:rPr>
            </w:pPr>
            <w:r>
              <w:rPr>
                <w:rFonts w:ascii="Arial" w:cs="Arial" w:eastAsia="Arial" w:hAnsi="Arial"/>
                <w:sz w:val="14"/>
                <w:szCs w:val="14"/>
                <w:color w:val="auto"/>
                <w:w w:val="85"/>
              </w:rPr>
              <w:t>June 30, 2013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tcPr>
          <w:p>
            <w:pPr>
              <w:jc w:val="center"/>
              <w:ind w:right="2"/>
              <w:spacing w:after="0" w:line="131" w:lineRule="exact"/>
              <w:rPr>
                <w:sz w:val="20"/>
                <w:szCs w:val="20"/>
                <w:color w:val="auto"/>
              </w:rPr>
            </w:pPr>
            <w:r>
              <w:rPr>
                <w:rFonts w:ascii="Arial" w:cs="Arial" w:eastAsia="Arial" w:hAnsi="Arial"/>
                <w:sz w:val="14"/>
                <w:szCs w:val="14"/>
                <w:color w:val="auto"/>
                <w:w w:val="87"/>
              </w:rPr>
              <w:t>Net charge-offs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4"/>
          </w:tcPr>
          <w:p>
            <w:pPr>
              <w:jc w:val="right"/>
              <w:ind w:right="880"/>
              <w:spacing w:after="0" w:line="159" w:lineRule="exact"/>
              <w:rPr>
                <w:sz w:val="20"/>
                <w:szCs w:val="20"/>
                <w:color w:val="auto"/>
              </w:rPr>
            </w:pPr>
            <w:r>
              <w:rPr>
                <w:rFonts w:ascii="Arial" w:cs="Arial" w:eastAsia="Arial" w:hAnsi="Arial"/>
                <w:sz w:val="14"/>
                <w:szCs w:val="14"/>
                <w:color w:val="auto"/>
              </w:rPr>
              <w:t>Nonaccrual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center"/>
              <w:ind w:right="340"/>
              <w:spacing w:after="0" w:line="159" w:lineRule="exact"/>
              <w:rPr>
                <w:sz w:val="20"/>
                <w:szCs w:val="20"/>
                <w:color w:val="auto"/>
              </w:rPr>
            </w:pPr>
            <w:r>
              <w:rPr>
                <w:rFonts w:ascii="Arial" w:cs="Arial" w:eastAsia="Arial" w:hAnsi="Arial"/>
                <w:sz w:val="14"/>
                <w:szCs w:val="14"/>
                <w:color w:val="auto"/>
                <w:w w:val="86"/>
              </w:rPr>
              <w:t>(recoveries)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Annualized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7"/>
              </w:rPr>
              <w:t>Percent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Outstanding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8"/>
              </w:rPr>
              <w:t>outstanding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6"/>
              <w:spacing w:after="0" w:line="159" w:lineRule="exact"/>
              <w:rPr>
                <w:sz w:val="20"/>
                <w:szCs w:val="20"/>
                <w:color w:val="auto"/>
              </w:rPr>
            </w:pPr>
            <w:r>
              <w:rPr>
                <w:rFonts w:ascii="Arial" w:cs="Arial" w:eastAsia="Arial" w:hAnsi="Arial"/>
                <w:sz w:val="14"/>
                <w:szCs w:val="14"/>
                <w:color w:val="auto"/>
                <w:w w:val="81"/>
              </w:rPr>
              <w:t>balances(a)</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8"/>
              <w:spacing w:after="0" w:line="159" w:lineRule="exact"/>
              <w:rPr>
                <w:sz w:val="20"/>
                <w:szCs w:val="20"/>
                <w:color w:val="auto"/>
              </w:rPr>
            </w:pPr>
            <w:r>
              <w:rPr>
                <w:rFonts w:ascii="Arial" w:cs="Arial" w:eastAsia="Arial" w:hAnsi="Arial"/>
                <w:sz w:val="14"/>
                <w:szCs w:val="14"/>
                <w:color w:val="auto"/>
                <w:w w:val="83"/>
              </w:rPr>
              <w:t>Balances</w:t>
            </w:r>
          </w:p>
        </w:tc>
        <w:tc>
          <w:tcPr>
            <w:tcW w:w="380" w:type="dxa"/>
            <w:vAlign w:val="bottom"/>
          </w:tcPr>
          <w:p>
            <w:pPr>
              <w:spacing w:after="0"/>
              <w:rPr>
                <w:sz w:val="13"/>
                <w:szCs w:val="13"/>
                <w:color w:val="auto"/>
              </w:rPr>
            </w:pPr>
          </w:p>
        </w:tc>
        <w:tc>
          <w:tcPr>
            <w:tcW w:w="98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5"/>
              </w:rPr>
              <w:t>balances</w:t>
            </w:r>
          </w:p>
        </w:tc>
        <w:tc>
          <w:tcPr>
            <w:tcW w:w="140" w:type="dxa"/>
            <w:vAlign w:val="bottom"/>
          </w:tcPr>
          <w:p>
            <w:pPr>
              <w:spacing w:after="0"/>
              <w:rPr>
                <w:sz w:val="13"/>
                <w:szCs w:val="13"/>
                <w:color w:val="auto"/>
              </w:rPr>
            </w:pPr>
          </w:p>
        </w:tc>
        <w:tc>
          <w:tcPr>
            <w:tcW w:w="940" w:type="dxa"/>
            <w:vAlign w:val="bottom"/>
            <w:gridSpan w:val="3"/>
          </w:tcPr>
          <w:p>
            <w:pPr>
              <w:jc w:val="right"/>
              <w:ind w:right="420"/>
              <w:spacing w:after="0" w:line="159" w:lineRule="exact"/>
              <w:rPr>
                <w:sz w:val="20"/>
                <w:szCs w:val="20"/>
                <w:color w:val="auto"/>
              </w:rPr>
            </w:pPr>
            <w:r>
              <w:rPr>
                <w:rFonts w:ascii="Arial" w:cs="Arial" w:eastAsia="Arial" w:hAnsi="Arial"/>
                <w:sz w:val="14"/>
                <w:szCs w:val="14"/>
                <w:color w:val="auto"/>
                <w:w w:val="86"/>
              </w:rPr>
              <w:t>Balances</w:t>
            </w:r>
          </w:p>
        </w:tc>
        <w:tc>
          <w:tcPr>
            <w:tcW w:w="9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2"/>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color w:val="auto"/>
                <w:w w:val="88"/>
              </w:rPr>
              <w:t>(dollars 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Pennsylvania</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183,720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406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516,290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(9,372)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201,967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5,742</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(259)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1,144,007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134,354</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(9,226)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Includes approximately $33 million of loans not secured by real estate, of which approximately $2 million are in nonaccrual status.</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Residential real estate loans classified as nonaccrual were $339 million at June 30, 2013, compared with $276 million at June 30, 2012, $345 million at December 31, 2012 and $341 million at March 31, 2013. The increase in such nonaccrual loans from June 30, 2012 was predominantly related to the addition during the fourth quarter of 2012 of $64 million of loans to one customer that are secured by residential real estate. Depressed real estate values and high levels of delinquencies have contributed to the higher than historical levels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residential real estate loans classified as nonaccrual. Included in residential real estate loans classified as nonaccrual were Alt-A loans of $85 million, $101 million, $96 million and $88 million at June 30, 2013, June 30, 2012, December 31, 2012 and March 31, 2013, respectively. Residential real estate loans past due 90 days or more and accruing interest (excluding acquired loans) totaled $313 million at each of June 30, 2013 and December 31, 2012, compared with $252 million at June 30, 2012 and $309 million at March 31, 2013. A substantial portion of such amounts related to loans guaranteed by government-related entities. Information about the location of nonaccrual and charged-off residential real estate loans as of and for the quarter ended June 30, 2013 is presented in the accompanying table.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Nonaccrual consumer loans totaled $112 million and $99 million at June 30, 2013 and 2012, respectively, compared with $104 million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2012 and $114 million at March 31, 2013. The increases in such nonaccrual loans at the two most recent quarter-ends as compared with June 30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were largely the result of the previously noted change in the method of identifying nonaccrual home equity loans and lines of credit to reflect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repayment performance of the related senior lien loan that is not owned by the Company. Included in nonaccrual consumer loans at June 30, 2013,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December 31, 2012 and March 31, 2013 were automobile loans of $21 million, $24 million, $25 million and $20 million, respectively; recreational vehicle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of $9 million, $10 million, $10 million and $11 million, respectively; and outstanding balances of home equity loans and lines of credit, including junior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lien Alt-A loans, of $70 million, $55 million, $58 million and $72 million, respectively. Information about the location of nonaccrual and charged-off home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loans and lines of credit as of and for the quarter ended June 30, 2013 is presented in the accompanying table.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SELECTED RESIDENTIAL REAL ESTATE-RELATED LOAN DATA</w:t>
      </w:r>
    </w:p>
    <w:p>
      <w:pPr>
        <w:sectPr>
          <w:pgSz w:w="11900" w:h="16838" w:orient="portrait"/>
          <w:cols w:equalWidth="0" w:num="1">
            <w:col w:w="11420"/>
          </w:cols>
          <w:pgMar w:left="240" w:top="459" w:right="239" w:bottom="1147" w:gutter="0" w:footer="0" w:header="0"/>
        </w:sectPr>
      </w:pPr>
    </w:p>
    <w:p>
      <w:pPr>
        <w:spacing w:after="0" w:line="381" w:lineRule="exact"/>
        <w:rPr>
          <w:sz w:val="20"/>
          <w:szCs w:val="20"/>
          <w:color w:val="auto"/>
        </w:rPr>
      </w:pPr>
    </w:p>
    <w:p>
      <w:pPr>
        <w:ind w:left="7340"/>
        <w:spacing w:after="0"/>
        <w:rPr>
          <w:sz w:val="20"/>
          <w:szCs w:val="20"/>
          <w:color w:val="auto"/>
        </w:rPr>
      </w:pPr>
      <w:r>
        <w:rPr>
          <w:rFonts w:ascii="Arial" w:cs="Arial" w:eastAsia="Arial" w:hAnsi="Arial"/>
          <w:sz w:val="14"/>
          <w:szCs w:val="14"/>
          <w:color w:val="auto"/>
        </w:rPr>
        <w:t>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-635</wp:posOffset>
            </wp:positionV>
            <wp:extent cx="18180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0" w:lineRule="exact"/>
        <w:rPr>
          <w:sz w:val="20"/>
          <w:szCs w:val="20"/>
          <w:color w:val="auto"/>
        </w:rPr>
      </w:pPr>
    </w:p>
    <w:p>
      <w:pPr>
        <w:jc w:val="right"/>
        <w:ind w:right="640"/>
        <w:spacing w:after="0"/>
        <w:rPr>
          <w:sz w:val="20"/>
          <w:szCs w:val="20"/>
          <w:color w:val="auto"/>
        </w:rPr>
      </w:pPr>
      <w:r>
        <w:rPr>
          <w:rFonts w:ascii="Arial" w:cs="Arial" w:eastAsia="Arial" w:hAnsi="Arial"/>
          <w:sz w:val="14"/>
          <w:szCs w:val="14"/>
          <w:color w:val="auto"/>
        </w:rPr>
        <w:t>Nonaccrual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-635</wp:posOffset>
            </wp:positionV>
            <wp:extent cx="10718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Quarter ended</w:t>
      </w:r>
    </w:p>
    <w:p>
      <w:pPr>
        <w:ind w:left="40"/>
        <w:spacing w:after="0"/>
        <w:rPr>
          <w:sz w:val="20"/>
          <w:szCs w:val="20"/>
          <w:color w:val="auto"/>
        </w:rPr>
      </w:pPr>
      <w:r>
        <w:rPr>
          <w:rFonts w:ascii="Arial" w:cs="Arial" w:eastAsia="Arial" w:hAnsi="Arial"/>
          <w:sz w:val="14"/>
          <w:szCs w:val="14"/>
          <w:color w:val="auto"/>
        </w:rPr>
        <w:t>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-8255</wp:posOffset>
            </wp:positionV>
            <wp:extent cx="9690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jc w:val="center"/>
        <w:ind w:right="600"/>
        <w:spacing w:after="0"/>
        <w:rPr>
          <w:sz w:val="20"/>
          <w:szCs w:val="20"/>
          <w:color w:val="auto"/>
        </w:rPr>
      </w:pPr>
      <w:r>
        <w:rPr>
          <w:rFonts w:ascii="Arial" w:cs="Arial" w:eastAsia="Arial" w:hAnsi="Arial"/>
          <w:sz w:val="12"/>
          <w:szCs w:val="12"/>
          <w:color w:val="auto"/>
        </w:rPr>
        <w:t>Net charge-offs</w:t>
      </w:r>
    </w:p>
    <w:p>
      <w:pPr>
        <w:spacing w:after="0" w:line="12" w:lineRule="exact"/>
        <w:rPr>
          <w:sz w:val="20"/>
          <w:szCs w:val="20"/>
          <w:color w:val="auto"/>
        </w:rPr>
      </w:pPr>
    </w:p>
    <w:p>
      <w:pPr>
        <w:jc w:val="center"/>
        <w:ind w:right="600"/>
        <w:spacing w:after="0"/>
        <w:rPr>
          <w:sz w:val="20"/>
          <w:szCs w:val="20"/>
          <w:color w:val="auto"/>
        </w:rPr>
      </w:pPr>
      <w:r>
        <w:rPr>
          <w:rFonts w:ascii="Arial" w:cs="Arial" w:eastAsia="Arial" w:hAnsi="Arial"/>
          <w:sz w:val="14"/>
          <w:szCs w:val="14"/>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-7620</wp:posOffset>
            </wp:positionV>
            <wp:extent cx="9690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jc w:val="right"/>
        <w:ind w:right="260"/>
        <w:spacing w:after="0" w:line="224" w:lineRule="auto"/>
        <w:rPr>
          <w:sz w:val="20"/>
          <w:szCs w:val="20"/>
          <w:color w:val="auto"/>
        </w:rPr>
      </w:pPr>
      <w:r>
        <w:rPr>
          <w:rFonts w:ascii="Arial" w:cs="Arial" w:eastAsia="Arial" w:hAnsi="Arial"/>
          <w:sz w:val="14"/>
          <w:szCs w:val="14"/>
          <w:color w:val="auto"/>
        </w:rPr>
        <w:t>Annualized</w:t>
      </w:r>
    </w:p>
    <w:p>
      <w:pPr>
        <w:ind w:left="600"/>
        <w:spacing w:after="0"/>
        <w:rPr>
          <w:sz w:val="20"/>
          <w:szCs w:val="20"/>
          <w:color w:val="auto"/>
        </w:rPr>
      </w:pPr>
      <w:r>
        <w:rPr>
          <w:rFonts w:ascii="Arial" w:cs="Arial" w:eastAsia="Arial" w:hAnsi="Arial"/>
          <w:sz w:val="12"/>
          <w:szCs w:val="12"/>
          <w:color w:val="auto"/>
        </w:rPr>
        <w:t>percent of</w:t>
      </w:r>
    </w:p>
    <w:p>
      <w:pPr>
        <w:spacing w:after="0" w:line="1" w:lineRule="exact"/>
        <w:rPr>
          <w:sz w:val="20"/>
          <w:szCs w:val="20"/>
          <w:color w:val="auto"/>
        </w:rPr>
      </w:pPr>
    </w:p>
    <w:p>
      <w:pPr>
        <w:sectPr>
          <w:pgSz w:w="11900" w:h="16838" w:orient="portrait"/>
          <w:cols w:equalWidth="0" w:num="2">
            <w:col w:w="9260" w:space="720"/>
            <w:col w:w="1440"/>
          </w:cols>
          <w:pgMar w:left="240" w:top="459" w:right="239" w:bottom="1147"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color w:val="auto"/>
                <w:w w:val="84"/>
              </w:rPr>
              <w:t>Percent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87"/>
              </w:rPr>
              <w:t>Outstanding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5"/>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outstanding</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82"/>
              </w:rPr>
              <w:t>balances</w:t>
            </w:r>
          </w:p>
        </w:tc>
        <w:tc>
          <w:tcPr>
            <w:tcW w:w="100" w:type="dxa"/>
            <w:vAlign w:val="bottom"/>
          </w:tcPr>
          <w:p>
            <w:pPr>
              <w:spacing w:after="0"/>
              <w:rPr>
                <w:sz w:val="13"/>
                <w:szCs w:val="13"/>
                <w:color w:val="auto"/>
              </w:rPr>
            </w:pPr>
          </w:p>
        </w:tc>
        <w:tc>
          <w:tcPr>
            <w:tcW w:w="580" w:type="dxa"/>
            <w:vAlign w:val="bottom"/>
          </w:tcPr>
          <w:p>
            <w:pPr>
              <w:jc w:val="right"/>
              <w:ind w:right="13"/>
              <w:spacing w:after="0" w:line="159" w:lineRule="exact"/>
              <w:rPr>
                <w:sz w:val="20"/>
                <w:szCs w:val="20"/>
                <w:color w:val="auto"/>
              </w:rPr>
            </w:pPr>
            <w:r>
              <w:rPr>
                <w:rFonts w:ascii="Arial" w:cs="Arial" w:eastAsia="Arial" w:hAnsi="Arial"/>
                <w:sz w:val="14"/>
                <w:szCs w:val="14"/>
                <w:color w:val="auto"/>
                <w:w w:val="79"/>
              </w:rPr>
              <w:t>Balances</w:t>
            </w:r>
          </w:p>
        </w:tc>
        <w:tc>
          <w:tcPr>
            <w:tcW w:w="380" w:type="dxa"/>
            <w:vAlign w:val="bottom"/>
          </w:tcPr>
          <w:p>
            <w:pPr>
              <w:spacing w:after="0"/>
              <w:rPr>
                <w:sz w:val="13"/>
                <w:szCs w:val="13"/>
                <w:color w:val="auto"/>
              </w:rPr>
            </w:pPr>
          </w:p>
        </w:tc>
        <w:tc>
          <w:tcPr>
            <w:tcW w:w="96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2"/>
              </w:rPr>
              <w:t>balances</w:t>
            </w:r>
          </w:p>
        </w:tc>
        <w:tc>
          <w:tcPr>
            <w:tcW w:w="160" w:type="dxa"/>
            <w:vAlign w:val="bottom"/>
          </w:tcPr>
          <w:p>
            <w:pPr>
              <w:spacing w:after="0"/>
              <w:rPr>
                <w:sz w:val="13"/>
                <w:szCs w:val="13"/>
                <w:color w:val="auto"/>
              </w:rPr>
            </w:pPr>
          </w:p>
        </w:tc>
        <w:tc>
          <w:tcPr>
            <w:tcW w:w="880" w:type="dxa"/>
            <w:vAlign w:val="bottom"/>
            <w:gridSpan w:val="3"/>
          </w:tcPr>
          <w:p>
            <w:pPr>
              <w:spacing w:after="0" w:line="159" w:lineRule="exact"/>
              <w:rPr>
                <w:sz w:val="20"/>
                <w:szCs w:val="20"/>
                <w:color w:val="auto"/>
              </w:rPr>
            </w:pPr>
            <w:r>
              <w:rPr>
                <w:rFonts w:ascii="Arial" w:cs="Arial" w:eastAsia="Arial" w:hAnsi="Arial"/>
                <w:sz w:val="14"/>
                <w:szCs w:val="14"/>
                <w:color w:val="auto"/>
              </w:rPr>
              <w:t>Balances</w:t>
            </w:r>
          </w:p>
        </w:tc>
        <w:tc>
          <w:tcPr>
            <w:tcW w:w="9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96"/>
              </w:rPr>
              <w:t>balances</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color w:val="auto"/>
                <w:w w:val="86"/>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4,029,007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68,482</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1.70%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801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1,360,694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2,315,506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405</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2,244,512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130,412</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9,949,719</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252,209</w:t>
            </w: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1,684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7,030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392</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5.58%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37,481</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1,824</w:t>
            </w: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4.87%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67,231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18,503</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27.52%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574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12,139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77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412,549</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85,392</w:t>
            </w: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20.70%</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1,776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10.31%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14,298</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924</w:t>
            </w: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6.46%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414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29,060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1,497</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5.15%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117,136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248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244,069</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2.10%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359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1,360,505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4,794</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.35%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539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852,349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93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32,213</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3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3,070,309</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12,632</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.41%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753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22,570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3,123</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13.84%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87,549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173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149,318</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5,470</w:t>
            </w: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370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979,609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32,325</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3.30%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1,845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1,244,401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6,754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775</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2,694,643</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46,327</w:t>
            </w: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3,109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Real estate and other foreclosed assets were $82 million at June 30, 2013, compared with $116 million at June 30, 2012, $104 million at December 31, 2012 and $96 million at March 31, 2013. At June 30, 2013, the Company’s holding of residential real estate-related properties comprised 58% of foreclosed assets.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20"/>
          </w:cols>
          <w:pgMar w:left="240" w:top="459" w:right="239" w:bottom="1147"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comparative summary of nonperforming assets and certain past due loan data and credit quality ratios is presented in the accompanying table.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RENEGOTIATED AND IMPAIRED LOAN DATA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ind w:left="500"/>
              <w:spacing w:after="0"/>
              <w:rPr>
                <w:sz w:val="20"/>
                <w:szCs w:val="20"/>
                <w:color w:val="auto"/>
              </w:rPr>
            </w:pPr>
            <w:r>
              <w:rPr>
                <w:rFonts w:ascii="Arial" w:cs="Arial" w:eastAsia="Arial" w:hAnsi="Arial"/>
                <w:sz w:val="14"/>
                <w:szCs w:val="14"/>
                <w:color w:val="auto"/>
              </w:rPr>
              <w:t>2013 Quarters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color w:val="auto"/>
                <w:w w:val="87"/>
              </w:rPr>
              <w:t>2012 Quarters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Second</w:t>
            </w:r>
          </w:p>
        </w:tc>
        <w:tc>
          <w:tcPr>
            <w:tcW w:w="400" w:type="dxa"/>
            <w:vAlign w:val="bottom"/>
          </w:tcPr>
          <w:p>
            <w:pPr>
              <w:spacing w:after="0"/>
              <w:rPr>
                <w:sz w:val="13"/>
                <w:szCs w:val="13"/>
                <w:color w:val="auto"/>
              </w:rPr>
            </w:pPr>
          </w:p>
        </w:tc>
        <w:tc>
          <w:tcPr>
            <w:tcW w:w="11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First</w:t>
            </w:r>
          </w:p>
        </w:tc>
        <w:tc>
          <w:tcPr>
            <w:tcW w:w="9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Fourth</w:t>
            </w:r>
          </w:p>
        </w:tc>
        <w:tc>
          <w:tcPr>
            <w:tcW w:w="200" w:type="dxa"/>
            <w:vAlign w:val="bottom"/>
          </w:tcPr>
          <w:p>
            <w:pPr>
              <w:spacing w:after="0"/>
              <w:rPr>
                <w:sz w:val="13"/>
                <w:szCs w:val="13"/>
                <w:color w:val="auto"/>
              </w:rPr>
            </w:pPr>
          </w:p>
        </w:tc>
        <w:tc>
          <w:tcPr>
            <w:tcW w:w="114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93"/>
              </w:rPr>
              <w:t>Third</w:t>
            </w:r>
          </w:p>
        </w:tc>
        <w:tc>
          <w:tcPr>
            <w:tcW w:w="9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Second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Nonaccrual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964,906</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1,052,794</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1,013,176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925,231</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968,328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82,088</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95,680</w:t>
            </w:r>
          </w:p>
        </w:tc>
        <w:tc>
          <w:tcPr>
            <w:tcW w:w="3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112,160</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1,046,994</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1,148,474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1,117,455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1,037,391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1,083,908</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340,467</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331,283</w:t>
            </w:r>
          </w:p>
        </w:tc>
        <w:tc>
          <w:tcPr>
            <w:tcW w:w="760" w:type="dxa"/>
            <w:vAlign w:val="bottom"/>
          </w:tcPr>
          <w:p>
            <w:pPr>
              <w:jc w:val="right"/>
              <w:spacing w:after="0"/>
              <w:rPr>
                <w:sz w:val="20"/>
                <w:szCs w:val="20"/>
                <w:color w:val="auto"/>
              </w:rPr>
            </w:pPr>
            <w:r>
              <w:rPr>
                <w:rFonts w:ascii="Arial" w:cs="Arial" w:eastAsia="Arial" w:hAnsi="Arial"/>
                <w:sz w:val="18"/>
                <w:szCs w:val="18"/>
                <w:color w:val="auto"/>
              </w:rPr>
              <w:t>358,397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309,420</w:t>
            </w: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274,598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69,508</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63,385</w:t>
            </w:r>
          </w:p>
        </w:tc>
        <w:tc>
          <w:tcPr>
            <w:tcW w:w="760" w:type="dxa"/>
            <w:vAlign w:val="bottom"/>
          </w:tcPr>
          <w:p>
            <w:pPr>
              <w:jc w:val="right"/>
              <w:spacing w:after="0"/>
              <w:rPr>
                <w:sz w:val="20"/>
                <w:szCs w:val="20"/>
                <w:color w:val="auto"/>
              </w:rPr>
            </w:pPr>
            <w:r>
              <w:rPr>
                <w:rFonts w:ascii="Arial" w:cs="Arial" w:eastAsia="Arial" w:hAnsi="Arial"/>
                <w:sz w:val="18"/>
                <w:szCs w:val="18"/>
                <w:color w:val="auto"/>
              </w:rPr>
              <w:t>57,420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54,583</w:t>
            </w: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315,281</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311,579</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280,410</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263,351</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272,285</w:t>
            </w:r>
          </w:p>
        </w:tc>
        <w:tc>
          <w:tcPr>
            <w:tcW w:w="760" w:type="dxa"/>
            <w:vAlign w:val="bottom"/>
          </w:tcPr>
          <w:p>
            <w:pPr>
              <w:jc w:val="right"/>
              <w:spacing w:after="0"/>
              <w:rPr>
                <w:sz w:val="20"/>
                <w:szCs w:val="20"/>
                <w:color w:val="auto"/>
              </w:rPr>
            </w:pPr>
            <w:r>
              <w:rPr>
                <w:rFonts w:ascii="Arial" w:cs="Arial" w:eastAsia="Arial" w:hAnsi="Arial"/>
                <w:sz w:val="18"/>
                <w:szCs w:val="18"/>
                <w:color w:val="auto"/>
              </w:rPr>
              <w:t>271,971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266,526</w:t>
            </w: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267,111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155,686</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157,068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161,424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162,487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customer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725,196</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790,048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828,571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978,731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1,037,458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Carrying amount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394,697</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425,232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447,114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528,001</w:t>
            </w: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560,700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r>
      <w:tr>
        <w:trPr>
          <w:trHeight w:val="208"/>
        </w:trPr>
        <w:tc>
          <w:tcPr>
            <w:tcW w:w="5820" w:type="dxa"/>
            <w:vAlign w:val="bottom"/>
          </w:tcPr>
          <w:p>
            <w:pPr>
              <w:spacing w:after="0"/>
              <w:rPr>
                <w:sz w:val="20"/>
                <w:szCs w:val="20"/>
                <w:color w:val="auto"/>
              </w:rPr>
            </w:pPr>
            <w:r>
              <w:rPr>
                <w:rFonts w:ascii="Arial" w:cs="Arial" w:eastAsia="Arial" w:hAnsi="Arial"/>
                <w:sz w:val="18"/>
                <w:szCs w:val="18"/>
                <w:color w:val="auto"/>
                <w:w w:val="95"/>
              </w:rPr>
              <w:t>Nonperforming assets to total net loans and leases and real estate and other</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820" w:type="dxa"/>
            <w:vAlign w:val="bottom"/>
          </w:tcPr>
          <w:p>
            <w:pPr>
              <w:ind w:left="220"/>
              <w:spacing w:after="0"/>
              <w:rPr>
                <w:sz w:val="20"/>
                <w:szCs w:val="20"/>
                <w:color w:val="auto"/>
              </w:rPr>
            </w:pPr>
            <w:r>
              <w:rPr>
                <w:rFonts w:ascii="Arial" w:cs="Arial" w:eastAsia="Arial" w:hAnsi="Arial"/>
                <w:sz w:val="18"/>
                <w:szCs w:val="18"/>
                <w:color w:val="auto"/>
              </w:rPr>
              <w:t>foreclosed assets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Accruing loans past due 90 days or more (a) to total loans and leases, net of</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discount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Excludes acquired loans. Predominantly residential mortgage loans.</w:t>
      </w:r>
    </w:p>
    <w:p>
      <w:pPr>
        <w:spacing w:after="0" w:line="15" w:lineRule="exact"/>
        <w:rPr>
          <w:rFonts w:ascii="Arial" w:cs="Arial" w:eastAsia="Arial" w:hAnsi="Arial"/>
          <w:sz w:val="18"/>
          <w:szCs w:val="18"/>
          <w:b w:val="1"/>
          <w:bCs w:val="1"/>
          <w:i w:val="1"/>
          <w:iCs w:val="1"/>
          <w:color w:val="auto"/>
        </w:rPr>
      </w:pPr>
    </w:p>
    <w:p>
      <w:pPr>
        <w:ind w:left="460" w:right="640" w:hanging="452"/>
        <w:spacing w:after="0" w:line="250" w:lineRule="auto"/>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Acquired loans that were recorded at fair value at acquisition date. This category does not include purchased impaired loans that are presented separately.</w:t>
      </w:r>
    </w:p>
    <w:p>
      <w:pPr>
        <w:ind w:left="460" w:hanging="452"/>
        <w:spacing w:after="0"/>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Accruing loans that were impaired at acquisition date and recorded at fair value.</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management when performing its assessment, in addition to general economic conditions and the other factors described above, included, but were not limited to:</w:t>
      </w:r>
    </w:p>
    <w:p>
      <w:pPr>
        <w:spacing w:after="0" w:line="50" w:lineRule="exact"/>
        <w:rPr>
          <w:sz w:val="20"/>
          <w:szCs w:val="20"/>
          <w:color w:val="auto"/>
        </w:rPr>
      </w:pPr>
    </w:p>
    <w:p>
      <w:pPr>
        <w:ind w:right="120" w:firstLine="8"/>
        <w:spacing w:after="0" w:line="252" w:lineRule="auto"/>
        <w:tabs>
          <w:tab w:leader="none" w:pos="2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cautiously and conservatively evaluated the allowance for credit losses as of June 30, 2013 in light of: (i) residential real estate values and the level of delinquencies of loans secured by residential real estate;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While there has been general improvement in economic conditions, concerns continue to exist about the strength of such improvement in both national and international markets; the level and volatility of energy prices; the slowly strengthening housing market; the troubled state of financial and credit markets; Federal Reserve positioning of monetary policy; high levels of unemployment; continued stagnant population growth in the upstate New York and central Pennsylvania regions (approximately 60% of the Company’s loans are to customers in New York State and Pennsylvania); and continued uncertainty about possible responses to state and local government budget deficits.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Reflecting more stable economic conditions in the regions served by the Company and continued workouts of problem credits, criticized commercial loans and commercial real estate loans improved to $2.1 billion at June 30, 2013 from $2.3 billion at March 31, 2013, $2.4 billion at December 31, 2012 and $2.5 billion at June 30, 2012.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June 30, 2013, approximately 54% of the Company’s home equity portfolio consisted of first lien loans and lines of credit. Of the remaining junior lien loans in the portfolio, approximately 76% (or approximately 35% of the aggregate home equity portfolio) consisted of junior lien loans and lines of credit that were behind a first lien mortgage loan that was not owned or serviced by the Company. As a result of ongoing efforts to obtain reliable updated information as to whether the related senior lien loans not owned by the Company are still outstanding, the Company reclassified approximately $897 million of home equity loans and lines of credit from junior lien to senior lien status in the second quarter of 2013. The Company was able to successfully determine that those loans and lines of credit that it had originated as junior lien loans were no longer in a subordinate lien position based on recent public lien records and credit bureau information. Those reclassified loans were predominantly performing in accordance with their contractual terms and the change in classification did not have a significant impact on the Company’s determination of the allowance for credit losses. To the extent known by the Company, if a senior lien loan would be on nonaccrual status because of payment delinquency, even if such senior lien loan was not owned by the Company, the junior lien loan or line that is owned by the Company is placed on nonaccrual status. At June 30, 2013 and March 31, 2013, the balances of junior lien loans and lines that were in nonaccrual status solely as a result of first lien loan performance were $28 million and $24 million, respectively, compared with $7 million at December 31, 2012 when such determination was based only on the status of related senior lien loans that were owned or serviced by the Company.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collateralizing the loan is charged-off at that time. In determining the amount of such charge-offs, if the Company does not know the precise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remaining first lien loans since the origination of the junior lien loan. Home equity line of credit terms vary but such lines are generally originated with an open draw period of ten years followed by an amortization period of up to twenty years. At June 30, 2013, approximately 96% of all outstanding balances of home equity lines of credit related to lines that were still in the draw period, the weighted-average remaining draw periods were approximately five years, and approximately 17% were making contractually allowed payments that do not include any repayment of principal.</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44"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46%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leases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Management believes that the allowance for credit losses at June 30, 2013 appropriately reflected credit losses inherent in the portfolio as of that date. The allowance for credit losses was $927 million, or 1.41% of total loans and leases at each of March 31 and June 30, 2013, compared with $917 million or 1.46% at June 30, 2012 and $926 million or 1.39% at December 31, 2012. The ratio of the allowance to total loans and leases at each respective date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96% at June 30, 2013, compared with 95% a year earlier, 91% at December 31, 2012 and 88% at March 31, 2013.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income totaled $509 million in the second quarter of 2013, compared with $392 million in the year-earlier quarter and $433 million in the first quarter of 2013. Reflected in those amounts were net gains on investment securities of $56 million in the recent quarter, compared with net losses of $17 million and $10 million in the second quarter of 2012 and initial 2013 quarter, respectively. During the second quarter of 2013, the Company sold privately issued MBS held in its available-for-sale portfolio having an amortized cost of approximately $1.0 billion, resulting in a net pre-tax loss of $46 million. The Company decided to sell the privately issued MBS in the recent quarter in order to improve its regulatory capital and liquidity position through reduced exposure to such relatively higher risk, less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liquid, securities in favor of lower risk, highly liquid, Ginnie Mae securities. The Company also realized a $103 million pre-tax gain from the sale of its holdings of Visa and MasterCard common stock that it had received at no cost as part of the restructuring of those companies several years earlier. Realized gains and losses from sales of investment securities were not significant in the three-month periods ended June 30, 2012 and March 31, 2013. Included in net securities gains and losses in the second quarter of 2012 and the initial 2013 quarter were other-than-temporary impairment charges of $16 million and $10 million, respectively. Those other-than-temporary impairment charges were predominantly related to a subset of the same privately issued MBS that were sold in the recent quarter and reflected the impact of lower real estate values and higher delinquencies on real estate loans underlying those impaired securities.</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Excluding gains and losses on bank investment securities (including other-than-temporary impairment losses) in all periods, other income totaled $452 million in the second quarter of 2013, compared with $408 million in the year-earlier quarter and $443 million in the first quarter of 2013. The most significant contributor to the rise in such income in the recent quarter as compared with the second quarter of 2012 was higher mortgage banking revenues.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Mortgage banking revenues were $91 million in the recently completed quarter, up from $70 million in the year-earlier quarter, but down slightly from $93 million in the first quarter of 2013.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$66 million in the recent quarter, compared with $47 million in the year-earlier period and $76 million in the initial quarter of 2013. The higher level of residential mortgage banking revenues in the recent quarter as compared with the second quarter of 2012 was due to increased volumes of loans originated for sale. Those higher volumes reflect increased refinancing activity by consumers in light of the low interest rate environment. Loans originated for sale include the impact of the Company’s involvement in the U.S. government’s Home Affordable Refinance Program (“HARP 2.0”), which allows homeowners to refinance their Fannie Mae or Freddie Mac mortgages when the value of their home has fallen such that they have little or no equity. The HARP 2.0 program was set to expire December 31, 2013, but was extended and will now be available to borrowers through December 31, 2015. As compared with 2013’s initial quarter, the recent quarter decline in residential mortgage banking revenues reflects lower volumes of loans originated for sale and narrower margins related to such loans.</w:t>
      </w:r>
    </w:p>
    <w:p>
      <w:pPr>
        <w:spacing w:after="0" w:line="12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New commitments to originate residential mortgage loans to be sold were approximately $1.8 billion in the recent quarter, compared with $856 million and $1.9 billion in the second quarter of 2012 and the first quarter of 2013, respectively. Included in those commitments to originate residential mortgage loans to be sold were HARP 2.0 commitments of $375 million, $492 million and $480 million during the quarters ended June 30, 2013, June 30, 2012 and March 31, 2013, respectively. Realized gains from sales of residential mortgage loans and loan servicing rights (net of the impact of costs associated with obligations to repurchase mortgage loans originated for sale) and recognized net unrealized gains and losses attributable to residential mortgage loans held for sale, commitments to originate loans for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sale and commitments to sell loans totaled to a gain of $40 million in the recently completed quarter, compared with gains of $20 million in the second quarter of 2012 and $50 million in the first quarter of 2013.</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were reduced by approximately $5 million during each of the three-month periods ended June 30, 2013 and March 31, 2013 and by approximately $10 million during the three months ended June 30, 2012 related to the actual or anticipated settlement of repurchase obligations.</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From July 2011 through August 2012, the Company originated the majority of residential real estate loans to be held in its loan portfolio, rather than selling such loans. The loans conform to Fannie Mae and Freddie Mac underwriting guidelines. Retaining those residential real estate loans offset the impact of the declining investment securities portfolio resulting from maturities and paydowns of residential MBS while providing high quality assets earning a reasonable yield. The decision to retain for portfolio the majority of such loans originated rather than selling them resulted in a reduction of residential mortgage banking revenues of approximately $22 million during the three-month period ended June 30, 2012.</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Loans originated for sale that are secured by residential real estate aggregated $809 million at June 30, 2013, $333 million at June 30, 2012 and $1.2 billion at December 31, 2012. In addition to those loans originated for sale, the Company intends to securitize approximately $1.0 billion of residential real estate loans into Ginnie Mae mortgage-backed securities during the third quarter of 2013. Commitments to sell residential mortgage loans and commitments to originate residential mortgage loans for sale at pre-determined rates were $2.6 billion and $896 million, respectively, at June 30, 2013, $825 million and $771 million, respectively, at June 30, 2012, and $2.3 billion and $1.6 billion, respectively, at December 31, 2012. Net recognized unrealized gains on residential mortgage loans held for sale, commitments to sell loans, and commitments to originate loans for sale were $45 million and $34 million at June 30, 2013 and 2012, respectively, and $83 million at December 31, 2012. Changes in such net unrealized gains are recorded in mortgage banking revenues and resulted in net decreases in revenues of $12 million in the recent quarter and $26 million in the initial quarter of 2013, and a net increase in revenues of $21 million in the second quarter of 2012.</w:t>
      </w:r>
    </w:p>
    <w:p>
      <w:pPr>
        <w:spacing w:after="0" w:line="12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Revenues from servicing residential mortgage loans for others were $23 million in the recent quarter, compared with $25 million and $24 million during the quarters ended June 30, 2012 and March 31, 2013, respectively. Included in such servicing revenues were amounts related to purchased servicing rights associated with small balance commercial mortgage loans, which totaled $4 million in each of the first and second quarters of 2013, compared with $5 million in the second quarter of 2012. Residential mortgage loans serviced for others totaled $35.9 billion at June 30, 2013, compared with $37.9 billion at June 30, 2012, $35.8 billion at March 31, 2013 and $35.9 billion at December 31, 2012, including the small balance commercial mortgage loans noted above of $3.6 billion at June 30, 2013, $4.2 billion at June 30, 2012, $3.7 billion at March 31, 2013 and $3.8 billion at December 31, 2012. Reflected in residential mortgage loans serviced for others were loans sub-serviced for others of $11.5 billion at June 30, 2013, $13.5 billion at June 30, 2012, $11.9 billion at March 31, 2013 and $12.5 billion at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December 31, 2012. Capitalized residential mortgage loan servicing assets, net of any applicable valuation allowance for possible impairment, totaled $118 million at June 30, 2013, compared with $124 million a year earlier, $111 million at March 31, 2013 and $108 million at December 31, 2012. The valuation allowance for possible impairment of residential mortgage servicing assets totaled approximately $3 million at the recent quarter-end, compared with $1 million at June 30, 2012, $4 million at March 31, 2013 and $5 million at December 31, 2012. Included in capitalized residential mortgage servicing assets were purchased servicing rights associated with the small balance commercial mortgage loans noted above of $5 million at June 30, 2013, $12 million at June 30, 2012, $7 million at March 31, 2013 and $8 million at December 31, 2012. In addition, reflected in residential mortgage loans sub-serviced for others were loans sub-serviced for affiliates of Bayview Lending Group LLC (“BLG”) of $10.4 billion, $12.3 billion, $10.9 billion and $11.4 billion at June 30, 2013, June 30,</w:t>
      </w:r>
    </w:p>
    <w:p>
      <w:pPr>
        <w:ind w:right="160"/>
        <w:spacing w:after="0" w:line="261" w:lineRule="auto"/>
        <w:rPr>
          <w:sz w:val="20"/>
          <w:szCs w:val="20"/>
          <w:color w:val="auto"/>
        </w:rPr>
      </w:pPr>
      <w:r>
        <w:rPr>
          <w:rFonts w:ascii="Arial" w:cs="Arial" w:eastAsia="Arial" w:hAnsi="Arial"/>
          <w:sz w:val="18"/>
          <w:szCs w:val="18"/>
          <w:color w:val="auto"/>
        </w:rPr>
        <w:t>2012, March 31, 2013 and December 31, 2012, respectively. Additional information about the Company’s relationship with BLG and its affiliates is provided in note 15 of Notes to Financial Statements.</w:t>
      </w:r>
    </w:p>
    <w:p>
      <w:pPr>
        <w:spacing w:after="0" w:line="13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Commercial mortgage banking revenues were $25 million in the second quarter of 2013, up from $23 million in the year-earlier period and $17 million in the first quarter of 2013. Included in such amounts were revenues from loan origination and sales activities of $18 million in the recent quarter, compared with $17 million and $10 million in the second quarter of 2012 and the initial 2013 quarter, respectively. Commercial mortgage loan servicing revenues were $7 million in each of the first and second quarters of 2013, compared with $6 million in 2012’s second quarter. Capitalized commercial mortgage servicing assets totaled $65 million and $54 million at June 30, 2013 and 2012, respectively, and $60 million at December 31, 2012. Commercial mortgage loans serviced for other investors totaled $11.2 billion, $9.8 billion and $10.6 billion at June 30, 2013, June 30, 2012 and December 31, 2012, respectively, and included $2.1 billion, $1.8 billion and $2.0 billion, respectively, of loan balances for which investors had recourse to the Company if such balances are ultimately uncollectible. Commitments to sell commercial mortgage loans and commitments to originate commercial mortgage loans for sale were $380 million and $247 million, respectively, at June 30, 2013, $244 million and $134 million, respectively, at June 30, 2012 and $340 million and $140 million, respectively, at December 31, 2012. Commercial mortgage loans held for sale at June 30, 2013 and 2012 were $133 million and $110 million, respectively, and totaled $200 million at December 31, 2012.</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Service charges on deposit accounts totaled $112 million in the second quarter of 2013, compared with $111 million in each of the second quarter of 2012 and the first quarter of 2013. Trust income includes fees related to two significant businesses. The Institutional Corporate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Many ICS clients are multinational corporations and institutions.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$125 million in the second quarter of 2013, compared with $122 million in each of the year-earlier quarter and the first quarter of 2013. Adversely impacting trust income in the second quarters of 2013 and 2012 and the initial 2013 quarter were $18 million, $15 million and $18 million, respectively, of fee waivers by the Company in order to provide for proprietary money-market mutual funds to pay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customers a yield on their investments in such funds. Total trust assets, which include assets under management and assets under administration, aggregated $249.7 billion at June 30, 2013, compared with $273.2 billion and $255.9 billion at June 30, 2012 and December 31, 2012, respectively. Trust assets under management were $61.5 billion at each of June 30, 2013 and December 31, 2012 and $59.5 billion at June 30, 2012. In addition to the asset amounts noted above, trust assets under management of affiliates totaled $16.2 billion at June 30, 2013, compared with $14.7 billion and $15.4 billion at June 30 and December 31, 2012, respectively. Furthermore, the Company’s proprietary mutual funds had assets of $12.7 billion, $12.2 billion and $13.9 billion at June 30, 2013, June 30, 2012 and December 31, 2012, respectively.</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$17 million in the recent quarter, compared with $16 million in each of the three-month periods ended June 30, 2012 and March 31, 2013. Gains from trading account and foreign exchange activity totaled $9 million during each of the first and second quarters of 2013 compared with $6 million in the second quarter of 2012.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During the second quarter of 2013, the Company recognized net gains on investment securities of $56 million, compared with net losses of $17 million and $10 million in the second quarter of 2012 and the first 2013 quarter, respectively. During the recent quarter, the Company sold its holdings of Visa Class B shares for a gain of approximately $90 million and its holdings of MasterCard Class B shares for a gain of $13 million. The shares of Visa and MasterCard were sold as a result of favorable market conditions and to enhance the Company’s capital and liquidity. In addition, the Company sold substantially all of its privately issued MBS held in the available-for-sale investment securities portfolio. In total, $1.0 billion of such securities were sold for a net loss of approximately $46 million. The MBS were sold to reduce the Company’s exposure to such relatively higher risk securities in favor of lower risk Ginnie Mae securities in response to changing regulatory capital and liquidity standards. The net losses in the second quarter of 2012 and the initial 2013 quarter were predominantly the result of other-than-temporary impairment of certain privately issued MBS. Each reporting period, the Company reviews its investment securities for other-than-temporary impairment. Additional information about other-than-temporary impairment losses is included herein under the heading “Capital.”</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M&amp;T’s share of the operating results of BLG in the recent quarter was a loss of $2 million, compared with losses of $7 million and $4 million in the second quarter of 2012 and the first quarter of 2013, respectively. The operating losses of BLG in the respective quarters resulted from disruptions in the residential and commercial real estate markets and reflected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resulting in BLG’s future recognition of debt extinguishment gains. The timing of such debt extinguishment is largely dependent upon the timing of loan workouts and collateral liquidations and, given ongoing loan loss provisioning, it is difficult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origination and securitization activities. To this point, BLG’s affiliates have largely reinvested their earnings to generate additional servicing and asset management activities, further contributing to the value of those affiliates. Information about the Company’s relationship with BLG and its affiliates is included in note 15 of Notes to Financial Statements.</w:t>
      </w:r>
    </w:p>
    <w:p>
      <w:pPr>
        <w:spacing w:after="0" w:line="11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Other revenues from operations totaled $100 million in the recent quarter, compared with $90 million in the second quarter of 2012 and $96 million in the first quarter of 2013. The increase in the recent quarter as compared with the two earlier quarters was due largely to higher income from bank owned life insurance. Included in other revenues from operations were the following significant components. Letter of credit and other credit-related fees totaled $31 million in the second quarter of 2013, $30 million in the second quarter of 2012 and $32 million in the first quarter of 2013. Tax-exempt income from bank owned life insurance, which includes increases in the cash surrender value of life insurance policies and benefits received, totaled $18 million in the second quarter of 2013, $12 million in the year-earlier quarter and $13 million in the first quarter of 2013. Revenues from merchant discount and credit card fees were $21 million, $19 million and $20 million in the three-month periods ended June 30, 2013, June 30, 2012 and March 31, 2013, respectively. Insurance-related sales commissions and other revenues totaled $10 million in the second quarter of 2013, $11 million in the year-earlier quarter and $13 million in the initial 2013 quarter.</w:t>
      </w:r>
    </w:p>
    <w:p>
      <w:pPr>
        <w:spacing w:after="0" w:line="1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Other income totaled $942 million in the first half of 2013, compared with $768 million in the year-earlier period. Gains and losses on bank investment securities (including other-than-temporary impairment losses) totaled to net gains of $47 million in 2013, compared with net losses of $28 million in 2012. Excluding gains and losses from bank investment securities, other income aggregated $895 million in the six-month period ended June 30, 2013 and $796 million in the corresponding 2012 period. The primary contributor to the rise in other income during the 2013 period was significantly higher mortgage banking revenues.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Mortgage banking revenues were $184 million for the first half of 2013, compared with $126 million in the year-earlier period. Residential mortgage banking revenues rose 65% to $141 million in the first six months of 2013 from $86 million in the first half of 2012. New commitments to originate residential mortgage loans to be sold were $3.7 billion and $1.3 billion during the first six months of 2013 and 2012, respectively. Realized gains from sales of residential mortgage loans and loan servicing rights (net of the impact of costs associated with obligations to repurchase mortgage loans originated for sale) and recognized unrealized gains and losses on residential mortgage loans held for sale, commitments to originate loans for sale and commitments to sell loans totaled to gains of $91 million and $31 million during the first six months of 2013 and 2012, respectively. Higher origination activity related to loans originated for sale contributed to the rise in such revenues. Residential mortgage banking revenues during the six-month periods ended June 30, 2013 and 2012 were reduced by $10 million and $14 million, respectively, related to actual or anticipated settlements of repurchase obligations. Revenues from servicing residential mortgage loans for others were $47 million and $52 million for the first half of 2013 and 2012, respectively. Included in such amounts were revenues related to purchased servicing rights associated with the previously noted small balance commercial mortgage loans of $9 million and $10 million for the first six months of 2013 and 2012, respectively. Commercial mortgage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banking revenues totaled $43 million and $40 million during the six-month periods ended June 30, 2013 and 2012, respectively. That improvement resulted largely from higher servicing revenues of $2 million.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Service charges on deposit accounts totaled $223 million and $220 million during the six-month periods ended June 30, 2013 and 2012, respectively. Trust income aggregated $246 million in the first half of 2013, up 3% from $239 million a year earlier. Brokerage services income rose 10% to $33 million during the first six months of 2013 from $30 million in the similar 2012 period. Trading account and foreign exchange activity resulted in gains of $18 million and $17 million for the six-month periods ended June 30, 2013 and 2012, respectively. M&amp;T’s investment in BLG resulted in losses of $6 million and $11 million for the six-month periods ended June 30, 2013 and 2012, respectively. Investment securities gains and losses totaled to net gains of $47 million for the first six months of 2013 and net losses of $28 million for the first half of 2012. Reflected in those amounts were other-than-temporary impairment losses of $10 million and $28 million during the first six months of 2013 and 2012, respectively.</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Other revenues from operations were $197 million in the first half of 2013 and $176 million in the corresponding 2012 period. Included in other revenues from operations during the six-month periods ended June 30, 2013 and 2012 were the following significant components: letter of credit and other credit-related fees of $63 million and $57 million, respectively; income from bank owned life insurance of $31 million and $24 million, respectively; merchant discount and credit card fees of $41 million and $37 million, respectively; and insurance-related sales commissions and other revenues of $23 million in each six-month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Other expense totaled $599 million in the second quarter of 2013, down 5% from $627 million in the year-earlier quarter and 6% below $636 million in the first quarter of 2013. Included in those amounts are expenses considered by management to be “nonoperating” in nature consisting of amortization of core deposit and other intangible assets of $13 million in each of the first and second quarters of 2013 and $16 million in the second quarter of 2012, and merger-related expenses of $8 million, $7 million and $5 million in the three-month periods ended June 30, 2013, June 30, 2012 and March 31, 2013, respectively. The merger-related expenses in the first two quarters of 2013 were incurred in connection with the pending Hudson City acquisition, while such expenses in the second quarter of 2012 were associated with the Wilmington Trust acquisition. Those expenses consisted largely of professional services and other temporary help fees associated with the conversion of systems and/or integration of operations; initial marketing and promotion expenses designed to introduce M&amp;T Bank to its new customers; travel costs; and printing, postage, supplies and other costs. Exclusive of these nonoperating expenses, noninterest operating expenses totaled $578 million in the recent quarter, compared with $604 million in the second quarter of 2012 and $618 million in the first quarter of 2013. The most significant factors for the lower level of such expenses in the recent quarter as compared with the year-earlier quarter was the reversal of a $26 million accrual for a contingent compensation obligation assumed in the May 2011 acquisition of Wilmington Trust that expired and was no longer payable and lower FDIC assessments, partially offset by higher costs for professional services. As compared with the first quarter of 2013, the recent quarter’s decline in noninterest operating expenses was due, in large part, to lower personnel costs, as the initial quarter of 2013 reflected seasonally higher stock-based compensation, unemployment insurance, payroll-related taxes and benefits costs, and the impact of the reversal of the accrual of the Wilmington Trust-related contingent compensation obligation, partially offset by higher costs for professional services and advertising and promotion.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Other expense for the first six months of 2013 aggregated $1.23 billion, down 3% from $1.27 billion in the similar period of 2012. Included in those amounts are expenses considered to be “nonoperating” in nature consisting of amortization of core deposit and other intangible assets of $26 million and $33 million in the six-month periods ended June 30, 2013 and 2012, respectively, and merger-related expenses of $12 million and $10 million in the first half of 2013 and 2012, respectively. Exclusive of these nonoperating expenses, noninterest operating expenses for the first half of 2013 decreased 2% to $1.20 billion from $1.22 billion in the first six months of 2012. The most significant factors contributing to that decrease were the reversal of the accrual of the Wilmington Trust-related contingent compensation obligation that expired and lower FDIC assessments, partially offset by higher salaries and employee benefits. Table 2 provides a reconciliation of other expense to noninterest operating expense.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Salaries and employee benefits expense totaled $323 million in the recent quarter, compared with $324 million in the second quarter of 2012 and $357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initial 2013 quarter. During the first six months of 2013 and 2012, salaries and employee benefits expense aggregated $680 million and $670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Such expense included stock-based compensation of $9 million, $12 million and $28 million during the quarters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June 30, 2012 and March 31, 2013, and $38 million and $35 million for the six-month periods ended June 30, 2013 and 2012, respectively. The higher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level in 2013’s initial quarter reflects the accelerated recognition of compensation costs for stock-based awards granted to retirement-eligible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that quarter. The number of full-time equivalent employees was 14,885 at June 30, 2013, 14,629 at June 30, 2012, 14,404 at December 31, 2012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14,576 at March 31, 2013.</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Excluding the nonoperating expense items described earlier from each period, nonpersonnel operating expenses were $256 million in the recent quarter, compared with $284 million in the second quarter of 2012 and $262 million in the first three months of 2013. On the same basis, such expenses were $517 million and $560 million during the first six months of 2013 and 2012, respectively. The decrease in nonpersonnel operating expenses in the recent quarter as compared with the second quarter of 2012 was predominantly due to the expiration of the Wilmington Trust-related contingency and lower FDIC assessments, partially offset by higher professional services expenses. The recent quarter decrease as compared with the initial quarter of 2013 reflects the impact of the reversal of the Wilmington Trust-related accrual, offset largely by higher costs for professional services and advertising and promotion. The decline in nonpersonnel operating expenses in the first half of 2013 as compared with the similar 2012 period was largely attributable to the impact of the Wilmington Trust-related accrual and lower FDIC assessments, partially offset by higher costs for professional services.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50.9% during the recent quarter, compared with 56.9% during the year-earlier quarter and 55.9% in the first quarter of 2013. The efficiency ratios for the six-month periods ended June 30, 2013 and 2012 were 53.4% and 58.9%,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provision for income taxes for the second quarter of 2013 was $182 million, compared with $119 million and $141 million in the year-earlier quarter and first quarter of 2013, respectively. The effective tax rates were 34.3%, 33.7% and 34.0% for the quarters ended June 30, 2013, June 30,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2012 and March 31, 2013, respectively. For the first six months of 2013 and 2012, the provision for income taxes totaled $323 million and $221 million, respectively, and the effective tax rates were 34.2% and 33.4%,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Shareholders’ equity was $10.7 billion at June 30, 2013, representing 12.88% of total assets, compared with $9.6 billion or 11.92% at June 30, 2012 and $10.2 billion or 12.29% at December 31, 2012. Included in shareholders’ equity was preferred stock with financial statement carrying values of $877 million at June 30, 2013, $868 million at June 30, 2012 and $873 million at December 31, 2012.</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August 2012, the U.S. Department of Treasury (“U.S. Treasury”) completed a public offering of its holding of M&amp;T Series A and Series C Preferred Stock, resulting in M&amp;T’s exit from the Troubled Asset Relief Program – Capital Purchase Program (“TARP”) of the U.S. Treasury. In conjunction with the U.S. Treasury’s public offering, M&amp;T modified certain of the terms of the Series A and Series C Preferred Stock related to the dividend rate on the preferred shares at the reset dates, which was originally set to change from 5% to 9% on November 15, 2013 for the Series C preferred shares and on February 15, 2014 for the Series A preferred shares. In each case, the dividend rate will now change to 6.375% on November 15, 2013. The other modification related to M&amp;T agreeing to not redeem the Series A and Series C preferred shares until on or after November 15, 2018, except that if an event occurs such that the shares no longer qualify as Tier 1 capital, M&amp;T may redeem all of the shares within 90 days following that occurrence. Those modifications were subsequently approved by M&amp;T’s common shareholders on April 16, 2013.</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Common shareholders’ equity was $9.8 billion, or $75.98 per share, at June 30, 2013, compared with $8.8 billion, or $69.15 per share at June 30, 2012 and $9.3 billion, or $72.73 per share at December 31, 2012. Tangible equity per common share, which excludes goodwill and core deposit and other intangible assets and applicable deferred tax balances, was $48.26 at June 30, 2013, compared with $40.52 a year earlier and $44.61 at December 31, 2012. The Company’s ratio of tangible common equity to tangible assets was 7.85% at June 30, 2013, compared with 6.65% and 7.20% at June 30, 2012 and December 31, 2012, respectively. Reconciliations of total common shareholders’ equity and tangible common equity and total assets and tangible assets as of each of those respective dates are presented in table 2.</w:t>
      </w:r>
    </w:p>
    <w:p>
      <w:pPr>
        <w:spacing w:after="0" w:line="14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pension and other postretirement plans. Net unrealized gains on investment securities, net of applicable tax effect, were $40 million, or $.31 per common share, at June 30, 2013, compared with net unrealized losses of $9 million, or $.07 per common share, at June 30, 2012 and net unrealized gains of $37 million, or $.29 per common share, at December 31, 2012. Such unrealized gains and losses include the 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 Information about unrealized gains and losses as of June 30, 2013 and December 31, 2012 is included in note 3 of Notes to Financial Statements.</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Reflected in net unrealized gains at June 30, 2013 were pre-tax effect unrealized losses of $24 million on available-for-sale investment securities with an amortized cost of $346 million and pre-tax effect unrealized gains of $123 million on securities with an amortized cost of $2.6 billion. The pre-tax effect unrealized losses reflect $21 million of losses on trust preferred securities issued by financial institutions having an amortized cost of $123 million and an estimated fair value of $102 million (generally considered Level 2 valuations). Further information concerning the Company’s valuations of available-for-sale investment securities is provided in note 12 of Notes to Financial Statements.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second quarter of 2013, the Company sold substantially all of its privately issued residential MBS that were classified as available-for-sale and recorded a pre-tax loss of $46 million. Those privately issued residential MBS previously held by the Company were generally collateralized by prime and Alt-A residential mortgage loans. The sales, which were in response to changing regulatory capital and liquidity standards, resulted in improved liquidity and regulatory capital ratios for the Company. Further information on the sales is provided in note 3 of Notes to Financial Statements.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Company assesses impairment losses on privately issued MBS in the held-to-maturity portfolio by performing internal modeling to estimate bond-specific cash flows that reflect the placement of the bond in the overall securitization structure and the remaining subordination levels. As a result, the Company did not recognize any other-than-temporary impairment charge related to MBS in the held-to-maturity portfolio during the second quarter of 2013. In total, at June 30, 2013 and December 31, 2012, the Company had in its held-to-maturity portfolio MBS with an amortized cost basis of $231 million and $242 million, respectively, and a fair value of $163 million and $148 million, respectively. At June 30, 2013, 92% of the MBS were in the most senior tranche of the securitization structure with 31% being independently rated as investment grade. The MBS had a weighted-average credit enhancement of 22% at June 30, 2013,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MBS in the held-to-maturity portfolio had a current payment status as of June 30, 2013.</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June 30, 2013, the Company also had pre-tax unrealized losses of $22 million on $135 million of trust preferred securities issued by financial institutions, securities backed by trust preferred securities, and other debt securities. Pre-tax unrealized losses of $28 million existed on $130 million of such securities at December 31, 2012. After evaluating the expected repayment performance of those bonds, the Company did not recognize any other-than-temporary impairment losses related to those securities during the quarter ended June 30, 2013.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second quarter of 2012 and first quarter of 2013 the Company recognized pre-tax other-than-temporary impairment losses related to privately issued MBS of $16 million and $10 million, respectively.</w:t>
      </w:r>
    </w:p>
    <w:p>
      <w:pPr>
        <w:spacing w:after="0" w:line="13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of June 30, 2013, based on a review of each of the remaining securities in the investment securities portfolio, the Company concluded that the declines in the values of any securities containing an unrealized loss were temporary and that any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Notes to Financial Statements.</w:t>
      </w:r>
    </w:p>
    <w:p>
      <w:pPr>
        <w:spacing w:after="0" w:line="12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$267 million or $2.06 per common share, at June 30, 2013, $268 million, or $2.12 per common share, at June 30, 2012 and $277 million or $2.16 per common share, at December 31, 2012.</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dividends declared on M&amp;T’s common stock totaled approximately $91 million in each of the two most recent quarters, compared with $89 million in the quarter ended June 30, 2012, and represented a quarterly dividend of $.70 per common share in each of those quarters. Common stock dividends during the six-month periods ended June 30, 2013 and 2012 were $182 million and $178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declared on preferred stock during each of 2013 and 2012 were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1"/>
              </w:rPr>
              <w:t>Year-</w:t>
            </w:r>
          </w:p>
        </w:tc>
      </w:tr>
      <w:tr>
        <w:trPr>
          <w:trHeight w:val="159"/>
        </w:trPr>
        <w:tc>
          <w:tcPr>
            <w:tcW w:w="7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6"/>
              <w:spacing w:after="0" w:line="159" w:lineRule="exact"/>
              <w:rPr>
                <w:sz w:val="20"/>
                <w:szCs w:val="20"/>
                <w:color w:val="auto"/>
              </w:rPr>
            </w:pPr>
            <w:r>
              <w:rPr>
                <w:rFonts w:ascii="Arial" w:cs="Arial" w:eastAsia="Arial" w:hAnsi="Arial"/>
                <w:sz w:val="14"/>
                <w:szCs w:val="14"/>
                <w:color w:val="auto"/>
                <w:w w:val="82"/>
              </w:rPr>
              <w:t>1st Qtr.</w:t>
            </w:r>
          </w:p>
        </w:tc>
        <w:tc>
          <w:tcPr>
            <w:tcW w:w="360" w:type="dxa"/>
            <w:vAlign w:val="bottom"/>
          </w:tcPr>
          <w:p>
            <w:pPr>
              <w:spacing w:after="0"/>
              <w:rPr>
                <w:sz w:val="13"/>
                <w:szCs w:val="13"/>
                <w:color w:val="auto"/>
              </w:rPr>
            </w:pPr>
          </w:p>
        </w:tc>
        <w:tc>
          <w:tcPr>
            <w:tcW w:w="9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2nd Qtr.</w:t>
            </w:r>
          </w:p>
        </w:tc>
        <w:tc>
          <w:tcPr>
            <w:tcW w:w="6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r>
      <w:tr>
        <w:trPr>
          <w:trHeight w:val="142"/>
        </w:trPr>
        <w:tc>
          <w:tcPr>
            <w:tcW w:w="7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Series 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1,894</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17,187</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13,363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13,362</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26,725</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2012 or the first half of 2013.</w:t>
      </w:r>
    </w:p>
    <w:p>
      <w:pPr>
        <w:spacing w:after="0" w:line="17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Federal regulators generally require banking institutions under the current Basel I rules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As of June 30, 2013, Tier 1 capital included trust preferred securities of $1.2 billion as described in note 5 of Notes to Financial Statements and total capital further included subordinated capital notes of $1.4 billion.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June 30, 2013 are presented in the accompanying table.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30, 2013</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4"/>
                <w:szCs w:val="14"/>
                <w:color w:val="auto"/>
              </w:rPr>
              <w:t>M&amp;T</w:t>
            </w:r>
          </w:p>
        </w:tc>
        <w:tc>
          <w:tcPr>
            <w:tcW w:w="1220" w:type="dxa"/>
            <w:vAlign w:val="bottom"/>
            <w:gridSpan w:val="2"/>
          </w:tcPr>
          <w:p>
            <w:pPr>
              <w:jc w:val="right"/>
              <w:ind w:right="820"/>
              <w:spacing w:after="0"/>
              <w:rPr>
                <w:sz w:val="20"/>
                <w:szCs w:val="20"/>
                <w:color w:val="auto"/>
              </w:rPr>
            </w:pPr>
            <w:r>
              <w:rPr>
                <w:rFonts w:ascii="Arial" w:cs="Arial" w:eastAsia="Arial" w:hAnsi="Arial"/>
                <w:sz w:val="14"/>
                <w:szCs w:val="14"/>
                <w:color w:val="auto"/>
              </w:rPr>
              <w:t>M&amp;T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Wilmington</w:t>
            </w:r>
          </w:p>
        </w:tc>
        <w:tc>
          <w:tcPr>
            <w:tcW w:w="0" w:type="dxa"/>
            <w:vAlign w:val="bottom"/>
          </w:tcPr>
          <w:p>
            <w:pPr>
              <w:spacing w:after="0"/>
              <w:rPr>
                <w:sz w:val="1"/>
                <w:szCs w:val="1"/>
                <w:color w:val="auto"/>
              </w:rPr>
            </w:pPr>
          </w:p>
        </w:tc>
      </w:tr>
      <w:tr>
        <w:trPr>
          <w:trHeight w:val="159"/>
        </w:trPr>
        <w:tc>
          <w:tcPr>
            <w:tcW w:w="5980" w:type="dxa"/>
            <w:vAlign w:val="bottom"/>
          </w:tcPr>
          <w:p>
            <w:pPr>
              <w:spacing w:after="0"/>
              <w:rPr>
                <w:sz w:val="13"/>
                <w:szCs w:val="13"/>
                <w:color w:val="auto"/>
              </w:rPr>
            </w:pPr>
          </w:p>
        </w:tc>
        <w:tc>
          <w:tcPr>
            <w:tcW w:w="154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w w:val="85"/>
              </w:rPr>
              <w:t>(Consolidated)</w:t>
            </w:r>
          </w:p>
        </w:tc>
        <w:tc>
          <w:tcPr>
            <w:tcW w:w="1220" w:type="dxa"/>
            <w:vAlign w:val="bottom"/>
            <w:gridSpan w:val="2"/>
          </w:tcPr>
          <w:p>
            <w:pPr>
              <w:jc w:val="right"/>
              <w:ind w:right="840"/>
              <w:spacing w:after="0" w:line="159" w:lineRule="exact"/>
              <w:rPr>
                <w:sz w:val="20"/>
                <w:szCs w:val="20"/>
                <w:color w:val="auto"/>
              </w:rPr>
            </w:pPr>
            <w:r>
              <w:rPr>
                <w:rFonts w:ascii="Arial" w:cs="Arial" w:eastAsia="Arial" w:hAnsi="Arial"/>
                <w:sz w:val="14"/>
                <w:szCs w:val="14"/>
                <w:color w:val="auto"/>
              </w:rPr>
              <w:t>Bank</w:t>
            </w: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9"/>
              </w:rPr>
              <w:t>Trust, N.A.</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11.31%</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capital</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14.47%</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12.62%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10.48%</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described herein under the heading “Recent Legislative and Regulatory Developments,” in July 2013 the Federal Reserve adopted a final rule that revises risk-based and leverage capital requirements for banking organizations, including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Net income earned by the Business Banking segment totaled $31 million in the recent quarter, representing an 18% decline from the $37 million recorded in the second quarter of 2012, and down 6% from $33 million earned in the three months ended March 31, 2013. The decline from the year-earlier quarter was largely attributable to the following factors: lower net interest income of $2 million, resulting from a 41 basis point narrowing of the net interest margin on deposits; a $2 million decrease in fees earned for providing deposit account services; and a $2 million increase in personnel costs. In comparison to the initial 2013 quarter, increases of $1 million in each of advertising expenses and the provision for credit losses were the most significant contributors to the decline in the recent quarter’s net income. The Business Banking segment’s net contribution totaled $63 million in the first half of 2013, 13% below the $72 million earned in the corresponding 2012 period. That unfavorable performance was attributable to lower net interest income of $9 million, a $2 million decrease in fees earned for providing deposit account services, and a $2 million increase in personnel costs. The decrease in net interest income resulted from a 43 basis point narrowing of the net interest margin on deposits.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Commercial Banking segment recorded net income of $87 million during the quarter ended June 30, 2013, 12% lower than $100 million earned in the year-earlier quarter and 19% below $107 million earned in the initial 2013 quarter. The recent quarter’s decline in net income as compared with 2012’s second quarter was primarily the result of a $24 million increase in the provision for credit losses, the result of increased charge-offs, partially offset by higher net interest income of $5 million. The higher charge-offs in the recent quarter were attributable to $30 million of loans charged-off for a relationship with a motor vehicle-related parts wholesaler. The higher net interest income was attributable to increases in average outstanding loan and deposit balances of $1.9 billion and $663 million, respectively, offset, in part, by a 27 basis point narrowing of the net interest margin on deposits. Compared with the initial 2013 quarter, the recent quarter’s decline in net income was the result of a $37 million increase in the provision for credit losses, partially offset by higher net interest income of $5 million. The higher provision for credit losses was predominantly related to the $30 million of charge-offs noted above. Factors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contributing to the increase in net interest income were an increase in average outstanding loan balances and a 5 basis point widening of the net interest margin on loans. Net income for this segment for the six-month periods ended June 30, 2013 and 2012 totaled $195 million and $203 million, respectively. The predominant contributor to the 4% decline in net income was a $28 million increase in the provision for credit losses, resulting from the charge-offs related to the motor vehicle-related parts wholesaler. This unfavorable factor was offset, in part, by a $14 million increase in net interest income that was attributable to higher average outstanding loan and deposit balances of $2.0 billion and $592 million, respectively, partially offset by a 21 basis point narrowing of the net interest margin on deposits.</w:t>
      </w:r>
    </w:p>
    <w:p>
      <w:pPr>
        <w:spacing w:after="0" w:line="144"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Commercial Real Estate segment contributed net income of $90 million during the three-month period ended June 30, 2013, compared with $80 million in the year-earlier quarter and $77 million in the first quarter of 2013. The 12% increase in net income as compared with 2012’s second quarter was largely due to an $18 million rise in net interest income, partially offset by $2 million increases in each of the provision for credit losses and personnel costs. The rise in net interest income resulted from an $850 million increase in average outstanding loan balances and a 32 basis point widening of the net interest margin on loans. Contributing to the improved recent quarter performance as compared with the first 2013 quarter was higher net interest income of $15 million, the result of a 28 basis point widening of the net interest margin on loans, and an $8 million increase in mortgage banking revenues, partially offset by higher personnel costs of $4 million. Net income recorded by the Commercial Real Estate segment totaled $166 million and $149 million for the first six months of 2013 and 2012, respectively. That 12% increase in net income was largely attributable to a $26 million rise in net interest income, resulting from a $785 million increase in average outstanding loan balances and a 23 basis point widening of the net interest margin on loans, partially offset by a $4 million increase in personnel costs.</w:t>
      </w:r>
    </w:p>
    <w:p>
      <w:pPr>
        <w:spacing w:after="0" w:line="10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Discretionary Portfolio segment incurred net losses of $8 million and $15 million in the recent quarter and second quarter of 2012, respectively, compared with net income of $2 million in the initial 2013 quarter. Included in this segment’s results were pre-tax other-than-temporary impairment charges (relating to certain privately issued MBS) of $16 million in the second quarter of 2012 and $10 million in the first quarter of 2013. Reflected in the second quarter 2013 results were net pre-tax losses of $46 million associated with the sale of approximately $1.0 billion of privately issued MBS that had been held in the available-for-sale investment securities portfolio. Excluding the impact of investment securities losses, this segment earned net income of $19 million and $8 million in the recent quarter and the initial 2013 quarter, respectively, compared with a net loss of $5 million in the year-earlier quarter. The recent quarter’s favorable performance as compared with the second quarter of 2012 was due to the following factors: an $11 million decrease in intersegment costs related to lower amounts of residential real estate loans being retained for portfolio rather than being sold; a $9 million decline in the provision for credit losses, the result of lower net charge-offs; a $6 million rise in bank owned life insurance revenues; and higher net interest income of $2 million resulting from a $1.3 billion increase in average outstanding loan balances, partially offset by a $2.0 billion decrease in average balances of investment securities and a 9 basis point narrowing of the net interest margin on that portfolio. On the same basis, the favorable performance in the second quarter of 2013 compared with the immediately preceding quarter reflects a $5 million increase in bank owned life insurance revenues and a $5 million decline in the provision for credit losses, the result of lower net charge-offs. The Discretionary Portfolio segment incurred net losses of $6 million for the first six months of 2013 and $23 million in the corresponding 2012 period. Adjusted to exclude the impact of securities losses in those periods, this segment earned net income of $27 million in the first half of 2013, compared with a net loss of $6 million 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first six months of 2012. The most significant contributing factors in that favorable performance include: a $17 million decrease in intersegment costs related to lower amounts of residential real estate loans being retained; a $14 million decline in the provision for credit losses; a $7 million increase in net interest income, due to a 9 basis point widening of the net interest margin; and a $7 million increase in bank owned life insurance revenues.</w:t>
      </w:r>
    </w:p>
    <w:p>
      <w:pPr>
        <w:spacing w:after="0" w:line="10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Net income from the Residential Mortgage Banking segment totaled $34 million in each of the recent quarter and the first quarter of 2013, compared with $26 million earned in the second quarter 2012. The most significant factors contributing to the recent quarter’s improvement as compared with the year-earlier quarter were a $20 million decline in the provision for credit losses that reflects a recent quarter recovery of a previously charged-off loan to a residential real estate builder and developer of $9 million, partially offset by an increase in personnel costs of $5 million. The recent quarter’s performance as compared with the first quarter of 2013 reflected a $10 million decrease in the provision for credit losses, the result of the noted recovery of a previously charged-off loan, largely offset by an $8 million decline in residential mortgage origination and sales revenues, reflecting decreased origination volumes and margins on loans originated for sale. Through June 30, net income for this segment was $69 million in 2013 and $50 million in 2012. The year-over-year increase in net income of 38% was attributable to the following factors: a $20 million decrease in the provision for credit losses that reflects the recent quarter recovery noted above; a $13 million rise in revenues from residential mortgage origination and sales activities; and a $10 million increase in net interest income, resulting from a $481 million increase in average outstanding loan balances and a 53 basis point widening of the net interest margin on loans. Those favorable factors were offset, in part, by a $13 million increase in personnel costs.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contribution from the Retail Banking segment totaled $52 million for each of the three-month periods ended June 30, 2013 and March 31, 2013, compared with $58 million for the quarter ended June 30, 2012. The 11% decline in the recent quarter’s net income as compared with the year-earlier quarter reflects a $22 million decrease in net interest income, partially offset by decreases in personnel costs and the provision for credit losses of $2 million each, combined with lower levels of other operating expenses. The decline in net interest income was predominantly due to a 36 basis point narrowing of the net interest margin on deposits offset, in part, by a $791 million rise in average outstanding deposit balances. Year-to-date net income for this segment totaled $104 million in 2013 and $107 million 2012. That decline was the result of a $40 million decrease in net interest income, reflecting a 32 basis point narrowing of the net interest margin on deposits offset, in part, by a $914 million rise in average outstanding deposit balances. The lower net interest income was largely offset by a $9 million decrease in the provision for credit losses, lower personnel and advertising costs of $6 million and $5 million, respectively, and lower levels of other operating expenses.</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activities of the Company. The various components of the “All Other” category resulted in net income totaling $63 million in the second quarter of 2013, compared with net losses of $53 million and $31 million for the quarters ended June 30, 2012 and March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31, 2013, respectively. The primary contributors to the favorable performance in the recent quarter as compared with the year-earlier period and the initial 2013 quarter were the realized gains on the sale of Visa and MasterCard common stock totaling $103 million and the reversal of the accrual for a contingent compensation obligation assumed in the May 2011 acquisition of Wilmington Trust in the amount of $26 million. Also contributing to the recent quarter’s results as compared with the second quarter of 2012 were the favorable impact from the Company’s allocation methodologies for internal transfers for funding charges and credits associated with the earning assets and interest-bearing liabilities of the Company’s reportable segments and the provision for credit losses, partially offset by increased professional services expense of $15 million. In addition to the items recorded in the second quarter of 2013 noted above, contributing to the favorable performance in comparison to the first quarter of 2013 was a $37 million decline in personnel costs, largely related to seasonally higher stock-based compensation, payroll-related taxes and employer contributions for retirement savings plan benefits related to incentive compensation payments and unemployment insurance recorded in the first quarter of 2013, partially offset by a recent quarter increase in professional services expense of $14 million. The “All Other” category earned net income of $32 million for the first six months of 2013, compared with a net loss of $118 million for the first six months of 2012. In addition to the gain on investment securities and the reversal of the contingent compensation obligation, the favorable performance in 2013 as compared with 2012 resulted largely from the favorable impact from the Company’s allocation methodologies for internal transfers for funding charges and credits associated with the earning assets and interest-bearing liabilities of the Company’s reportable segments and the provision for credit losses; a $17 million decrease in FDIC assessments; and higher trust revenues of $7 million. Those favorable factors were offset, in part, by a $17 million increase in professional services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July 2013, the Financial Accounting Standards Board (“FASB”) issued amended accounting guidance permitting the Overnight Index Swap Rate (also referred to as the Fed Funds Effective Swap Rate) to be used as a U.S. benchmark interest rate for hedge accounting purposes, in addition to the interest rate on direct Treasury obligations of the U.S. government and the London Interbank Offered Rate. The amendments also remove the restriction on using different benchmark rates for similar hedges. The guidance is effective prospectively for qualifying new or redesignated hedging relationships entered into on or after July 17, 2013.</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2012, the FASB issued amended accounting guidance relating to subsequent accounting for an indemnification asset recognized at the acquisition date as a result of a government-assisted acquisition of a financial institution. The amendment clarifies the existing subsequent measurement guidance for indemnification assets recognized as a result of a government-assisted acquisition of a financial institution that includes a loss-sharing agreement. Specifically, when an entity recognizes an indemnification asset as a result of a government-assisted acquisition of a financial institution and subsequently a change in the cash flows expected to be collected on the indemnification asset occurs (as a result of a change in cash flows expected to be collected on the assets subject to indemnification), the entity should account for the change in the measurement of the indemnification asset on the same basis as the change in the assets subject to indemnification. Any amortization of changes in value would be limited to the lesser of the contractual term of the indemnification agreement and the remaining life of the indemnified assets. The guidance is effective for fiscal years, and interim periods within those years, beginning on or after December 15, 2012. The guidance should be applied prospectively to any new indemnification assets recognized after the date of adoption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indemnification assets existing as of the date of adoption. The adoption of this guidance did not have a significant effect on the Company’s financial position or results of operations.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2011, the FASB issued amended disclosure guidance relating to offsetting assets and liabilities. The amendments require disclosure of gross and net information about instruments and transactions eligible for offset in the statement of financial position and instruments and transactions subject to an agreement similar to a master netting arrangement. The scope of this guidance includes derivatives, sale and repurchase agreements and reverse sale and repurchase agreements, and securities borrowing and securities lending arrangements. The guidance is effective for annual reporting periods beginning on or after January 1, 2013, and interim periods within those annual periods. The new required disclosures should be applied retrospectively for all comparable periods presented. The Company’s disclosures relating to offsetting assets and liabilities can be found in notes 5 and 10 of Notes to the Financial Statements.</w:t>
      </w:r>
    </w:p>
    <w:p>
      <w:pPr>
        <w:spacing w:after="0" w:line="12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The presentation guidance was effective for fiscal years, and interim periods within those years, beginning after December 15, 2011 and was to be applied retrospectively. The Company has complied with the new presentation guidance using separate but consecutive statements. In February 2013, the FASB again amended presentation guidance relating to comprehensive income to require disclosures of significant amounts reclassified out of accumulated other comprehensive income by component for reporting periods beginning after December 15, 2012. The Company’s disclosures relating to accumulated other comprehensive income can be found in note 9 of Notes to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0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- 100 -</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Table 1</w:t>
            </w:r>
          </w:p>
        </w:tc>
        <w:tc>
          <w:tcPr>
            <w:tcW w:w="0" w:type="dxa"/>
            <w:vAlign w:val="bottom"/>
          </w:tcPr>
          <w:p>
            <w:pPr>
              <w:spacing w:after="0"/>
              <w:rPr>
                <w:sz w:val="1"/>
                <w:szCs w:val="1"/>
                <w:color w:val="auto"/>
              </w:rPr>
            </w:pPr>
          </w:p>
        </w:tc>
      </w:tr>
      <w:tr>
        <w:trPr>
          <w:trHeight w:val="366"/>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QUARTERLY TRENDS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2013 Quarters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2012 Quarters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86"/>
              </w:rPr>
              <w:t>Second</w:t>
            </w:r>
          </w:p>
        </w:tc>
        <w:tc>
          <w:tcPr>
            <w:tcW w:w="48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Fourth</w:t>
            </w:r>
          </w:p>
        </w:tc>
        <w:tc>
          <w:tcPr>
            <w:tcW w:w="7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Third</w:t>
            </w:r>
          </w:p>
        </w:tc>
        <w:tc>
          <w:tcPr>
            <w:tcW w:w="7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Second</w:t>
            </w: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Earnings and dividends</w:t>
            </w:r>
          </w:p>
        </w:tc>
        <w:tc>
          <w:tcPr>
            <w:tcW w:w="10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i w:val="1"/>
                <w:iCs w:val="1"/>
                <w:color w:val="auto"/>
              </w:rPr>
              <w:t>Amounts in thousands, except per share</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(taxable-equivalent basis)</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756,424</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736,425</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751,860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751,385</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744,031</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720,800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72,620</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73,925</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77,931</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82,129</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89,403</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93,706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683,804</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662,500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673,929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669,256</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654,628</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627,094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Less: provision for credit losses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57,000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38,000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49,000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46,000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508,689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432,882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453,164</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445,733</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391,650</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376,723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Less: other expense</w:t>
            </w:r>
          </w:p>
        </w:tc>
        <w:tc>
          <w:tcPr>
            <w:tcW w:w="1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2"/>
              </w:rPr>
              <w:t>598,591</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635,596</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626,146</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616,027</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627,392</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639,695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536,902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421,786</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451,947</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452,962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358,886</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315,122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Applicable income taxes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182,219</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141,223</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149,247</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152,966</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118,861</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101,954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Taxable-equivalent adjustment</w:t>
            </w:r>
          </w:p>
        </w:tc>
        <w:tc>
          <w:tcPr>
            <w:tcW w:w="10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6,217</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6,450</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6,507</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6,534</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6,645</w:t>
            </w:r>
          </w:p>
        </w:tc>
        <w:tc>
          <w:tcPr>
            <w:tcW w:w="2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6,705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02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1020" w:type="dxa"/>
            <w:vAlign w:val="bottom"/>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348,466</w:t>
            </w:r>
          </w:p>
        </w:tc>
        <w:tc>
          <w:tcPr>
            <w:tcW w:w="260" w:type="dxa"/>
            <w:vAlign w:val="bottom"/>
          </w:tcPr>
          <w:p>
            <w:pPr>
              <w:spacing w:after="0"/>
              <w:rPr>
                <w:sz w:val="14"/>
                <w:szCs w:val="14"/>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0"/>
              </w:rPr>
              <w:t>274,113</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296,193</w:t>
            </w:r>
          </w:p>
        </w:tc>
        <w:tc>
          <w:tcPr>
            <w:tcW w:w="26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293,462</w:t>
            </w:r>
          </w:p>
        </w:tc>
        <w:tc>
          <w:tcPr>
            <w:tcW w:w="26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233,380</w:t>
            </w:r>
          </w:p>
        </w:tc>
        <w:tc>
          <w:tcPr>
            <w:tcW w:w="260" w:type="dxa"/>
            <w:vAlign w:val="bottom"/>
          </w:tcPr>
          <w:p>
            <w:pPr>
              <w:spacing w:after="0"/>
              <w:rPr>
                <w:sz w:val="14"/>
                <w:szCs w:val="14"/>
                <w:color w:val="auto"/>
              </w:rPr>
            </w:pPr>
          </w:p>
        </w:tc>
        <w:tc>
          <w:tcPr>
            <w:tcW w:w="6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4"/>
              </w:rPr>
              <w:t>206,463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available to common shareholders-diluted</w:t>
            </w:r>
          </w:p>
        </w:tc>
        <w:tc>
          <w:tcPr>
            <w:tcW w:w="10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328,557</w:t>
            </w:r>
          </w:p>
        </w:tc>
        <w:tc>
          <w:tcPr>
            <w:tcW w:w="2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255,096</w:t>
            </w:r>
          </w:p>
        </w:tc>
        <w:tc>
          <w:tcPr>
            <w:tcW w:w="2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276,605</w:t>
            </w:r>
          </w:p>
        </w:tc>
        <w:tc>
          <w:tcPr>
            <w:tcW w:w="2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273,896</w:t>
            </w:r>
          </w:p>
        </w:tc>
        <w:tc>
          <w:tcPr>
            <w:tcW w:w="2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214,716</w:t>
            </w:r>
          </w:p>
        </w:tc>
        <w:tc>
          <w:tcPr>
            <w:tcW w:w="2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188,241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Per common share data</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 earnings</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Diluted earnings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dividends</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Average common shares outstanding</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128,252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127,669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126,918</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125,819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125,488</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125,220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Diluted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129,017</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128,636</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127,800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126,292</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125,897</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125,616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Performance ratios, annualized</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Return on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Average assets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Average common shareholders’ equity</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13.78%</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11.10%</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12.10%</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12.40%</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10.12%</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 on average earning assets (taxable-equivalent basis)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3.71%</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3.71%</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Nonaccrual loans to total loans and leases, net of unearned discount</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1.46%</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operating (tangible) results (a)</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Net operating income (in thousands)</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360,734</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285,136</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304,657</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302,060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247,433</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218,360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net operating income per common share</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Annualized return on</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Average tangible assets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Average tangible common shareholders’ equity</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22.72%</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18.71%</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20.46%</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21.53%</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18.54%</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Efficiency ratio (b)</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50.92%</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55.88%</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53.63%</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53.73%</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56.86%</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61.09%</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 millions, except per share</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Arial" w:cs="Arial" w:eastAsia="Arial" w:hAnsi="Arial"/>
                <w:sz w:val="14"/>
                <w:szCs w:val="14"/>
                <w:color w:val="auto"/>
              </w:rPr>
              <w:t>Average balances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 (c)</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83,352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81,913</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81,366</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80,432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80,087</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Total tangible assets (c)</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79,760</w:t>
            </w:r>
          </w:p>
        </w:tc>
        <w:tc>
          <w:tcPr>
            <w:tcW w:w="2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78,311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77,755</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76,810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76,455</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Earning assets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73,960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72,339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71,679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70,662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70,450</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Investment securities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5,293</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5,803</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6,295</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6,811</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7,271</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65,979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65,852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65,011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63,455</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61,826</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Deposits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65,680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64,540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64,269</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62,743</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61,530</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shareholders’ equity (c)</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9,687</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9,448</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9,233</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8,668</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Tangible common shareholders’ equity (c)</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6,095</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5,846</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5,622</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5,297</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5,036</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At end of quarter</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Total assets (c)</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83,229</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82,812</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83,009</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81,085</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80,808</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tangible assets (c)</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79,641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79,215</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79,402</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77,469</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77,181</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Earning assets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73,927</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73,543</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72,859</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71,220</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71,065</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 securities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6,074</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6,624</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7,057</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65,972</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65,924</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66,571</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64,112</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62,851</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Deposits</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65,661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65,090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65,611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64,007</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62,549</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Common shareholders’ equity, net of undeclared cumulative preferred dividends (c)</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9,836</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9,545</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9,327</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9,071</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8,758</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Tangible common shareholders’ equity (c)</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6,248</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5,948</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5,455</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5,131</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Equity per common share</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75.98</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73.99</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72.73</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71.17</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69.15</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Tangible equity per common share</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48.26</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40.52</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38.89</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Market price per common share</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High</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112.01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105.33</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95.98</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88.00</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420"/>
              <w:spacing w:after="0" w:line="149" w:lineRule="exact"/>
              <w:rPr>
                <w:sz w:val="20"/>
                <w:szCs w:val="20"/>
                <w:color w:val="auto"/>
              </w:rPr>
            </w:pPr>
            <w:r>
              <w:rPr>
                <w:rFonts w:ascii="Arial" w:cs="Arial" w:eastAsia="Arial" w:hAnsi="Arial"/>
                <w:sz w:val="14"/>
                <w:szCs w:val="14"/>
                <w:color w:val="auto"/>
              </w:rPr>
              <w:t>Low</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95.68</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99.59</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95.02</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82.29</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76.92</w:t>
            </w:r>
          </w:p>
        </w:tc>
        <w:tc>
          <w:tcPr>
            <w:tcW w:w="2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Closing</w:t>
            </w: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111.75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103.16</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98.47</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95.16</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w:t>
            </w: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30"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ind w:left="340" w:hanging="332"/>
        <w:spacing w:after="0" w:line="221"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impact of merger-related gains and expenses and net securities transactions.</w:t>
      </w:r>
    </w:p>
    <w:p>
      <w:pPr>
        <w:ind w:left="340" w:right="40" w:hanging="332"/>
        <w:spacing w:after="0" w:line="230" w:lineRule="auto"/>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27" w:lineRule="exact"/>
        <w:rPr>
          <w:rFonts w:ascii="Arial" w:cs="Arial" w:eastAsia="Arial" w:hAnsi="Arial"/>
          <w:sz w:val="14"/>
          <w:szCs w:val="14"/>
          <w:i w:val="1"/>
          <w:iCs w:val="1"/>
          <w:color w:val="auto"/>
        </w:rPr>
      </w:pPr>
    </w:p>
    <w:p>
      <w:pPr>
        <w:ind w:left="5580" w:hanging="100"/>
        <w:spacing w:after="0"/>
        <w:tabs>
          <w:tab w:leader="none" w:pos="55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101 -</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Table 2</w:t>
            </w:r>
          </w:p>
        </w:tc>
        <w:tc>
          <w:tcPr>
            <w:tcW w:w="0" w:type="dxa"/>
            <w:vAlign w:val="bottom"/>
          </w:tcPr>
          <w:p>
            <w:pPr>
              <w:spacing w:after="0"/>
              <w:rPr>
                <w:sz w:val="1"/>
                <w:szCs w:val="1"/>
                <w:color w:val="auto"/>
              </w:rPr>
            </w:pPr>
          </w:p>
        </w:tc>
      </w:tr>
      <w:tr>
        <w:trPr>
          <w:trHeight w:val="378"/>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w w:val="99"/>
              </w:rPr>
              <w:t>RECONCILIATION OF QUARTERLY GAAP TO NON-GAAP MEASURES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2013 Quarters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2012 Quarters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2"/>
              </w:rPr>
              <w:t>Second</w:t>
            </w: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Fourth</w:t>
            </w:r>
          </w:p>
        </w:tc>
        <w:tc>
          <w:tcPr>
            <w:tcW w:w="9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Third</w:t>
            </w:r>
          </w:p>
        </w:tc>
        <w:tc>
          <w:tcPr>
            <w:tcW w:w="94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Second</w:t>
            </w: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348,466</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274,113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296,193</w:t>
            </w:r>
          </w:p>
        </w:tc>
        <w:tc>
          <w:tcPr>
            <w:tcW w:w="3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293,462</w:t>
            </w:r>
          </w:p>
        </w:tc>
        <w:tc>
          <w:tcPr>
            <w:tcW w:w="3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233,380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 (a)</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7,632</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8,148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8,464</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8,598</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9,709</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Merger-related expenses (a)</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4,636</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2,875</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4,344</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operating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360,734</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285,136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304,657</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302,060</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247,433</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218,360</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1.71</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Amortization of core deposit and other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(a)</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Merger-related expenses (a)</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.03</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 net operating earnings per common share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1.82</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expense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598,591</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635,596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626,146</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616,027</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627,392</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639,695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(12,502)</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(13,343)</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(13,865)</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(14,085)</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(15,907)</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(7,632)</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(4,732)</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(7,151)</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420"/>
              <w:spacing w:after="0"/>
              <w:rPr>
                <w:sz w:val="20"/>
                <w:szCs w:val="20"/>
                <w:color w:val="auto"/>
              </w:rPr>
            </w:pPr>
            <w:r>
              <w:rPr>
                <w:rFonts w:ascii="Arial" w:cs="Arial" w:eastAsia="Arial" w:hAnsi="Arial"/>
                <w:sz w:val="14"/>
                <w:szCs w:val="14"/>
                <w:color w:val="auto"/>
              </w:rPr>
              <w:t>Noninterest operating expense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578,457</w:t>
            </w:r>
          </w:p>
        </w:tc>
        <w:tc>
          <w:tcPr>
            <w:tcW w:w="34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617,521</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612,281</w:t>
            </w:r>
          </w:p>
        </w:tc>
        <w:tc>
          <w:tcPr>
            <w:tcW w:w="3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601,942</w:t>
            </w:r>
          </w:p>
        </w:tc>
        <w:tc>
          <w:tcPr>
            <w:tcW w:w="36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604,334</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620,193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Merger-related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536</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3,024</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Equipment and net occupancy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201</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998</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827</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costs of operations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5,845</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3,168</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4,127</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420"/>
              <w:spacing w:after="0"/>
              <w:rPr>
                <w:sz w:val="20"/>
                <w:szCs w:val="20"/>
                <w:color w:val="auto"/>
              </w:rPr>
            </w:pPr>
            <w:r>
              <w:rPr>
                <w:rFonts w:ascii="Arial" w:cs="Arial" w:eastAsia="Arial" w:hAnsi="Arial"/>
                <w:sz w:val="14"/>
                <w:szCs w:val="14"/>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7,632</w:t>
            </w:r>
          </w:p>
        </w:tc>
        <w:tc>
          <w:tcPr>
            <w:tcW w:w="34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4,732</w:t>
            </w:r>
          </w:p>
        </w:tc>
        <w:tc>
          <w:tcPr>
            <w:tcW w:w="9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7,151</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Efficiency ratio</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578,457</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617,521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612,281</w:t>
            </w:r>
          </w:p>
        </w:tc>
        <w:tc>
          <w:tcPr>
            <w:tcW w:w="3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601,942</w:t>
            </w:r>
          </w:p>
        </w:tc>
        <w:tc>
          <w:tcPr>
            <w:tcW w:w="3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604,334</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620,193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Taxable-equivalent net interest income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683,804</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662,500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673,929</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669,256</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654,628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627,094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508,689</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432,882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453,164</w:t>
            </w:r>
          </w:p>
        </w:tc>
        <w:tc>
          <w:tcPr>
            <w:tcW w:w="3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445,733</w:t>
            </w:r>
          </w:p>
        </w:tc>
        <w:tc>
          <w:tcPr>
            <w:tcW w:w="3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391,650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376,723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Gain (loss) on bank investment securities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56,457</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300"/>
              <w:spacing w:after="0" w:line="149" w:lineRule="exact"/>
              <w:rPr>
                <w:sz w:val="20"/>
                <w:szCs w:val="20"/>
                <w:color w:val="auto"/>
              </w:rPr>
            </w:pPr>
            <w:r>
              <w:rPr>
                <w:rFonts w:ascii="Arial" w:cs="Arial" w:eastAsia="Arial" w:hAnsi="Arial"/>
                <w:sz w:val="14"/>
                <w:szCs w:val="14"/>
                <w:color w:val="auto"/>
              </w:rPr>
              <w:t>Net OTTI losses recognized in earnings</w:t>
            </w: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(9,800)</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(14,491)</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(5,672)</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(16,173)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Denominator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1,136,036</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9"/>
              </w:rPr>
              <w:t>1,105,182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1,141,584</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1,120,289</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9"/>
              </w:rPr>
              <w:t>1,062,859</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1,015,258</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color w:val="auto"/>
              </w:rPr>
              <w:t>Efficiency ratio</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50.92%</w:t>
            </w: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55.88%</w:t>
            </w:r>
          </w:p>
        </w:tc>
        <w:tc>
          <w:tcPr>
            <w:tcW w:w="9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53.63%</w:t>
            </w: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53.73%</w:t>
            </w: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56.86%</w:t>
            </w: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data</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Average assets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83,352</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81,913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81,366</w:t>
            </w:r>
          </w:p>
        </w:tc>
        <w:tc>
          <w:tcPr>
            <w:tcW w:w="3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80,432</w:t>
            </w:r>
          </w:p>
        </w:tc>
        <w:tc>
          <w:tcPr>
            <w:tcW w:w="3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80,087</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(3,525)</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(3,525)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(109)</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(122)</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(136)</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(151)</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420"/>
              <w:spacing w:after="0"/>
              <w:rPr>
                <w:sz w:val="20"/>
                <w:szCs w:val="20"/>
                <w:color w:val="auto"/>
              </w:rPr>
            </w:pPr>
            <w:r>
              <w:rPr>
                <w:rFonts w:ascii="Arial" w:cs="Arial" w:eastAsia="Arial" w:hAnsi="Arial"/>
                <w:sz w:val="14"/>
                <w:szCs w:val="14"/>
                <w:color w:val="auto"/>
              </w:rPr>
              <w:t>Average tangible assets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79,760</w:t>
            </w:r>
          </w:p>
        </w:tc>
        <w:tc>
          <w:tcPr>
            <w:tcW w:w="34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78,311</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77,755</w:t>
            </w:r>
          </w:p>
        </w:tc>
        <w:tc>
          <w:tcPr>
            <w:tcW w:w="3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76,810</w:t>
            </w:r>
          </w:p>
        </w:tc>
        <w:tc>
          <w:tcPr>
            <w:tcW w:w="36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76,455</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Average common equity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Average total equity</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10,563</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10,322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10,105</w:t>
            </w:r>
          </w:p>
        </w:tc>
        <w:tc>
          <w:tcPr>
            <w:tcW w:w="3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9,789</w:t>
            </w:r>
          </w:p>
        </w:tc>
        <w:tc>
          <w:tcPr>
            <w:tcW w:w="3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9,536</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(876)</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(874)</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(872)</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(870)</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(868)</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420"/>
              <w:spacing w:after="0"/>
              <w:rPr>
                <w:sz w:val="20"/>
                <w:szCs w:val="20"/>
                <w:color w:val="auto"/>
              </w:rPr>
            </w:pPr>
            <w:r>
              <w:rPr>
                <w:rFonts w:ascii="Arial" w:cs="Arial" w:eastAsia="Arial" w:hAnsi="Arial"/>
                <w:sz w:val="14"/>
                <w:szCs w:val="14"/>
                <w:color w:val="auto"/>
              </w:rPr>
              <w:t>Average common equity</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9,687</w:t>
            </w:r>
          </w:p>
        </w:tc>
        <w:tc>
          <w:tcPr>
            <w:tcW w:w="34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9,448</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9,233</w:t>
            </w:r>
          </w:p>
        </w:tc>
        <w:tc>
          <w:tcPr>
            <w:tcW w:w="3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8,919</w:t>
            </w:r>
          </w:p>
        </w:tc>
        <w:tc>
          <w:tcPr>
            <w:tcW w:w="36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8,668</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8,510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(3,525)</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(3,525)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(109)</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(122)</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(136)</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(151)</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420"/>
              <w:spacing w:after="0"/>
              <w:rPr>
                <w:sz w:val="20"/>
                <w:szCs w:val="20"/>
                <w:color w:val="auto"/>
              </w:rPr>
            </w:pPr>
            <w:r>
              <w:rPr>
                <w:rFonts w:ascii="Arial" w:cs="Arial" w:eastAsia="Arial" w:hAnsi="Arial"/>
                <w:sz w:val="14"/>
                <w:szCs w:val="14"/>
                <w:color w:val="auto"/>
              </w:rPr>
              <w:t>Average tangible common equity</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6,095</w:t>
            </w:r>
          </w:p>
        </w:tc>
        <w:tc>
          <w:tcPr>
            <w:tcW w:w="34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5,846</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5,622</w:t>
            </w:r>
          </w:p>
        </w:tc>
        <w:tc>
          <w:tcPr>
            <w:tcW w:w="3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5,297</w:t>
            </w:r>
          </w:p>
        </w:tc>
        <w:tc>
          <w:tcPr>
            <w:tcW w:w="36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5,036</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At end of quarter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83,229</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82,812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83,009</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81,085</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80,808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(3,525)</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(3,525)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(102)</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(116)</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(129)</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3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3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36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41</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tangible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79,641</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79,215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79,402</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77,469</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77,181</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75,548</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common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equity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10,716</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10,423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10,203</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9,945</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9,630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(877)</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(875)</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(873)</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(870)</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(868)</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Undeclared dividends—cumulative preferred stock</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420"/>
              <w:spacing w:after="0"/>
              <w:rPr>
                <w:sz w:val="20"/>
                <w:szCs w:val="20"/>
                <w:color w:val="auto"/>
              </w:rPr>
            </w:pPr>
            <w:r>
              <w:rPr>
                <w:rFonts w:ascii="Arial" w:cs="Arial" w:eastAsia="Arial" w:hAnsi="Arial"/>
                <w:sz w:val="14"/>
                <w:szCs w:val="14"/>
                <w:color w:val="auto"/>
              </w:rPr>
              <w:t>Common equity, net of undeclared cumulative preferred dividends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9,836</w:t>
            </w:r>
          </w:p>
        </w:tc>
        <w:tc>
          <w:tcPr>
            <w:tcW w:w="34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9,545</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9,327</w:t>
            </w:r>
          </w:p>
        </w:tc>
        <w:tc>
          <w:tcPr>
            <w:tcW w:w="3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9,071</w:t>
            </w:r>
          </w:p>
        </w:tc>
        <w:tc>
          <w:tcPr>
            <w:tcW w:w="36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8,758</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(3,525)</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(3,525)</w:t>
            </w: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(3,525)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(102)</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(116)</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(129)</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420"/>
              <w:spacing w:after="0"/>
              <w:rPr>
                <w:sz w:val="20"/>
                <w:szCs w:val="20"/>
                <w:color w:val="auto"/>
              </w:rPr>
            </w:pPr>
            <w:r>
              <w:rPr>
                <w:rFonts w:ascii="Arial" w:cs="Arial" w:eastAsia="Arial" w:hAnsi="Arial"/>
                <w:sz w:val="14"/>
                <w:szCs w:val="14"/>
                <w:color w:val="auto"/>
              </w:rPr>
              <w:t>Total tangible common equity</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6,248</w:t>
            </w:r>
          </w:p>
        </w:tc>
        <w:tc>
          <w:tcPr>
            <w:tcW w:w="34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5,948</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5,720</w:t>
            </w:r>
          </w:p>
        </w:tc>
        <w:tc>
          <w:tcPr>
            <w:tcW w:w="3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5,455</w:t>
            </w:r>
          </w:p>
        </w:tc>
        <w:tc>
          <w:tcPr>
            <w:tcW w:w="36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5,131</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i w:val="1"/>
          <w:iCs w:val="1"/>
          <w:color w:val="auto"/>
        </w:rPr>
        <w:t>(a)</w:t>
        <w:tab/>
        <w:t>After any related tax effect.</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- 102 -</w:t>
      </w:r>
    </w:p>
    <w:p>
      <w:pPr>
        <w:sectPr>
          <w:pgSz w:w="11900" w:h="16838" w:orient="portrait"/>
          <w:cols w:equalWidth="0" w:num="1">
            <w:col w:w="1142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Table 3</w:t>
            </w:r>
          </w:p>
        </w:tc>
        <w:tc>
          <w:tcPr>
            <w:tcW w:w="0" w:type="dxa"/>
            <w:vAlign w:val="bottom"/>
          </w:tcPr>
          <w:p>
            <w:pPr>
              <w:spacing w:after="0"/>
              <w:rPr>
                <w:sz w:val="1"/>
                <w:szCs w:val="1"/>
                <w:color w:val="auto"/>
              </w:rPr>
            </w:pPr>
          </w:p>
        </w:tc>
      </w:tr>
      <w:tr>
        <w:trPr>
          <w:trHeight w:val="378"/>
        </w:trPr>
        <w:tc>
          <w:tcPr>
            <w:tcW w:w="7060" w:type="dxa"/>
            <w:vAlign w:val="bottom"/>
            <w:gridSpan w:val="11"/>
          </w:tcPr>
          <w:p>
            <w:pPr>
              <w:spacing w:after="0"/>
              <w:rPr>
                <w:sz w:val="20"/>
                <w:szCs w:val="20"/>
                <w:color w:val="auto"/>
              </w:rPr>
            </w:pPr>
            <w:r>
              <w:rPr>
                <w:rFonts w:ascii="Arial" w:cs="Arial" w:eastAsia="Arial" w:hAnsi="Arial"/>
                <w:sz w:val="18"/>
                <w:szCs w:val="18"/>
                <w:b w:val="1"/>
                <w:bCs w:val="1"/>
                <w:color w:val="auto"/>
              </w:rPr>
              <w:t>AVERAGE BALANCE SHEETS AND ANNUALIZED TAXABLE-EQUIVALENT RATES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2013 Second Quarter</w:t>
            </w:r>
          </w:p>
        </w:tc>
        <w:tc>
          <w:tcPr>
            <w:tcW w:w="22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2013 First Quarter</w:t>
            </w:r>
          </w:p>
        </w:tc>
        <w:tc>
          <w:tcPr>
            <w:tcW w:w="210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2012 Fourth Quarter</w:t>
            </w:r>
          </w:p>
        </w:tc>
        <w:tc>
          <w:tcPr>
            <w:tcW w:w="0" w:type="dxa"/>
            <w:vAlign w:val="bottom"/>
          </w:tcPr>
          <w:p>
            <w:pPr>
              <w:spacing w:after="0"/>
              <w:rPr>
                <w:sz w:val="1"/>
                <w:szCs w:val="1"/>
                <w:color w:val="auto"/>
              </w:rPr>
            </w:pPr>
          </w:p>
        </w:tc>
      </w:tr>
      <w:tr>
        <w:trPr>
          <w:trHeight w:val="129"/>
        </w:trPr>
        <w:tc>
          <w:tcPr>
            <w:tcW w:w="39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860" w:type="dxa"/>
            <w:vAlign w:val="bottom"/>
          </w:tcPr>
          <w:p>
            <w:pPr>
              <w:spacing w:after="0"/>
              <w:rPr>
                <w:sz w:val="11"/>
                <w:szCs w:val="11"/>
                <w:color w:val="auto"/>
              </w:rPr>
            </w:pPr>
          </w:p>
        </w:tc>
        <w:tc>
          <w:tcPr>
            <w:tcW w:w="7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Average</w:t>
            </w: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79"/>
              </w:rPr>
              <w:t>Average</w:t>
            </w: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3"/>
              </w:rPr>
              <w:t>Average</w:t>
            </w: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0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Balance</w:t>
            </w: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0"/>
              </w:rPr>
              <w:t>Interest</w:t>
            </w:r>
          </w:p>
        </w:tc>
        <w:tc>
          <w:tcPr>
            <w:tcW w:w="80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Rate</w:t>
            </w:r>
          </w:p>
        </w:tc>
        <w:tc>
          <w:tcPr>
            <w:tcW w:w="7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1"/>
              </w:rPr>
              <w:t>Balance</w:t>
            </w:r>
          </w:p>
        </w:tc>
        <w:tc>
          <w:tcPr>
            <w:tcW w:w="5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4"/>
                <w:szCs w:val="14"/>
                <w:color w:val="auto"/>
              </w:rPr>
            </w:pPr>
          </w:p>
        </w:tc>
        <w:tc>
          <w:tcPr>
            <w:tcW w:w="80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Rate</w:t>
            </w:r>
          </w:p>
        </w:tc>
        <w:tc>
          <w:tcPr>
            <w:tcW w:w="7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5"/>
              </w:rPr>
              <w:t>Balance</w:t>
            </w:r>
          </w:p>
        </w:tc>
        <w:tc>
          <w:tcPr>
            <w:tcW w:w="60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6"/>
              </w:rPr>
              <w:t>Interest</w:t>
            </w:r>
          </w:p>
        </w:tc>
        <w:tc>
          <w:tcPr>
            <w:tcW w:w="140" w:type="dxa"/>
            <w:vAlign w:val="bottom"/>
          </w:tcPr>
          <w:p>
            <w:pPr>
              <w:spacing w:after="0"/>
              <w:rPr>
                <w:sz w:val="14"/>
                <w:szCs w:val="14"/>
                <w:color w:val="auto"/>
              </w:rPr>
            </w:pPr>
          </w:p>
        </w:tc>
        <w:tc>
          <w:tcPr>
            <w:tcW w:w="62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Assets</w:t>
            </w:r>
          </w:p>
        </w:tc>
        <w:tc>
          <w:tcPr>
            <w:tcW w:w="9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Earning assets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Commercial, financial, etc.</w:t>
            </w:r>
          </w:p>
        </w:tc>
        <w:tc>
          <w:tcPr>
            <w:tcW w:w="9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17,713</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2"/>
              </w:rPr>
              <w:t>$159,639</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17,328</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156,204</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3.66%</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16,995</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157,414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Real estate—commercial</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26,051</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311,111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25,915</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285,886</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4.41</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25,332</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291,267</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 estate—consumer</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10,806</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109,356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4.05</w:t>
            </w:r>
          </w:p>
        </w:tc>
        <w:tc>
          <w:tcPr>
            <w:tcW w:w="3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11,142</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113,939</w:t>
            </w: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4.09</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11,087</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113,698</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Consumer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11,409</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130,418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11,467</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131,811</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4.66</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11,597</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136,615</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loans and leases, net</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65,979</w:t>
            </w:r>
          </w:p>
        </w:tc>
        <w:tc>
          <w:tcPr>
            <w:tcW w:w="26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4"/>
              </w:rPr>
              <w:t>710,524</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4.32</w:t>
            </w:r>
          </w:p>
        </w:tc>
        <w:tc>
          <w:tcPr>
            <w:tcW w:w="3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65,852</w:t>
            </w:r>
          </w:p>
        </w:tc>
        <w:tc>
          <w:tcPr>
            <w:tcW w:w="2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687,840</w:t>
            </w:r>
          </w:p>
        </w:tc>
        <w:tc>
          <w:tcPr>
            <w:tcW w:w="1040" w:type="dxa"/>
            <w:vAlign w:val="bottom"/>
            <w:gridSpan w:val="3"/>
          </w:tcPr>
          <w:p>
            <w:pPr>
              <w:jc w:val="right"/>
              <w:ind w:right="320"/>
              <w:spacing w:after="0" w:line="155" w:lineRule="exact"/>
              <w:rPr>
                <w:sz w:val="20"/>
                <w:szCs w:val="20"/>
                <w:color w:val="auto"/>
              </w:rPr>
            </w:pPr>
            <w:r>
              <w:rPr>
                <w:rFonts w:ascii="Arial" w:cs="Arial" w:eastAsia="Arial" w:hAnsi="Arial"/>
                <w:sz w:val="14"/>
                <w:szCs w:val="14"/>
                <w:color w:val="auto"/>
              </w:rPr>
              <w:t>4.24</w:t>
            </w: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65,011</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698,994</w:t>
            </w:r>
          </w:p>
        </w:tc>
        <w:tc>
          <w:tcPr>
            <w:tcW w:w="76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 at banks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2,403</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1,455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273</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Federal funds sold and agreements to resell securities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199</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.13</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86</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3.60</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351</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Investment securities**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U.S. Treasury and federal agencies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3,522</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28,454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28,869</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3.23</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4,042</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32,265</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197</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2,530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5.14</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2,573</w:t>
            </w: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5.21</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210</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2,695</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13,106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16,168</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3.31</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2,043</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17,449</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investment securities</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5,293</w:t>
            </w:r>
          </w:p>
        </w:tc>
        <w:tc>
          <w:tcPr>
            <w:tcW w:w="26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44,090</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3.34</w:t>
            </w:r>
          </w:p>
        </w:tc>
        <w:tc>
          <w:tcPr>
            <w:tcW w:w="3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5,803</w:t>
            </w:r>
          </w:p>
        </w:tc>
        <w:tc>
          <w:tcPr>
            <w:tcW w:w="2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47,610</w:t>
            </w:r>
          </w:p>
        </w:tc>
        <w:tc>
          <w:tcPr>
            <w:tcW w:w="1040" w:type="dxa"/>
            <w:vAlign w:val="bottom"/>
            <w:gridSpan w:val="3"/>
          </w:tcPr>
          <w:p>
            <w:pPr>
              <w:jc w:val="right"/>
              <w:ind w:right="320"/>
              <w:spacing w:after="0" w:line="155" w:lineRule="exact"/>
              <w:rPr>
                <w:sz w:val="20"/>
                <w:szCs w:val="20"/>
                <w:color w:val="auto"/>
              </w:rPr>
            </w:pPr>
            <w:r>
              <w:rPr>
                <w:rFonts w:ascii="Arial" w:cs="Arial" w:eastAsia="Arial" w:hAnsi="Arial"/>
                <w:sz w:val="14"/>
                <w:szCs w:val="14"/>
                <w:color w:val="auto"/>
              </w:rPr>
              <w:t>3.33</w:t>
            </w: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6,295</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52,409</w:t>
            </w:r>
          </w:p>
        </w:tc>
        <w:tc>
          <w:tcPr>
            <w:tcW w:w="76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earning assets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73,960</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756,424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72,339</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736,425</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4.13</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71,679</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751,860</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Allowance for credit losses</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(937)</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(932)</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(931)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1,326</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1,460</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8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9,003</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9,103</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9,158</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9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83,352</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81,913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81,366</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deposits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NOW accounts</w:t>
            </w:r>
          </w:p>
        </w:tc>
        <w:tc>
          <w:tcPr>
            <w:tcW w:w="9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941</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881</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309</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Savings deposits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36,459</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13,790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35,394</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14,037</w:t>
            </w: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34,587</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16,378</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Time deposits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4,210</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7,484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4,438</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8,196</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4,727</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9,396</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Deposits at Cayman Islands office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2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859</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10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.18</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763</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349</w:t>
            </w: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interest-bearing deposits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41,936</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21,795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41,584</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22,943</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40,958</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26,432</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Short-term borrowings</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343</w:t>
            </w:r>
          </w:p>
        </w:tc>
        <w:tc>
          <w:tcPr>
            <w:tcW w:w="26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96</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.11</w:t>
            </w:r>
          </w:p>
        </w:tc>
        <w:tc>
          <w:tcPr>
            <w:tcW w:w="32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637</w:t>
            </w:r>
          </w:p>
        </w:tc>
        <w:tc>
          <w:tcPr>
            <w:tcW w:w="2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231</w:t>
            </w:r>
          </w:p>
        </w:tc>
        <w:tc>
          <w:tcPr>
            <w:tcW w:w="1040" w:type="dxa"/>
            <w:vAlign w:val="bottom"/>
            <w:gridSpan w:val="3"/>
          </w:tcPr>
          <w:p>
            <w:pPr>
              <w:jc w:val="right"/>
              <w:ind w:right="320"/>
              <w:spacing w:after="0" w:line="155" w:lineRule="exact"/>
              <w:rPr>
                <w:sz w:val="20"/>
                <w:szCs w:val="20"/>
                <w:color w:val="auto"/>
              </w:rPr>
            </w:pPr>
            <w:r>
              <w:rPr>
                <w:rFonts w:ascii="Arial" w:cs="Arial" w:eastAsia="Arial" w:hAnsi="Arial"/>
                <w:sz w:val="14"/>
                <w:szCs w:val="14"/>
                <w:color w:val="auto"/>
              </w:rPr>
              <w:t>.15</w:t>
            </w: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677</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270</w:t>
            </w:r>
          </w:p>
        </w:tc>
        <w:tc>
          <w:tcPr>
            <w:tcW w:w="76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50,729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4,688</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50,751</w:t>
            </w:r>
          </w:p>
        </w:tc>
        <w:tc>
          <w:tcPr>
            <w:tcW w:w="10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4.39</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4,510</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51,229</w:t>
            </w: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Total interest-bearing liabilities</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47,330</w:t>
            </w:r>
          </w:p>
        </w:tc>
        <w:tc>
          <w:tcPr>
            <w:tcW w:w="260" w:type="dxa"/>
            <w:vAlign w:val="bottom"/>
          </w:tcPr>
          <w:p>
            <w:pPr>
              <w:spacing w:after="0"/>
              <w:rPr>
                <w:sz w:val="14"/>
                <w:szCs w:val="14"/>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72,620</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.62</w:t>
            </w:r>
          </w:p>
        </w:tc>
        <w:tc>
          <w:tcPr>
            <w:tcW w:w="32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46,909</w:t>
            </w:r>
          </w:p>
        </w:tc>
        <w:tc>
          <w:tcPr>
            <w:tcW w:w="240" w:type="dxa"/>
            <w:vAlign w:val="bottom"/>
          </w:tcPr>
          <w:p>
            <w:pPr>
              <w:spacing w:after="0"/>
              <w:rPr>
                <w:sz w:val="14"/>
                <w:szCs w:val="14"/>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73,925</w:t>
            </w:r>
          </w:p>
        </w:tc>
        <w:tc>
          <w:tcPr>
            <w:tcW w:w="1040" w:type="dxa"/>
            <w:vAlign w:val="bottom"/>
            <w:gridSpan w:val="3"/>
          </w:tcPr>
          <w:p>
            <w:pPr>
              <w:jc w:val="right"/>
              <w:ind w:right="320"/>
              <w:spacing w:after="0" w:line="155" w:lineRule="exact"/>
              <w:rPr>
                <w:sz w:val="20"/>
                <w:szCs w:val="20"/>
                <w:color w:val="auto"/>
              </w:rPr>
            </w:pPr>
            <w:r>
              <w:rPr>
                <w:rFonts w:ascii="Arial" w:cs="Arial" w:eastAsia="Arial" w:hAnsi="Arial"/>
                <w:sz w:val="14"/>
                <w:szCs w:val="14"/>
                <w:color w:val="auto"/>
              </w:rPr>
              <w:t>.64</w:t>
            </w: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46,145</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77,931</w:t>
            </w:r>
          </w:p>
        </w:tc>
        <w:tc>
          <w:tcPr>
            <w:tcW w:w="76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Noninterest-bearing deposits</w:t>
            </w:r>
          </w:p>
        </w:tc>
        <w:tc>
          <w:tcPr>
            <w:tcW w:w="8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23,744</w:t>
            </w:r>
          </w:p>
        </w:tc>
        <w:tc>
          <w:tcPr>
            <w:tcW w:w="2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22,956</w:t>
            </w:r>
          </w:p>
        </w:tc>
        <w:tc>
          <w:tcPr>
            <w:tcW w:w="24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23,311</w:t>
            </w:r>
          </w:p>
        </w:tc>
        <w:tc>
          <w:tcPr>
            <w:tcW w:w="2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8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1,715</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1,726</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8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72,789</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71,591</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71,261</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00" w:type="dxa"/>
            <w:vAlign w:val="bottom"/>
            <w:gridSpan w:val="3"/>
          </w:tcPr>
          <w:p>
            <w:pPr>
              <w:spacing w:after="0" w:line="155" w:lineRule="exact"/>
              <w:rPr>
                <w:sz w:val="20"/>
                <w:szCs w:val="20"/>
                <w:color w:val="auto"/>
              </w:rPr>
            </w:pPr>
            <w:r>
              <w:rPr>
                <w:rFonts w:ascii="Arial" w:cs="Arial" w:eastAsia="Arial" w:hAnsi="Arial"/>
                <w:sz w:val="14"/>
                <w:szCs w:val="14"/>
                <w:color w:val="auto"/>
              </w:rPr>
              <w:t>Shareholders’ equity</w:t>
            </w: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10,563</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10,322</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10,105</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9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83,352</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81,913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81,366</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Net interest spread</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3.48</w:t>
            </w: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rPr>
              <w:t>3.49</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line="20" w:lineRule="exact"/>
              <w:rPr>
                <w:sz w:val="1"/>
                <w:szCs w:val="1"/>
                <w:color w:val="auto"/>
              </w:rPr>
            </w:pPr>
          </w:p>
        </w:tc>
      </w:tr>
      <w:tr>
        <w:trPr>
          <w:trHeight w:val="143"/>
        </w:trPr>
        <w:tc>
          <w:tcPr>
            <w:tcW w:w="390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 of interest-free funds</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Net interest income/margin on earning assets</w:t>
            </w: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683,804</w:t>
            </w: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3.71%</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662,500</w:t>
            </w:r>
          </w:p>
        </w:tc>
        <w:tc>
          <w:tcPr>
            <w:tcW w:w="104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3.71%</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673,929</w:t>
            </w:r>
          </w:p>
        </w:tc>
        <w:tc>
          <w:tcPr>
            <w:tcW w:w="76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(continued)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nonaccrual loans.</w:t>
      </w: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available for sale securities at amortized cost.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Table 3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 SHEETS AND ANNUALIZED TAXABLE-EQUIVALENT RATES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2012 Third Quarter</w:t>
            </w:r>
          </w:p>
        </w:tc>
        <w:tc>
          <w:tcPr>
            <w:tcW w:w="21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2012 Second Quarter</w:t>
            </w:r>
          </w:p>
        </w:tc>
        <w:tc>
          <w:tcPr>
            <w:tcW w:w="0" w:type="dxa"/>
            <w:vAlign w:val="bottom"/>
          </w:tcPr>
          <w:p>
            <w:pPr>
              <w:spacing w:after="0"/>
              <w:rPr>
                <w:sz w:val="1"/>
                <w:szCs w:val="1"/>
                <w:color w:val="auto"/>
              </w:rPr>
            </w:pPr>
          </w:p>
        </w:tc>
      </w:tr>
      <w:tr>
        <w:trPr>
          <w:trHeight w:val="129"/>
        </w:trPr>
        <w:tc>
          <w:tcPr>
            <w:tcW w:w="69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Average</w:t>
            </w: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3"/>
              </w:rPr>
              <w:t>Average</w:t>
            </w: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920" w:type="dxa"/>
            <w:vAlign w:val="bottom"/>
            <w:gridSpan w:val="3"/>
            <w:vMerge w:val="continue"/>
          </w:tcPr>
          <w:p>
            <w:pPr>
              <w:spacing w:after="0"/>
              <w:rPr>
                <w:sz w:val="14"/>
                <w:szCs w:val="14"/>
                <w:color w:val="auto"/>
              </w:rPr>
            </w:pPr>
          </w:p>
        </w:tc>
        <w:tc>
          <w:tcPr>
            <w:tcW w:w="7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Balance</w:t>
            </w:r>
          </w:p>
        </w:tc>
        <w:tc>
          <w:tcPr>
            <w:tcW w:w="5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Interest</w:t>
            </w:r>
          </w:p>
        </w:tc>
        <w:tc>
          <w:tcPr>
            <w:tcW w:w="260" w:type="dxa"/>
            <w:vAlign w:val="bottom"/>
          </w:tcPr>
          <w:p>
            <w:pPr>
              <w:spacing w:after="0"/>
              <w:rPr>
                <w:sz w:val="14"/>
                <w:szCs w:val="14"/>
                <w:color w:val="auto"/>
              </w:rPr>
            </w:pPr>
          </w:p>
        </w:tc>
        <w:tc>
          <w:tcPr>
            <w:tcW w:w="82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Rate</w:t>
            </w: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5"/>
              </w:rPr>
              <w:t>Balance</w:t>
            </w:r>
          </w:p>
        </w:tc>
        <w:tc>
          <w:tcPr>
            <w:tcW w:w="4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Interest</w:t>
            </w:r>
          </w:p>
        </w:tc>
        <w:tc>
          <w:tcPr>
            <w:tcW w:w="280" w:type="dxa"/>
            <w:vAlign w:val="bottom"/>
          </w:tcPr>
          <w:p>
            <w:pPr>
              <w:spacing w:after="0"/>
              <w:rPr>
                <w:sz w:val="14"/>
                <w:szCs w:val="14"/>
                <w:color w:val="auto"/>
              </w:rPr>
            </w:pPr>
          </w:p>
        </w:tc>
        <w:tc>
          <w:tcPr>
            <w:tcW w:w="62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Assets</w:t>
            </w:r>
          </w:p>
        </w:tc>
        <w:tc>
          <w:tcPr>
            <w:tcW w:w="40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Commercial, financial, etc.</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16,504</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85"/>
              </w:rPr>
              <w:t>$154,840</w:t>
            </w: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3.73%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16,104</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149,107</w:t>
            </w:r>
          </w:p>
        </w:tc>
        <w:tc>
          <w:tcPr>
            <w:tcW w:w="9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Real estate—commercial</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24,995</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288,193</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24,737</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287,724</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 estate—consumer</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10,296</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110,346</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4.29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9,216</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102,164</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Consumer</w:t>
            </w: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11,660</w:t>
            </w: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139,524</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3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11,769</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141,031</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90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Total loans and leases, net</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63,455</w:t>
            </w:r>
          </w:p>
        </w:tc>
        <w:tc>
          <w:tcPr>
            <w:tcW w:w="28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692,903</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61,826</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680,026</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 at banks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Federal funds sold and agreements to resell securities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.55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U.S. Treasury and federal agencies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4,468</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36,412</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4,770</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40,202</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222</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2,899</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5.20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222</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2,979</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18,761</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3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2,279</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19,638</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90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Total investment securities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6,811</w:t>
            </w:r>
          </w:p>
        </w:tc>
        <w:tc>
          <w:tcPr>
            <w:tcW w:w="28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58,072</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7,271</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62,819</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earning assets</w:t>
            </w: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70,662</w:t>
            </w: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751,385</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3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70,450</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744,031</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20" w:type="dxa"/>
            <w:vAlign w:val="bottom"/>
            <w:gridSpan w:val="3"/>
          </w:tcPr>
          <w:p>
            <w:pPr>
              <w:spacing w:after="0" w:line="155" w:lineRule="exact"/>
              <w:rPr>
                <w:sz w:val="20"/>
                <w:szCs w:val="20"/>
                <w:color w:val="auto"/>
              </w:rPr>
            </w:pPr>
            <w:r>
              <w:rPr>
                <w:rFonts w:ascii="Arial" w:cs="Arial" w:eastAsia="Arial" w:hAnsi="Arial"/>
                <w:sz w:val="14"/>
                <w:szCs w:val="14"/>
                <w:color w:val="auto"/>
              </w:rPr>
              <w:t>Allowance for credit losses</w:t>
            </w:r>
          </w:p>
        </w:tc>
        <w:tc>
          <w:tcPr>
            <w:tcW w:w="80" w:type="dxa"/>
            <w:vAlign w:val="bottom"/>
          </w:tcPr>
          <w:p>
            <w:pPr>
              <w:spacing w:after="0"/>
              <w:rPr>
                <w:sz w:val="13"/>
                <w:szCs w:val="13"/>
                <w:color w:val="auto"/>
              </w:rPr>
            </w:pPr>
          </w:p>
        </w:tc>
        <w:tc>
          <w:tcPr>
            <w:tcW w:w="6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(924)</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(918)</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9,275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9,205</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80,432</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80,087</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deposits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NOW accounts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Savings deposits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33,298</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16,510</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33,286</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16,940</w:t>
            </w: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Time deposits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5,164</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10,843</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5,545</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12,354</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Deposits at Cayman Islands office</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702</w:t>
            </w:r>
          </w:p>
        </w:tc>
        <w:tc>
          <w:tcPr>
            <w:tcW w:w="28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336</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w:t>
            </w:r>
          </w:p>
        </w:tc>
        <w:tc>
          <w:tcPr>
            <w:tcW w:w="3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457</w:t>
            </w:r>
          </w:p>
        </w:tc>
        <w:tc>
          <w:tcPr>
            <w:tcW w:w="2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w:t>
            </w:r>
          </w:p>
        </w:tc>
        <w:tc>
          <w:tcPr>
            <w:tcW w:w="2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interest-bearing deposits</w:t>
            </w: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40,039</w:t>
            </w: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28,016</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40,129</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29,950</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20" w:type="dxa"/>
            <w:vAlign w:val="bottom"/>
            <w:gridSpan w:val="3"/>
          </w:tcPr>
          <w:p>
            <w:pPr>
              <w:spacing w:after="0" w:line="155" w:lineRule="exact"/>
              <w:rPr>
                <w:sz w:val="20"/>
                <w:szCs w:val="20"/>
                <w:color w:val="auto"/>
              </w:rPr>
            </w:pPr>
            <w:r>
              <w:rPr>
                <w:rFonts w:ascii="Arial" w:cs="Arial" w:eastAsia="Arial" w:hAnsi="Arial"/>
                <w:sz w:val="14"/>
                <w:szCs w:val="14"/>
                <w:color w:val="auto"/>
              </w:rPr>
              <w:t>Short-term borrowings</w:t>
            </w: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976</w:t>
            </w:r>
          </w:p>
        </w:tc>
        <w:tc>
          <w:tcPr>
            <w:tcW w:w="2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365</w:t>
            </w:r>
          </w:p>
        </w:tc>
        <w:tc>
          <w:tcPr>
            <w:tcW w:w="108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.15</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875</w:t>
            </w: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348</w:t>
            </w:r>
          </w:p>
        </w:tc>
        <w:tc>
          <w:tcPr>
            <w:tcW w:w="90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5,006</w:t>
            </w: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53,748</w:t>
            </w: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4.27</w:t>
            </w:r>
          </w:p>
        </w:tc>
        <w:tc>
          <w:tcPr>
            <w:tcW w:w="3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6,102</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59,105</w:t>
            </w: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900" w:type="dxa"/>
            <w:vAlign w:val="bottom"/>
            <w:gridSpan w:val="2"/>
          </w:tcPr>
          <w:p>
            <w:pPr>
              <w:ind w:left="860"/>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80" w:type="dxa"/>
            <w:vAlign w:val="bottom"/>
          </w:tcPr>
          <w:p>
            <w:pPr>
              <w:spacing w:after="0"/>
              <w:rPr>
                <w:sz w:val="14"/>
                <w:szCs w:val="14"/>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46,021</w:t>
            </w:r>
          </w:p>
        </w:tc>
        <w:tc>
          <w:tcPr>
            <w:tcW w:w="28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82,129</w:t>
            </w:r>
          </w:p>
        </w:tc>
        <w:tc>
          <w:tcPr>
            <w:tcW w:w="108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.71</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47,106</w:t>
            </w:r>
          </w:p>
        </w:tc>
        <w:tc>
          <w:tcPr>
            <w:tcW w:w="28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89,403</w:t>
            </w:r>
          </w:p>
        </w:tc>
        <w:tc>
          <w:tcPr>
            <w:tcW w:w="90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Noninterest-bearing deposits</w:t>
            </w: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22,704</w:t>
            </w: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21,401</w:t>
            </w:r>
          </w:p>
        </w:tc>
        <w:tc>
          <w:tcPr>
            <w:tcW w:w="28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1,918</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2,044</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70,643</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70,551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920" w:type="dxa"/>
            <w:vAlign w:val="bottom"/>
            <w:gridSpan w:val="3"/>
          </w:tcPr>
          <w:p>
            <w:pPr>
              <w:spacing w:after="0" w:line="155" w:lineRule="exact"/>
              <w:rPr>
                <w:sz w:val="20"/>
                <w:szCs w:val="20"/>
                <w:color w:val="auto"/>
              </w:rPr>
            </w:pPr>
            <w:r>
              <w:rPr>
                <w:rFonts w:ascii="Arial" w:cs="Arial" w:eastAsia="Arial" w:hAnsi="Arial"/>
                <w:sz w:val="14"/>
                <w:szCs w:val="14"/>
                <w:color w:val="auto"/>
              </w:rPr>
              <w:t>Shareholders' equity</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9,789</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9,536</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80,432</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80,087</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4"/>
                <w:szCs w:val="14"/>
                <w:color w:val="auto"/>
              </w:rPr>
              <w:t>Net interest spread</w:t>
            </w: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3"/>
            <w:vMerge w:val="restart"/>
          </w:tcPr>
          <w:p>
            <w:pPr>
              <w:jc w:val="right"/>
              <w:ind w:right="340"/>
              <w:spacing w:after="0"/>
              <w:rPr>
                <w:sz w:val="20"/>
                <w:szCs w:val="20"/>
                <w:color w:val="auto"/>
              </w:rPr>
            </w:pPr>
            <w:r>
              <w:rPr>
                <w:rFonts w:ascii="Arial" w:cs="Arial" w:eastAsia="Arial" w:hAnsi="Arial"/>
                <w:sz w:val="14"/>
                <w:szCs w:val="14"/>
                <w:color w:val="auto"/>
              </w:rPr>
              <w:t>3.52</w:t>
            </w: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3.49</w:t>
            </w:r>
          </w:p>
        </w:tc>
        <w:tc>
          <w:tcPr>
            <w:tcW w:w="0" w:type="dxa"/>
            <w:vAlign w:val="bottom"/>
          </w:tcPr>
          <w:p>
            <w:pPr>
              <w:spacing w:after="0" w:line="20" w:lineRule="exact"/>
              <w:rPr>
                <w:sz w:val="1"/>
                <w:szCs w:val="1"/>
                <w:color w:val="auto"/>
              </w:rPr>
            </w:pPr>
          </w:p>
        </w:tc>
      </w:tr>
      <w:tr>
        <w:trPr>
          <w:trHeight w:val="143"/>
        </w:trPr>
        <w:tc>
          <w:tcPr>
            <w:tcW w:w="6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 of interest-free funds</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20" w:type="dxa"/>
            <w:vAlign w:val="bottom"/>
            <w:gridSpan w:val="3"/>
          </w:tcPr>
          <w:p>
            <w:pPr>
              <w:spacing w:after="0" w:line="155" w:lineRule="exact"/>
              <w:rPr>
                <w:sz w:val="20"/>
                <w:szCs w:val="20"/>
                <w:color w:val="auto"/>
              </w:rPr>
            </w:pPr>
            <w:r>
              <w:rPr>
                <w:rFonts w:ascii="Arial" w:cs="Arial" w:eastAsia="Arial" w:hAnsi="Arial"/>
                <w:sz w:val="14"/>
                <w:szCs w:val="14"/>
                <w:color w:val="auto"/>
              </w:rPr>
              <w:t>Net interest income/margin on earning assets</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669,256</w:t>
            </w:r>
          </w:p>
        </w:tc>
        <w:tc>
          <w:tcPr>
            <w:tcW w:w="1080" w:type="dxa"/>
            <w:vAlign w:val="bottom"/>
            <w:gridSpan w:val="3"/>
          </w:tcPr>
          <w:p>
            <w:pPr>
              <w:jc w:val="right"/>
              <w:ind w:right="240"/>
              <w:spacing w:after="0" w:line="155" w:lineRule="exact"/>
              <w:rPr>
                <w:sz w:val="20"/>
                <w:szCs w:val="20"/>
                <w:color w:val="auto"/>
              </w:rPr>
            </w:pPr>
            <w:r>
              <w:rPr>
                <w:rFonts w:ascii="Arial" w:cs="Arial" w:eastAsia="Arial" w:hAnsi="Arial"/>
                <w:sz w:val="14"/>
                <w:szCs w:val="14"/>
                <w:color w:val="auto"/>
              </w:rPr>
              <w:t>3.77%</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654,628</w:t>
            </w:r>
          </w:p>
        </w:tc>
        <w:tc>
          <w:tcPr>
            <w:tcW w:w="90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nonaccrual loans.</w:t>
      </w: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available for sale securities at amortized cost.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- 104 -</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2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90" w:lineRule="exact"/>
        <w:rPr>
          <w:sz w:val="20"/>
          <w:szCs w:val="20"/>
          <w:color w:val="auto"/>
        </w:rPr>
      </w:pPr>
    </w:p>
    <w:p>
      <w:pPr>
        <w:ind w:right="140" w:firstLine="464"/>
        <w:spacing w:after="0" w:line="306"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June 30, 2013.</w:t>
      </w:r>
    </w:p>
    <w:p>
      <w:pPr>
        <w:spacing w:after="0" w:line="106" w:lineRule="exact"/>
        <w:rPr>
          <w:rFonts w:ascii="Arial" w:cs="Arial" w:eastAsia="Arial" w:hAnsi="Arial"/>
          <w:sz w:val="16"/>
          <w:szCs w:val="16"/>
          <w:color w:val="auto"/>
        </w:rPr>
      </w:pPr>
    </w:p>
    <w:p>
      <w:pPr>
        <w:ind w:right="80" w:firstLine="464"/>
        <w:spacing w:after="0" w:line="298" w:lineRule="auto"/>
        <w:tabs>
          <w:tab w:leader="none" w:pos="705" w:val="left"/>
        </w:tabs>
        <w:numPr>
          <w:ilvl w:val="0"/>
          <w:numId w:val="79"/>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2013 that have materially affected, or are reasonably likely to materially affect, M&amp;T’s internal control over financial reporting.</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$70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Risk Factors.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- 105 -</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60" w:type="dxa"/>
            <w:vAlign w:val="bottom"/>
            <w:gridSpan w:val="4"/>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420" w:type="dxa"/>
            <w:vAlign w:val="bottom"/>
            <w:gridSpan w:val="3"/>
          </w:tcPr>
          <w:p>
            <w:pPr>
              <w:ind w:left="460"/>
              <w:spacing w:after="0"/>
              <w:rPr>
                <w:sz w:val="20"/>
                <w:szCs w:val="20"/>
                <w:color w:val="auto"/>
              </w:rPr>
            </w:pPr>
            <w:r>
              <w:rPr>
                <w:rFonts w:ascii="Arial" w:cs="Arial" w:eastAsia="Arial" w:hAnsi="Arial"/>
                <w:sz w:val="18"/>
                <w:szCs w:val="18"/>
                <w:color w:val="auto"/>
              </w:rPr>
              <w:t>(a)–(b) Not applicable.</w:t>
            </w:r>
          </w:p>
        </w:tc>
        <w:tc>
          <w:tcPr>
            <w:tcW w:w="3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gridSpan w:val="2"/>
          </w:tcPr>
          <w:p>
            <w:pPr>
              <w:ind w:left="460"/>
              <w:spacing w:after="0"/>
              <w:rPr>
                <w:sz w:val="20"/>
                <w:szCs w:val="20"/>
                <w:color w:val="auto"/>
              </w:rPr>
            </w:pPr>
            <w:r>
              <w:rPr>
                <w:rFonts w:ascii="Arial" w:cs="Arial" w:eastAsia="Arial" w:hAnsi="Arial"/>
                <w:sz w:val="18"/>
                <w:szCs w:val="18"/>
                <w:color w:val="auto"/>
              </w:rPr>
              <w:t>(c)</w:t>
            </w:r>
          </w:p>
        </w:tc>
        <w:tc>
          <w:tcPr>
            <w:tcW w:w="2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color w:val="auto"/>
              </w:rPr>
              <w:t>Issuer Purchases of Equity Securities</w:t>
            </w: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Arial" w:cs="Arial" w:eastAsia="Arial" w:hAnsi="Arial"/>
                <w:sz w:val="14"/>
                <w:szCs w:val="14"/>
                <w:color w:val="auto"/>
                <w:w w:val="92"/>
              </w:rPr>
              <w:t>(d)Maximum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8"/>
              </w:rPr>
              <w:t>(c)Total</w:t>
            </w:r>
          </w:p>
        </w:tc>
        <w:tc>
          <w:tcPr>
            <w:tcW w:w="5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Number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5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5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(or Units)</w:t>
            </w:r>
          </w:p>
        </w:tc>
        <w:tc>
          <w:tcPr>
            <w:tcW w:w="5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3"/>
              </w:rPr>
              <w:t>Purchased</w:t>
            </w:r>
          </w:p>
        </w:tc>
        <w:tc>
          <w:tcPr>
            <w:tcW w:w="5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(or Units)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(a)Total</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3"/>
              </w:rPr>
              <w:t>as Part of</w:t>
            </w:r>
          </w:p>
        </w:tc>
        <w:tc>
          <w:tcPr>
            <w:tcW w:w="5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that may yet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8"/>
              </w:rPr>
              <w:t>Number</w:t>
            </w:r>
          </w:p>
        </w:tc>
        <w:tc>
          <w:tcPr>
            <w:tcW w:w="54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6"/>
              </w:rPr>
              <w:t>(b)Average</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5"/>
              </w:rPr>
              <w:t>Publicly</w:t>
            </w:r>
          </w:p>
        </w:tc>
        <w:tc>
          <w:tcPr>
            <w:tcW w:w="5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0"/>
              </w:rPr>
              <w:t>be Purchased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6"/>
              </w:rPr>
              <w:t>of Shares</w:t>
            </w:r>
          </w:p>
        </w:tc>
        <w:tc>
          <w:tcPr>
            <w:tcW w:w="54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7"/>
              </w:rPr>
              <w:t>Price Paid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56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Under the</w:t>
            </w:r>
          </w:p>
        </w:tc>
        <w:tc>
          <w:tcPr>
            <w:tcW w:w="0" w:type="dxa"/>
            <w:vAlign w:val="bottom"/>
          </w:tcPr>
          <w:p>
            <w:pPr>
              <w:spacing w:after="0"/>
              <w:rPr>
                <w:sz w:val="1"/>
                <w:szCs w:val="1"/>
                <w:color w:val="auto"/>
              </w:rPr>
            </w:pPr>
          </w:p>
        </w:tc>
      </w:tr>
      <w:tr>
        <w:trPr>
          <w:trHeight w:val="162"/>
        </w:trPr>
        <w:tc>
          <w:tcPr>
            <w:tcW w:w="460" w:type="dxa"/>
            <w:vAlign w:val="bottom"/>
            <w:vMerge w:val="restart"/>
          </w:tcPr>
          <w:p>
            <w:pPr>
              <w:spacing w:after="0"/>
              <w:rPr>
                <w:sz w:val="14"/>
                <w:szCs w:val="14"/>
                <w:color w:val="auto"/>
              </w:rPr>
            </w:pPr>
          </w:p>
        </w:tc>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2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(or Units)</w:t>
            </w:r>
          </w:p>
        </w:tc>
        <w:tc>
          <w:tcPr>
            <w:tcW w:w="54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color w:val="auto"/>
                <w:w w:val="84"/>
              </w:rPr>
              <w:t>per Share</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Plans or</w:t>
            </w:r>
          </w:p>
        </w:tc>
        <w:tc>
          <w:tcPr>
            <w:tcW w:w="56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Plans or</w:t>
            </w:r>
          </w:p>
        </w:tc>
        <w:tc>
          <w:tcPr>
            <w:tcW w:w="0" w:type="dxa"/>
            <w:vAlign w:val="bottom"/>
          </w:tcPr>
          <w:p>
            <w:pPr>
              <w:spacing w:after="0"/>
              <w:rPr>
                <w:sz w:val="1"/>
                <w:szCs w:val="1"/>
                <w:color w:val="auto"/>
              </w:rPr>
            </w:pPr>
          </w:p>
        </w:tc>
      </w:tr>
      <w:tr>
        <w:trPr>
          <w:trHeight w:val="166"/>
        </w:trPr>
        <w:tc>
          <w:tcPr>
            <w:tcW w:w="4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80" w:type="dxa"/>
            <w:vAlign w:val="bottom"/>
            <w:gridSpan w:val="2"/>
          </w:tcPr>
          <w:p>
            <w:pPr>
              <w:jc w:val="center"/>
              <w:ind w:right="20"/>
              <w:spacing w:after="0" w:line="146" w:lineRule="exact"/>
              <w:rPr>
                <w:sz w:val="20"/>
                <w:szCs w:val="20"/>
                <w:color w:val="auto"/>
              </w:rPr>
            </w:pPr>
            <w:r>
              <w:rPr>
                <w:rFonts w:ascii="Arial" w:cs="Arial" w:eastAsia="Arial" w:hAnsi="Arial"/>
                <w:sz w:val="14"/>
                <w:szCs w:val="14"/>
                <w:color w:val="auto"/>
                <w:w w:val="86"/>
              </w:rPr>
              <w:t>Purchased (1)</w:t>
            </w:r>
          </w:p>
        </w:tc>
        <w:tc>
          <w:tcPr>
            <w:tcW w:w="540" w:type="dxa"/>
            <w:vAlign w:val="bottom"/>
          </w:tcPr>
          <w:p>
            <w:pPr>
              <w:spacing w:after="0"/>
              <w:rPr>
                <w:sz w:val="14"/>
                <w:szCs w:val="14"/>
                <w:color w:val="auto"/>
              </w:rPr>
            </w:pPr>
          </w:p>
        </w:tc>
        <w:tc>
          <w:tcPr>
            <w:tcW w:w="1160" w:type="dxa"/>
            <w:vAlign w:val="bottom"/>
            <w:gridSpan w:val="2"/>
          </w:tcPr>
          <w:p>
            <w:pPr>
              <w:jc w:val="center"/>
              <w:ind w:right="560"/>
              <w:spacing w:after="0" w:line="146" w:lineRule="exact"/>
              <w:rPr>
                <w:sz w:val="20"/>
                <w:szCs w:val="20"/>
                <w:color w:val="auto"/>
              </w:rPr>
            </w:pPr>
            <w:r>
              <w:rPr>
                <w:rFonts w:ascii="Arial" w:cs="Arial" w:eastAsia="Arial" w:hAnsi="Arial"/>
                <w:sz w:val="14"/>
                <w:szCs w:val="14"/>
                <w:color w:val="auto"/>
                <w:w w:val="94"/>
              </w:rPr>
              <w:t>(or Unit)</w:t>
            </w:r>
          </w:p>
        </w:tc>
        <w:tc>
          <w:tcPr>
            <w:tcW w:w="640" w:type="dxa"/>
            <w:vAlign w:val="bottom"/>
          </w:tcPr>
          <w:p>
            <w:pPr>
              <w:jc w:val="center"/>
              <w:spacing w:after="0" w:line="146" w:lineRule="exact"/>
              <w:rPr>
                <w:sz w:val="20"/>
                <w:szCs w:val="20"/>
                <w:color w:val="auto"/>
              </w:rPr>
            </w:pPr>
            <w:r>
              <w:rPr>
                <w:rFonts w:ascii="Arial" w:cs="Arial" w:eastAsia="Arial" w:hAnsi="Arial"/>
                <w:sz w:val="14"/>
                <w:szCs w:val="14"/>
                <w:color w:val="auto"/>
                <w:w w:val="85"/>
              </w:rPr>
              <w:t>Programs</w:t>
            </w:r>
          </w:p>
        </w:tc>
        <w:tc>
          <w:tcPr>
            <w:tcW w:w="560" w:type="dxa"/>
            <w:vAlign w:val="bottom"/>
          </w:tcPr>
          <w:p>
            <w:pPr>
              <w:spacing w:after="0"/>
              <w:rPr>
                <w:sz w:val="14"/>
                <w:szCs w:val="14"/>
                <w:color w:val="auto"/>
              </w:rPr>
            </w:pPr>
          </w:p>
        </w:tc>
        <w:tc>
          <w:tcPr>
            <w:tcW w:w="86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5"/>
              </w:rPr>
              <w:t>Programs (2)</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1 – April 30, 2013</w:t>
            </w:r>
          </w:p>
        </w:tc>
        <w:tc>
          <w:tcPr>
            <w:tcW w:w="30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3,426</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$ 101.51</w:t>
            </w: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2,181,500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May 1 – May 31, 2013</w:t>
            </w:r>
          </w:p>
        </w:tc>
        <w:tc>
          <w:tcPr>
            <w:tcW w:w="3780" w:type="dxa"/>
            <w:vAlign w:val="bottom"/>
            <w:gridSpan w:val="3"/>
          </w:tcPr>
          <w:p>
            <w:pPr>
              <w:jc w:val="right"/>
              <w:ind w:right="20"/>
              <w:spacing w:after="0"/>
              <w:rPr>
                <w:sz w:val="20"/>
                <w:szCs w:val="20"/>
                <w:color w:val="auto"/>
              </w:rPr>
            </w:pPr>
            <w:r>
              <w:rPr>
                <w:rFonts w:ascii="Arial" w:cs="Arial" w:eastAsia="Arial" w:hAnsi="Arial"/>
                <w:sz w:val="18"/>
                <w:szCs w:val="18"/>
                <w:color w:val="auto"/>
              </w:rPr>
              <w:t>7,718</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105.84</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2013</w:t>
            </w:r>
          </w:p>
        </w:tc>
        <w:tc>
          <w:tcPr>
            <w:tcW w:w="3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8,196</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110.66</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gridSpan w:val="2"/>
            <w:vMerge w:val="restart"/>
          </w:tcPr>
          <w:p>
            <w:pPr>
              <w:ind w:left="460"/>
              <w:spacing w:after="0"/>
              <w:rPr>
                <w:sz w:val="20"/>
                <w:szCs w:val="20"/>
                <w:color w:val="auto"/>
              </w:rPr>
            </w:pPr>
            <w:r>
              <w:rPr>
                <w:rFonts w:ascii="Arial" w:cs="Arial" w:eastAsia="Arial" w:hAnsi="Arial"/>
                <w:sz w:val="18"/>
                <w:szCs w:val="18"/>
                <w:color w:val="auto"/>
                <w:w w:val="89"/>
              </w:rPr>
              <w:t>Total</w:t>
            </w:r>
          </w:p>
        </w:tc>
        <w:tc>
          <w:tcPr>
            <w:tcW w:w="2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3780" w:type="dxa"/>
            <w:vAlign w:val="bottom"/>
            <w:gridSpan w:val="3"/>
          </w:tcPr>
          <w:p>
            <w:pPr>
              <w:jc w:val="right"/>
              <w:ind w:right="20"/>
              <w:spacing w:after="0"/>
              <w:rPr>
                <w:sz w:val="20"/>
                <w:szCs w:val="20"/>
                <w:color w:val="auto"/>
              </w:rPr>
            </w:pPr>
            <w:r>
              <w:rPr>
                <w:rFonts w:ascii="Arial" w:cs="Arial" w:eastAsia="Arial" w:hAnsi="Arial"/>
                <w:sz w:val="18"/>
                <w:szCs w:val="18"/>
                <w:color w:val="auto"/>
              </w:rPr>
              <w:t>19,340</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$ 107.11</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hanging="572"/>
        <w:spacing w:after="0" w:line="335" w:lineRule="auto"/>
        <w:tabs>
          <w:tab w:leader="none" w:pos="580" w:val="left"/>
        </w:tabs>
        <w:numPr>
          <w:ilvl w:val="0"/>
          <w:numId w:val="80"/>
        </w:numPr>
        <w:rPr>
          <w:rFonts w:ascii="Arial" w:cs="Arial" w:eastAsia="Arial" w:hAnsi="Arial"/>
          <w:sz w:val="15"/>
          <w:szCs w:val="15"/>
          <w:i w:val="1"/>
          <w:iCs w:val="1"/>
          <w:color w:val="auto"/>
        </w:rPr>
      </w:pPr>
      <w:r>
        <w:rPr>
          <w:rFonts w:ascii="Arial" w:cs="Arial" w:eastAsia="Arial" w:hAnsi="Arial"/>
          <w:sz w:val="15"/>
          <w:szCs w:val="15"/>
          <w:i w:val="1"/>
          <w:iCs w:val="1"/>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7" w:lineRule="exact"/>
        <w:rPr>
          <w:rFonts w:ascii="Arial" w:cs="Arial" w:eastAsia="Arial" w:hAnsi="Arial"/>
          <w:sz w:val="15"/>
          <w:szCs w:val="15"/>
          <w:i w:val="1"/>
          <w:iCs w:val="1"/>
          <w:color w:val="auto"/>
        </w:rPr>
      </w:pPr>
    </w:p>
    <w:p>
      <w:pPr>
        <w:ind w:left="580" w:right="200" w:hanging="572"/>
        <w:spacing w:after="0" w:line="268" w:lineRule="auto"/>
        <w:tabs>
          <w:tab w:leader="none" w:pos="58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2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Mine Safety Disclosures.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- 106 -</w:t>
      </w:r>
    </w:p>
    <w:p>
      <w:pPr>
        <w:sectPr>
          <w:pgSz w:w="11900" w:h="16838" w:orient="portrait"/>
          <w:cols w:equalWidth="0" w:num="1">
            <w:col w:w="11120"/>
          </w:cols>
          <w:pgMar w:left="240" w:top="459" w:right="5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180" w:type="dxa"/>
            <w:vAlign w:val="bottom"/>
          </w:tcPr>
          <w:p>
            <w:pPr>
              <w:ind w:left="80"/>
              <w:spacing w:after="0"/>
              <w:rPr>
                <w:sz w:val="20"/>
                <w:szCs w:val="20"/>
                <w:color w:val="auto"/>
              </w:rPr>
            </w:pPr>
            <w:r>
              <w:rPr>
                <w:rFonts w:ascii="Arial" w:cs="Arial" w:eastAsia="Arial" w:hAnsi="Arial"/>
                <w:sz w:val="18"/>
                <w:szCs w:val="18"/>
                <w:color w:val="auto"/>
              </w:rPr>
              <w:t>Exhibits.</w:t>
            </w:r>
          </w:p>
        </w:tc>
      </w:tr>
      <w:tr>
        <w:trPr>
          <w:trHeight w:val="297"/>
        </w:trPr>
        <w:tc>
          <w:tcPr>
            <w:tcW w:w="180" w:type="dxa"/>
            <w:vAlign w:val="bottom"/>
          </w:tcPr>
          <w:p>
            <w:pPr>
              <w:spacing w:after="0"/>
              <w:rPr>
                <w:sz w:val="24"/>
                <w:szCs w:val="24"/>
                <w:color w:val="auto"/>
              </w:rPr>
            </w:pPr>
          </w:p>
        </w:tc>
        <w:tc>
          <w:tcPr>
            <w:tcW w:w="10840" w:type="dxa"/>
            <w:vAlign w:val="bottom"/>
            <w:gridSpan w:val="3"/>
          </w:tcPr>
          <w:p>
            <w:pPr>
              <w:ind w:left="28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342"/>
        </w:trPr>
        <w:tc>
          <w:tcPr>
            <w:tcW w:w="180" w:type="dxa"/>
            <w:vAlign w:val="bottom"/>
          </w:tcPr>
          <w:p>
            <w:pPr>
              <w:spacing w:after="0"/>
              <w:rPr>
                <w:sz w:val="24"/>
                <w:szCs w:val="2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Exhibit</w:t>
            </w:r>
          </w:p>
        </w:tc>
        <w:tc>
          <w:tcPr>
            <w:tcW w:w="10180" w:type="dxa"/>
            <w:vAlign w:val="bottom"/>
          </w:tcPr>
          <w:p>
            <w:pPr>
              <w:spacing w:after="0"/>
              <w:rPr>
                <w:sz w:val="24"/>
                <w:szCs w:val="24"/>
                <w:color w:val="auto"/>
              </w:rPr>
            </w:pPr>
          </w:p>
        </w:tc>
      </w:tr>
      <w:tr>
        <w:trPr>
          <w:trHeight w:val="159"/>
        </w:trPr>
        <w:tc>
          <w:tcPr>
            <w:tcW w:w="18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260" w:type="dxa"/>
            <w:vAlign w:val="bottom"/>
          </w:tcPr>
          <w:p>
            <w:pPr>
              <w:spacing w:after="0"/>
              <w:rPr>
                <w:sz w:val="13"/>
                <w:szCs w:val="13"/>
                <w:color w:val="auto"/>
              </w:rPr>
            </w:pPr>
          </w:p>
        </w:tc>
        <w:tc>
          <w:tcPr>
            <w:tcW w:w="10180" w:type="dxa"/>
            <w:vAlign w:val="bottom"/>
          </w:tcPr>
          <w:p>
            <w:pPr>
              <w:spacing w:after="0"/>
              <w:rPr>
                <w:sz w:val="13"/>
                <w:szCs w:val="13"/>
                <w:color w:val="auto"/>
              </w:rPr>
            </w:pPr>
          </w:p>
        </w:tc>
      </w:tr>
      <w:tr>
        <w:trPr>
          <w:trHeight w:val="329"/>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w w:val="89"/>
              </w:rPr>
              <w:t>Certification of Chief Executive Officer under 18 U.S.C. §1350 pursuant to Section 906 of the Sarbanes-Oxley Act of 2002. Filed herewith.</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w w:val="90"/>
              </w:rPr>
              <w:t>Certification of Chief Financial Officer under 18 U.S.C. §1350 pursuant to Section 906 of the Sarbanes-Oxley Act of 2002. Filed herewith.</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8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M&amp;T BANK CORPORATION</w:t>
            </w:r>
          </w:p>
        </w:tc>
      </w:tr>
      <w:tr>
        <w:trPr>
          <w:trHeight w:val="433"/>
        </w:trPr>
        <w:tc>
          <w:tcPr>
            <w:tcW w:w="3500" w:type="dxa"/>
            <w:vAlign w:val="bottom"/>
          </w:tcPr>
          <w:p>
            <w:pPr>
              <w:spacing w:after="0"/>
              <w:rPr>
                <w:sz w:val="20"/>
                <w:szCs w:val="20"/>
                <w:color w:val="auto"/>
              </w:rPr>
            </w:pPr>
            <w:r>
              <w:rPr>
                <w:rFonts w:ascii="Arial" w:cs="Arial" w:eastAsia="Arial" w:hAnsi="Arial"/>
                <w:sz w:val="18"/>
                <w:szCs w:val="18"/>
                <w:color w:val="auto"/>
              </w:rPr>
              <w:t>Date: August 8, 2013</w:t>
            </w:r>
          </w:p>
        </w:tc>
        <w:tc>
          <w:tcPr>
            <w:tcW w:w="7920" w:type="dxa"/>
            <w:vAlign w:val="bottom"/>
            <w:gridSpan w:val="2"/>
          </w:tcPr>
          <w:p>
            <w:pPr>
              <w:ind w:left="2420"/>
              <w:spacing w:after="0"/>
              <w:rPr>
                <w:sz w:val="20"/>
                <w:szCs w:val="20"/>
                <w:color w:val="auto"/>
              </w:rPr>
            </w:pPr>
            <w:r>
              <w:rPr>
                <w:rFonts w:ascii="Arial" w:cs="Arial" w:eastAsia="Arial" w:hAnsi="Arial"/>
                <w:sz w:val="18"/>
                <w:szCs w:val="18"/>
                <w:color w:val="auto"/>
              </w:rPr>
              <w:t>By: /s/ René F. Jones</w:t>
            </w:r>
          </w:p>
        </w:tc>
      </w:tr>
      <w:tr>
        <w:trPr>
          <w:trHeight w:val="202"/>
        </w:trPr>
        <w:tc>
          <w:tcPr>
            <w:tcW w:w="3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René F. Jones</w:t>
            </w:r>
          </w:p>
        </w:tc>
      </w:tr>
      <w:tr>
        <w:trPr>
          <w:trHeight w:val="222"/>
        </w:trPr>
        <w:tc>
          <w:tcPr>
            <w:tcW w:w="3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365"/>
        </w:trPr>
        <w:tc>
          <w:tcPr>
            <w:tcW w:w="3500" w:type="dxa"/>
            <w:vAlign w:val="bottom"/>
          </w:tcPr>
          <w:p>
            <w:pPr>
              <w:spacing w:after="0"/>
              <w:rPr>
                <w:sz w:val="24"/>
                <w:szCs w:val="24"/>
                <w:color w:val="auto"/>
              </w:rPr>
            </w:pPr>
          </w:p>
        </w:tc>
        <w:tc>
          <w:tcPr>
            <w:tcW w:w="2680" w:type="dxa"/>
            <w:vAlign w:val="bottom"/>
          </w:tcPr>
          <w:p>
            <w:pPr>
              <w:jc w:val="right"/>
              <w:ind w:right="152"/>
              <w:spacing w:after="0"/>
              <w:rPr>
                <w:sz w:val="20"/>
                <w:szCs w:val="20"/>
                <w:color w:val="auto"/>
              </w:rPr>
            </w:pPr>
            <w:r>
              <w:rPr>
                <w:rFonts w:ascii="Arial" w:cs="Arial" w:eastAsia="Arial" w:hAnsi="Arial"/>
                <w:sz w:val="18"/>
                <w:szCs w:val="18"/>
                <w:color w:val="auto"/>
              </w:rPr>
              <w:t>- 107 -</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40" w:type="dxa"/>
            <w:vAlign w:val="bottom"/>
          </w:tcPr>
          <w:p>
            <w:pPr>
              <w:ind w:left="4080"/>
              <w:spacing w:after="0"/>
              <w:rPr>
                <w:sz w:val="20"/>
                <w:szCs w:val="20"/>
                <w:color w:val="auto"/>
              </w:rPr>
            </w:pPr>
            <w:r>
              <w:rPr>
                <w:rFonts w:ascii="Arial" w:cs="Arial" w:eastAsia="Arial" w:hAnsi="Arial"/>
                <w:sz w:val="18"/>
                <w:szCs w:val="18"/>
                <w:color w:val="auto"/>
              </w:rPr>
              <w:t>EXHIBIT INDEX</w:t>
            </w:r>
          </w:p>
        </w:tc>
      </w:tr>
      <w:tr>
        <w:trPr>
          <w:trHeight w:val="342"/>
        </w:trPr>
        <w:tc>
          <w:tcPr>
            <w:tcW w:w="180" w:type="dxa"/>
            <w:vAlign w:val="bottom"/>
          </w:tcPr>
          <w:p>
            <w:pPr>
              <w:spacing w:after="0"/>
              <w:rPr>
                <w:sz w:val="24"/>
                <w:szCs w:val="2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Exhibit</w:t>
            </w:r>
          </w:p>
        </w:tc>
        <w:tc>
          <w:tcPr>
            <w:tcW w:w="10040" w:type="dxa"/>
            <w:vAlign w:val="bottom"/>
          </w:tcPr>
          <w:p>
            <w:pPr>
              <w:spacing w:after="0"/>
              <w:rPr>
                <w:sz w:val="24"/>
                <w:szCs w:val="24"/>
                <w:color w:val="auto"/>
              </w:rPr>
            </w:pPr>
          </w:p>
        </w:tc>
      </w:tr>
      <w:tr>
        <w:trPr>
          <w:trHeight w:val="159"/>
        </w:trPr>
        <w:tc>
          <w:tcPr>
            <w:tcW w:w="18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400" w:type="dxa"/>
            <w:vAlign w:val="bottom"/>
          </w:tcPr>
          <w:p>
            <w:pPr>
              <w:spacing w:after="0"/>
              <w:rPr>
                <w:sz w:val="13"/>
                <w:szCs w:val="13"/>
                <w:color w:val="auto"/>
              </w:rPr>
            </w:pPr>
          </w:p>
        </w:tc>
        <w:tc>
          <w:tcPr>
            <w:tcW w:w="10040" w:type="dxa"/>
            <w:vAlign w:val="bottom"/>
          </w:tcPr>
          <w:p>
            <w:pPr>
              <w:spacing w:after="0"/>
              <w:rPr>
                <w:sz w:val="13"/>
                <w:szCs w:val="13"/>
                <w:color w:val="auto"/>
              </w:rPr>
            </w:pPr>
          </w:p>
        </w:tc>
      </w:tr>
      <w:tr>
        <w:trPr>
          <w:trHeight w:val="329"/>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w w:val="89"/>
              </w:rPr>
              <w:t>Certification of Chief Executive Officer under 18 U.S.C. §1350 pursuant to Section 906 of the Sarbanes-Oxley Act of 2002. Filed herewith.</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w w:val="90"/>
              </w:rPr>
              <w:t>Certification of Chief Financial Officer under 18 U.S.C. §1350 pursuant to Section 906 of the Sarbanes-Oxley Act of 2002. Filed herewith.</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101.SCH*</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101.CAL*</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101.LAB*</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101.DEF*</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108 -</w:t>
      </w:r>
    </w:p>
    <w:p>
      <w:pPr>
        <w:sectPr>
          <w:pgSz w:w="11900" w:h="16838" w:orient="portrait"/>
          <w:cols w:equalWidth="0" w:num="1">
            <w:col w:w="11140"/>
          </w:cols>
          <w:pgMar w:left="240" w:top="459" w:right="5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9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9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3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51" w:lineRule="exact"/>
        <w:rPr>
          <w:sz w:val="20"/>
          <w:szCs w:val="20"/>
          <w:color w:val="auto"/>
        </w:rPr>
      </w:pPr>
    </w:p>
    <w:p>
      <w:pPr>
        <w:ind w:left="900" w:right="20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2013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8, 2013</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51" w:lineRule="exact"/>
        <w:rPr>
          <w:sz w:val="20"/>
          <w:szCs w:val="20"/>
          <w:color w:val="auto"/>
        </w:rPr>
      </w:pPr>
    </w:p>
    <w:p>
      <w:pPr>
        <w:ind w:left="900" w:right="20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2013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8, 2013</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2"/>
    </w:lvl>
  </w:abstractNum>
  <w:abstractNum w:abstractNumId="4">
    <w:nsid w:val="32FFF902"/>
    <w:multiLevelType w:val="hybridMultilevel"/>
    <w:lvl w:ilvl="0">
      <w:lvlJc w:val="left"/>
      <w:lvlText w:val="%1."/>
      <w:numFmt w:val="decimal"/>
      <w:start w:val="2"/>
    </w:lvl>
  </w:abstractNum>
  <w:abstractNum w:abstractNumId="5">
    <w:nsid w:val="684A481A"/>
    <w:multiLevelType w:val="hybridMultilevel"/>
    <w:lvl w:ilvl="0">
      <w:lvlJc w:val="left"/>
      <w:lvlText w:val="%1."/>
      <w:numFmt w:val="decimal"/>
      <w:start w:val="3"/>
    </w:lvl>
  </w:abstractNum>
  <w:abstractNum w:abstractNumId="6">
    <w:nsid w:val="579478FE"/>
    <w:multiLevelType w:val="hybridMultilevel"/>
    <w:lvl w:ilvl="0">
      <w:lvlJc w:val="left"/>
      <w:lvlText w:val="%1."/>
      <w:numFmt w:val="decimal"/>
      <w:start w:val="3"/>
    </w:lvl>
  </w:abstractNum>
  <w:abstractNum w:abstractNumId="7">
    <w:nsid w:val="749ABB43"/>
    <w:multiLevelType w:val="hybridMultilevel"/>
    <w:lvl w:ilvl="0">
      <w:lvlJc w:val="left"/>
      <w:lvlText w:val="%1."/>
      <w:numFmt w:val="decimal"/>
      <w:start w:val="3"/>
    </w:lvl>
  </w:abstractNum>
  <w:abstractNum w:abstractNumId="8">
    <w:nsid w:val="3DC240FB"/>
    <w:multiLevelType w:val="hybridMultilevel"/>
    <w:lvl w:ilvl="0">
      <w:lvlJc w:val="left"/>
      <w:lvlText w:val="%1."/>
      <w:numFmt w:val="decimal"/>
      <w:start w:val="3"/>
    </w:lvl>
  </w:abstractNum>
  <w:abstractNum w:abstractNumId="9">
    <w:nsid w:val="1BA026FA"/>
    <w:multiLevelType w:val="hybridMultilevel"/>
    <w:lvl w:ilvl="0">
      <w:lvlJc w:val="left"/>
      <w:lvlText w:val="%1."/>
      <w:numFmt w:val="decimal"/>
      <w:start w:val="3"/>
    </w:lvl>
  </w:abstractNum>
  <w:abstractNum w:abstractNumId="10">
    <w:nsid w:val="79A1DEAA"/>
    <w:multiLevelType w:val="hybridMultilevel"/>
    <w:lvl w:ilvl="0">
      <w:lvlJc w:val="left"/>
      <w:lvlText w:val="%1."/>
      <w:numFmt w:val="decimal"/>
      <w:start w:val="4"/>
    </w:lvl>
  </w:abstractNum>
  <w:abstractNum w:abstractNumId="11">
    <w:nsid w:val="75C6C33A"/>
    <w:multiLevelType w:val="hybridMultilevel"/>
    <w:lvl w:ilvl="0">
      <w:lvlJc w:val="left"/>
      <w:lvlText w:val="%1."/>
      <w:numFmt w:val="decimal"/>
      <w:start w:val="4"/>
    </w:lvl>
  </w:abstractNum>
  <w:abstractNum w:abstractNumId="12">
    <w:nsid w:val="12E685FB"/>
    <w:multiLevelType w:val="hybridMultilevel"/>
    <w:lvl w:ilvl="0">
      <w:lvlJc w:val="left"/>
      <w:lvlText w:val="%1."/>
      <w:numFmt w:val="decimal"/>
      <w:start w:val="4"/>
    </w:lvl>
  </w:abstractNum>
  <w:abstractNum w:abstractNumId="13">
    <w:nsid w:val="70C6A529"/>
    <w:multiLevelType w:val="hybridMultilevel"/>
    <w:lvl w:ilvl="0">
      <w:lvlJc w:val="left"/>
      <w:lvlText w:val="(%1)"/>
      <w:numFmt w:val="lowerLetter"/>
      <w:start w:val="1"/>
    </w:lvl>
  </w:abstractNum>
  <w:abstractNum w:abstractNumId="14">
    <w:nsid w:val="520EEDD1"/>
    <w:multiLevelType w:val="hybridMultilevel"/>
    <w:lvl w:ilvl="0">
      <w:lvlJc w:val="left"/>
      <w:lvlText w:val="%1."/>
      <w:numFmt w:val="decimal"/>
      <w:start w:val="4"/>
    </w:lvl>
  </w:abstractNum>
  <w:abstractNum w:abstractNumId="15">
    <w:nsid w:val="374A3FE6"/>
    <w:multiLevelType w:val="hybridMultilevel"/>
    <w:lvl w:ilvl="0">
      <w:lvlJc w:val="left"/>
      <w:lvlText w:val="%1."/>
      <w:numFmt w:val="decimal"/>
      <w:start w:val="4"/>
    </w:lvl>
  </w:abstractNum>
  <w:abstractNum w:abstractNumId="16">
    <w:nsid w:val="4F4EF005"/>
    <w:multiLevelType w:val="hybridMultilevel"/>
    <w:lvl w:ilvl="0">
      <w:lvlJc w:val="left"/>
      <w:lvlText w:val="%1."/>
      <w:numFmt w:val="decimal"/>
      <w:start w:val="4"/>
    </w:lvl>
  </w:abstractNum>
  <w:abstractNum w:abstractNumId="17">
    <w:nsid w:val="23F9C13C"/>
    <w:multiLevelType w:val="hybridMultilevel"/>
    <w:lvl w:ilvl="0">
      <w:lvlJc w:val="left"/>
      <w:lvlText w:val="%1."/>
      <w:numFmt w:val="decimal"/>
      <w:start w:val="4"/>
    </w:lvl>
  </w:abstractNum>
  <w:abstractNum w:abstractNumId="18">
    <w:nsid w:val="649BB77C"/>
    <w:multiLevelType w:val="hybridMultilevel"/>
    <w:lvl w:ilvl="0">
      <w:lvlJc w:val="left"/>
      <w:lvlText w:val="%1."/>
      <w:numFmt w:val="decimal"/>
      <w:start w:val="4"/>
    </w:lvl>
  </w:abstractNum>
  <w:abstractNum w:abstractNumId="19">
    <w:nsid w:val="275AC794"/>
    <w:multiLevelType w:val="hybridMultilevel"/>
    <w:lvl w:ilvl="0">
      <w:lvlJc w:val="left"/>
      <w:lvlText w:val="%1."/>
      <w:numFmt w:val="decimal"/>
      <w:start w:val="4"/>
    </w:lvl>
  </w:abstractNum>
  <w:abstractNum w:abstractNumId="20">
    <w:nsid w:val="39386575"/>
    <w:multiLevelType w:val="hybridMultilevel"/>
    <w:lvl w:ilvl="0">
      <w:lvlJc w:val="left"/>
      <w:lvlText w:val="%1."/>
      <w:numFmt w:val="decimal"/>
      <w:start w:val="4"/>
    </w:lvl>
  </w:abstractNum>
  <w:abstractNum w:abstractNumId="21">
    <w:nsid w:val="1CF10FD8"/>
    <w:multiLevelType w:val="hybridMultilevel"/>
    <w:lvl w:ilvl="0">
      <w:lvlJc w:val="left"/>
      <w:lvlText w:val="%1."/>
      <w:numFmt w:val="decimal"/>
      <w:start w:val="4"/>
    </w:lvl>
  </w:abstractNum>
  <w:abstractNum w:abstractNumId="22">
    <w:nsid w:val="180115BE"/>
    <w:multiLevelType w:val="hybridMultilevel"/>
    <w:lvl w:ilvl="0">
      <w:lvlJc w:val="left"/>
      <w:lvlText w:val="(%1)"/>
      <w:numFmt w:val="lowerLetter"/>
      <w:start w:val="1"/>
    </w:lvl>
  </w:abstractNum>
  <w:abstractNum w:abstractNumId="23">
    <w:nsid w:val="235BA861"/>
    <w:multiLevelType w:val="hybridMultilevel"/>
    <w:lvl w:ilvl="0">
      <w:lvlJc w:val="left"/>
      <w:lvlText w:val="%1."/>
      <w:numFmt w:val="decimal"/>
      <w:start w:val="4"/>
    </w:lvl>
  </w:abstractNum>
  <w:abstractNum w:abstractNumId="24">
    <w:nsid w:val="47398C89"/>
    <w:multiLevelType w:val="hybridMultilevel"/>
    <w:lvl w:ilvl="0">
      <w:lvlJc w:val="left"/>
      <w:lvlText w:val="(%1)"/>
      <w:numFmt w:val="lowerLetter"/>
      <w:start w:val="1"/>
    </w:lvl>
  </w:abstractNum>
  <w:abstractNum w:abstractNumId="25">
    <w:nsid w:val="354FE9F9"/>
    <w:multiLevelType w:val="hybridMultilevel"/>
    <w:lvl w:ilvl="0">
      <w:lvlJc w:val="left"/>
      <w:lvlText w:val="%1."/>
      <w:numFmt w:val="decimal"/>
      <w:start w:val="4"/>
    </w:lvl>
  </w:abstractNum>
  <w:abstractNum w:abstractNumId="26">
    <w:nsid w:val="15B5AF5C"/>
    <w:multiLevelType w:val="hybridMultilevel"/>
    <w:lvl w:ilvl="0">
      <w:lvlJc w:val="left"/>
      <w:lvlText w:val="(%1)"/>
      <w:numFmt w:val="lowerLetter"/>
      <w:start w:val="1"/>
    </w:lvl>
  </w:abstractNum>
  <w:abstractNum w:abstractNumId="27">
    <w:nsid w:val="741226BB"/>
    <w:multiLevelType w:val="hybridMultilevel"/>
    <w:lvl w:ilvl="0">
      <w:lvlJc w:val="left"/>
      <w:lvlText w:val="%1."/>
      <w:numFmt w:val="decimal"/>
      <w:start w:val="4"/>
    </w:lvl>
  </w:abstractNum>
  <w:abstractNum w:abstractNumId="28">
    <w:nsid w:val="D34B6A8"/>
    <w:multiLevelType w:val="hybridMultilevel"/>
    <w:lvl w:ilvl="0">
      <w:lvlJc w:val="left"/>
      <w:lvlText w:val="(%1)"/>
      <w:numFmt w:val="lowerLetter"/>
      <w:start w:val="1"/>
    </w:lvl>
  </w:abstractNum>
  <w:abstractNum w:abstractNumId="29">
    <w:nsid w:val="10233C99"/>
    <w:multiLevelType w:val="hybridMultilevel"/>
    <w:lvl w:ilvl="0">
      <w:lvlJc w:val="left"/>
      <w:lvlText w:val="%1."/>
      <w:numFmt w:val="decimal"/>
      <w:start w:val="5"/>
    </w:lvl>
  </w:abstractNum>
  <w:abstractNum w:abstractNumId="30">
    <w:nsid w:val="3F6AB60F"/>
    <w:multiLevelType w:val="hybridMultilevel"/>
    <w:lvl w:ilvl="0">
      <w:lvlJc w:val="left"/>
      <w:lvlText w:val="%1."/>
      <w:numFmt w:val="decimal"/>
      <w:start w:val="5"/>
    </w:lvl>
  </w:abstractNum>
  <w:abstractNum w:abstractNumId="31">
    <w:nsid w:val="61574095"/>
    <w:multiLevelType w:val="hybridMultilevel"/>
    <w:lvl w:ilvl="0">
      <w:lvlJc w:val="left"/>
      <w:lvlText w:val="%1."/>
      <w:numFmt w:val="decimal"/>
      <w:start w:val="6"/>
    </w:lvl>
  </w:abstractNum>
  <w:abstractNum w:abstractNumId="32">
    <w:nsid w:val="7E0C57B1"/>
    <w:multiLevelType w:val="hybridMultilevel"/>
    <w:lvl w:ilvl="0">
      <w:lvlJc w:val="left"/>
      <w:lvlText w:val="(%1)"/>
      <w:numFmt w:val="lowerLetter"/>
      <w:start w:val="1"/>
    </w:lvl>
  </w:abstractNum>
  <w:abstractNum w:abstractNumId="33">
    <w:nsid w:val="77AE35EB"/>
    <w:multiLevelType w:val="hybridMultilevel"/>
    <w:lvl w:ilvl="0">
      <w:lvlJc w:val="left"/>
      <w:lvlText w:val="%1."/>
      <w:numFmt w:val="decimal"/>
      <w:start w:val="6"/>
    </w:lvl>
  </w:abstractNum>
  <w:abstractNum w:abstractNumId="34">
    <w:nsid w:val="579BE4F1"/>
    <w:multiLevelType w:val="hybridMultilevel"/>
    <w:lvl w:ilvl="0">
      <w:lvlJc w:val="left"/>
      <w:lvlText w:val="%1."/>
      <w:numFmt w:val="decimal"/>
      <w:start w:val="7"/>
    </w:lvl>
  </w:abstractNum>
  <w:abstractNum w:abstractNumId="35">
    <w:nsid w:val="310C50B3"/>
    <w:multiLevelType w:val="hybridMultilevel"/>
    <w:lvl w:ilvl="0">
      <w:lvlJc w:val="left"/>
      <w:lvlText w:val="%1."/>
      <w:numFmt w:val="decimal"/>
      <w:start w:val="8"/>
    </w:lvl>
  </w:abstractNum>
  <w:abstractNum w:abstractNumId="36">
    <w:nsid w:val="5FF87E05"/>
    <w:multiLevelType w:val="hybridMultilevel"/>
    <w:lvl w:ilvl="0">
      <w:lvlJc w:val="left"/>
      <w:lvlText w:val="(%1)"/>
      <w:numFmt w:val="lowerLetter"/>
      <w:start w:val="1"/>
    </w:lvl>
  </w:abstractNum>
  <w:abstractNum w:abstractNumId="37">
    <w:nsid w:val="2F305DEF"/>
    <w:multiLevelType w:val="hybridMultilevel"/>
    <w:lvl w:ilvl="0">
      <w:lvlJc w:val="left"/>
      <w:lvlText w:val="%1."/>
      <w:numFmt w:val="decimal"/>
      <w:start w:val="9"/>
    </w:lvl>
  </w:abstractNum>
  <w:abstractNum w:abstractNumId="38">
    <w:nsid w:val="25A70BF7"/>
    <w:multiLevelType w:val="hybridMultilevel"/>
    <w:lvl w:ilvl="0">
      <w:lvlJc w:val="left"/>
      <w:lvlText w:val="(%1)"/>
      <w:numFmt w:val="lowerLetter"/>
      <w:start w:val="1"/>
    </w:lvl>
  </w:abstractNum>
  <w:abstractNum w:abstractNumId="39">
    <w:nsid w:val="1DBABF00"/>
    <w:multiLevelType w:val="hybridMultilevel"/>
    <w:lvl w:ilvl="0">
      <w:lvlJc w:val="left"/>
      <w:lvlText w:val="%1."/>
      <w:numFmt w:val="decimal"/>
      <w:start w:val="10"/>
    </w:lvl>
  </w:abstractNum>
  <w:abstractNum w:abstractNumId="40">
    <w:nsid w:val="4AD084E9"/>
    <w:multiLevelType w:val="hybridMultilevel"/>
    <w:lvl w:ilvl="0">
      <w:lvlJc w:val="left"/>
      <w:lvlText w:val="(%1)"/>
      <w:numFmt w:val="lowerLetter"/>
      <w:start w:val="1"/>
    </w:lvl>
  </w:abstractNum>
  <w:abstractNum w:abstractNumId="41">
    <w:nsid w:val="1F48EAA1"/>
    <w:multiLevelType w:val="hybridMultilevel"/>
    <w:lvl w:ilvl="0">
      <w:lvlJc w:val="left"/>
      <w:lvlText w:val="%1."/>
      <w:numFmt w:val="decimal"/>
      <w:start w:val="10"/>
    </w:lvl>
  </w:abstractNum>
  <w:abstractNum w:abstractNumId="42">
    <w:nsid w:val="1381823A"/>
    <w:multiLevelType w:val="hybridMultilevel"/>
    <w:lvl w:ilvl="0">
      <w:lvlJc w:val="left"/>
      <w:lvlText w:val="(%1)"/>
      <w:numFmt w:val="lowerLetter"/>
      <w:start w:val="1"/>
    </w:lvl>
  </w:abstractNum>
  <w:abstractNum w:abstractNumId="43">
    <w:nsid w:val="5DB70AE5"/>
    <w:multiLevelType w:val="hybridMultilevel"/>
    <w:lvl w:ilvl="0">
      <w:lvlJc w:val="left"/>
      <w:lvlText w:val="%1."/>
      <w:numFmt w:val="decimal"/>
      <w:start w:val="10"/>
    </w:lvl>
  </w:abstractNum>
  <w:abstractNum w:abstractNumId="44">
    <w:nsid w:val="100F8FCA"/>
    <w:multiLevelType w:val="hybridMultilevel"/>
    <w:lvl w:ilvl="0">
      <w:lvlJc w:val="left"/>
      <w:lvlText w:val="(%1)"/>
      <w:numFmt w:val="lowerLetter"/>
      <w:start w:val="1"/>
    </w:lvl>
  </w:abstractNum>
  <w:abstractNum w:abstractNumId="45">
    <w:nsid w:val="6590700B"/>
    <w:multiLevelType w:val="hybridMultilevel"/>
    <w:lvl w:ilvl="0">
      <w:lvlJc w:val="left"/>
      <w:lvlText w:val="%1."/>
      <w:numFmt w:val="decimal"/>
      <w:start w:val="10"/>
    </w:lvl>
  </w:abstractNum>
  <w:abstractNum w:abstractNumId="46">
    <w:nsid w:val="15014ACB"/>
    <w:multiLevelType w:val="hybridMultilevel"/>
    <w:lvl w:ilvl="0">
      <w:lvlJc w:val="left"/>
      <w:lvlText w:val="%1."/>
      <w:numFmt w:val="decimal"/>
      <w:start w:val="11"/>
    </w:lvl>
  </w:abstractNum>
  <w:abstractNum w:abstractNumId="47">
    <w:nsid w:val="5F5E7FD0"/>
    <w:multiLevelType w:val="hybridMultilevel"/>
    <w:lvl w:ilvl="0">
      <w:lvlJc w:val="left"/>
      <w:lvlText w:val="%1."/>
      <w:numFmt w:val="decimal"/>
      <w:start w:val="1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1."/>
      <w:numFmt w:val="decimal"/>
      <w:start w:val="12"/>
    </w:lvl>
  </w:abstractNum>
  <w:abstractNum w:abstractNumId="50">
    <w:nsid w:val="6B94764"/>
    <w:multiLevelType w:val="hybridMultilevel"/>
    <w:lvl w:ilvl="0">
      <w:lvlJc w:val="left"/>
      <w:lvlText w:val="%1."/>
      <w:numFmt w:val="decimal"/>
      <w:start w:val="12"/>
    </w:lvl>
  </w:abstractNum>
  <w:abstractNum w:abstractNumId="51">
    <w:nsid w:val="42C296BD"/>
    <w:multiLevelType w:val="hybridMultilevel"/>
    <w:lvl w:ilvl="0">
      <w:lvlJc w:val="left"/>
      <w:lvlText w:val="%1."/>
      <w:numFmt w:val="decimal"/>
      <w:start w:val="12"/>
    </w:lvl>
  </w:abstractNum>
  <w:abstractNum w:abstractNumId="52">
    <w:nsid w:val="168E121F"/>
    <w:multiLevelType w:val="hybridMultilevel"/>
    <w:lvl w:ilvl="0">
      <w:lvlJc w:val="left"/>
      <w:lvlText w:val="(%1)"/>
      <w:numFmt w:val="lowerLetter"/>
      <w:start w:val="1"/>
    </w:lvl>
  </w:abstractNum>
  <w:abstractNum w:abstractNumId="53">
    <w:nsid w:val="1EBA5D23"/>
    <w:multiLevelType w:val="hybridMultilevel"/>
    <w:lvl w:ilvl="0">
      <w:lvlJc w:val="left"/>
      <w:lvlText w:val="%1."/>
      <w:numFmt w:val="decimal"/>
      <w:start w:val="12"/>
    </w:lvl>
  </w:abstractNum>
  <w:abstractNum w:abstractNumId="54">
    <w:nsid w:val="661E3F1E"/>
    <w:multiLevelType w:val="hybridMultilevel"/>
    <w:lvl w:ilvl="0">
      <w:lvlJc w:val="left"/>
      <w:lvlText w:val="%1."/>
      <w:numFmt w:val="decimal"/>
      <w:start w:val="12"/>
    </w:lvl>
  </w:abstractNum>
  <w:abstractNum w:abstractNumId="55">
    <w:nsid w:val="5DC79EA8"/>
    <w:multiLevelType w:val="hybridMultilevel"/>
    <w:lvl w:ilvl="0">
      <w:lvlJc w:val="left"/>
      <w:lvlText w:val="%1."/>
      <w:numFmt w:val="decimal"/>
      <w:start w:val="12"/>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decimal"/>
      <w:start w:val="12"/>
    </w:lvl>
  </w:abstractNum>
  <w:abstractNum w:abstractNumId="58">
    <w:nsid w:val="51D9C564"/>
    <w:multiLevelType w:val="hybridMultilevel"/>
    <w:lvl w:ilvl="0">
      <w:lvlJc w:val="left"/>
      <w:lvlText w:val="%1."/>
      <w:numFmt w:val="decimal"/>
      <w:start w:val="12"/>
    </w:lvl>
  </w:abstractNum>
  <w:abstractNum w:abstractNumId="59">
    <w:nsid w:val="613EFDC5"/>
    <w:multiLevelType w:val="hybridMultilevel"/>
    <w:lvl w:ilvl="0">
      <w:lvlJc w:val="left"/>
      <w:lvlText w:val="(%1)"/>
      <w:numFmt w:val="lowerLetter"/>
      <w:start w:val="1"/>
    </w:lvl>
  </w:abstractNum>
  <w:abstractNum w:abstractNumId="60">
    <w:nsid w:val="BF72B14"/>
    <w:multiLevelType w:val="hybridMultilevel"/>
    <w:lvl w:ilvl="0">
      <w:lvlJc w:val="left"/>
      <w:lvlText w:val="%1."/>
      <w:numFmt w:val="decimal"/>
      <w:start w:val="12"/>
    </w:lvl>
  </w:abstractNum>
  <w:abstractNum w:abstractNumId="61">
    <w:nsid w:val="11447B73"/>
    <w:multiLevelType w:val="hybridMultilevel"/>
    <w:lvl w:ilvl="0">
      <w:lvlJc w:val="left"/>
      <w:lvlText w:val="%1."/>
      <w:numFmt w:val="decimal"/>
      <w:start w:val="12"/>
    </w:lvl>
  </w:abstractNum>
  <w:abstractNum w:abstractNumId="62">
    <w:nsid w:val="42963E5A"/>
    <w:multiLevelType w:val="hybridMultilevel"/>
    <w:lvl w:ilvl="0">
      <w:lvlJc w:val="left"/>
      <w:lvlText w:val="%1."/>
      <w:numFmt w:val="decimal"/>
      <w:start w:val="13"/>
    </w:lvl>
  </w:abstractNum>
  <w:abstractNum w:abstractNumId="63">
    <w:nsid w:val="A0382C5"/>
    <w:multiLevelType w:val="hybridMultilevel"/>
    <w:lvl w:ilvl="0">
      <w:lvlJc w:val="left"/>
      <w:lvlText w:val="%1."/>
      <w:numFmt w:val="decimal"/>
      <w:start w:val="13"/>
    </w:lvl>
  </w:abstractNum>
  <w:abstractNum w:abstractNumId="64">
    <w:nsid w:val="8F2B15E"/>
    <w:multiLevelType w:val="hybridMultilevel"/>
    <w:lvl w:ilvl="0">
      <w:lvlJc w:val="left"/>
      <w:lvlText w:val="%1."/>
      <w:numFmt w:val="decimal"/>
      <w:start w:val="14"/>
    </w:lvl>
  </w:abstractNum>
  <w:abstractNum w:abstractNumId="65">
    <w:nsid w:val="1A32234B"/>
    <w:multiLevelType w:val="hybridMultilevel"/>
    <w:lvl w:ilvl="0">
      <w:lvlJc w:val="left"/>
      <w:lvlText w:val="(%1)"/>
      <w:numFmt w:val="lowerLetter"/>
      <w:start w:val="1"/>
    </w:lvl>
  </w:abstractNum>
  <w:abstractNum w:abstractNumId="66">
    <w:nsid w:val="3B0FD379"/>
    <w:multiLevelType w:val="hybridMultilevel"/>
    <w:lvl w:ilvl="0">
      <w:lvlJc w:val="left"/>
      <w:lvlText w:val="%1."/>
      <w:numFmt w:val="decimal"/>
      <w:start w:val="15"/>
    </w:lvl>
  </w:abstractNum>
  <w:abstractNum w:abstractNumId="67">
    <w:nsid w:val="68EB2F63"/>
    <w:multiLevelType w:val="hybridMultilevel"/>
    <w:lvl w:ilvl="0">
      <w:lvlJc w:val="left"/>
      <w:lvlText w:val="(%1)"/>
      <w:numFmt w:val="lowerRoman"/>
      <w:start w:val="4"/>
    </w:lvl>
    <w:lvl w:ilvl="1">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lowerRoman"/>
      <w:start w:val="1"/>
    </w:lvl>
  </w:abstractNum>
  <w:abstractNum w:abstractNumId="73">
    <w:nsid w:val="1A27709E"/>
    <w:multiLevelType w:val="hybridMultilevel"/>
    <w:lvl w:ilvl="0">
      <w:lvlJc w:val="left"/>
      <w:lvlText w:val="(%1)"/>
      <w:numFmt w:val="lowerLetter"/>
      <w:start w:val="1"/>
    </w:lvl>
    <w:lvl w:ilvl="1">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lvl w:ilvl="1">
      <w:lvlJc w:val="left"/>
      <w:lvlText w:val="-"/>
      <w:numFmt w:val="bullet"/>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decimal"/>
      <w:start w:val="5"/>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decimal"/>
      <w:start w:val="5"/>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2019-12-05T10:17:15Z</dcterms:created>
  <dcterms:modified xsi:type="dcterms:W3CDTF">2019-12-05T10:17:15Z</dcterms:modified>
</cp:coreProperties>
</file>