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558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5"/>
              </w:rPr>
              <w:t>(State or other jurisdiction of</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2"/>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60" w:type="dxa"/>
            <w:vAlign w:val="bottom"/>
          </w:tcPr>
          <w:p>
            <w:pPr>
              <w:jc w:val="center"/>
              <w:spacing w:after="0"/>
              <w:rPr>
                <w:sz w:val="20"/>
                <w:szCs w:val="20"/>
                <w:color w:val="auto"/>
              </w:rPr>
            </w:pPr>
            <w:r>
              <w:rPr>
                <w:rFonts w:ascii="Arial" w:cs="Arial" w:eastAsia="Arial" w:hAnsi="Arial"/>
                <w:sz w:val="18"/>
                <w:szCs w:val="18"/>
                <w:color w:val="auto"/>
                <w:w w:val="93"/>
              </w:rPr>
              <w:t>One M &amp; T Plaza</w:t>
            </w:r>
          </w:p>
        </w:tc>
        <w:tc>
          <w:tcPr>
            <w:tcW w:w="5580" w:type="dxa"/>
            <w:vAlign w:val="bottom"/>
          </w:tcPr>
          <w:p>
            <w:pPr>
              <w:spacing w:after="0"/>
              <w:rPr>
                <w:sz w:val="24"/>
                <w:szCs w:val="24"/>
                <w:color w:val="auto"/>
              </w:rPr>
            </w:pP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5"/>
              </w:rPr>
              <w:t>Buffalo, New York</w:t>
            </w:r>
          </w:p>
        </w:tc>
        <w:tc>
          <w:tcPr>
            <w:tcW w:w="5580" w:type="dxa"/>
            <w:vAlign w:val="bottom"/>
          </w:tcPr>
          <w:p>
            <w:pPr>
              <w:spacing w:after="0"/>
              <w:rPr>
                <w:sz w:val="18"/>
                <w:szCs w:val="18"/>
                <w:color w:val="auto"/>
              </w:rPr>
            </w:pP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(Address of principal</w:t>
            </w:r>
          </w:p>
        </w:tc>
        <w:tc>
          <w:tcPr>
            <w:tcW w:w="558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5580" w:type="dxa"/>
            <w:vAlign w:val="bottom"/>
          </w:tcPr>
          <w:p>
            <w:pPr>
              <w:jc w:val="center"/>
              <w:ind w:left="4130"/>
              <w:spacing w:after="0"/>
              <w:rPr>
                <w:sz w:val="20"/>
                <w:szCs w:val="20"/>
                <w:color w:val="auto"/>
              </w:rPr>
            </w:pPr>
            <w:r>
              <w:rPr>
                <w:rFonts w:ascii="Arial" w:cs="Arial" w:eastAsia="Arial" w:hAnsi="Arial"/>
                <w:sz w:val="18"/>
                <w:szCs w:val="18"/>
                <w:color w:val="auto"/>
                <w:w w:val="94"/>
              </w:rPr>
              <w:t>(Zip Code)</w:t>
            </w:r>
          </w:p>
        </w:tc>
      </w:tr>
      <w:tr>
        <w:trPr>
          <w:trHeight w:val="310"/>
        </w:trPr>
        <w:tc>
          <w:tcPr>
            <w:tcW w:w="2160" w:type="dxa"/>
            <w:vAlign w:val="bottom"/>
          </w:tcPr>
          <w:p>
            <w:pPr>
              <w:spacing w:after="0"/>
              <w:rPr>
                <w:sz w:val="24"/>
                <w:szCs w:val="24"/>
                <w:color w:val="auto"/>
              </w:rPr>
            </w:pPr>
          </w:p>
        </w:tc>
        <w:tc>
          <w:tcPr>
            <w:tcW w:w="5580" w:type="dxa"/>
            <w:vAlign w:val="bottom"/>
          </w:tcPr>
          <w:p>
            <w:pPr>
              <w:jc w:val="right"/>
              <w:ind w:right="3010"/>
              <w:spacing w:after="0"/>
              <w:rPr>
                <w:sz w:val="20"/>
                <w:szCs w:val="20"/>
                <w:color w:val="auto"/>
              </w:rPr>
            </w:pPr>
            <w:r>
              <w:rPr>
                <w:rFonts w:ascii="Arial" w:cs="Arial" w:eastAsia="Arial" w:hAnsi="Arial"/>
                <w:sz w:val="18"/>
                <w:szCs w:val="18"/>
                <w:color w:val="auto"/>
              </w:rPr>
              <w:t>(716) 842-5445</w:t>
            </w:r>
          </w:p>
        </w:tc>
      </w:tr>
      <w:tr>
        <w:trPr>
          <w:trHeight w:val="230"/>
        </w:trPr>
        <w:tc>
          <w:tcPr>
            <w:tcW w:w="2160" w:type="dxa"/>
            <w:vAlign w:val="bottom"/>
          </w:tcPr>
          <w:p>
            <w:pPr>
              <w:spacing w:after="0"/>
              <w:rPr>
                <w:sz w:val="20"/>
                <w:szCs w:val="20"/>
                <w:color w:val="auto"/>
              </w:rPr>
            </w:pPr>
          </w:p>
        </w:tc>
        <w:tc>
          <w:tcPr>
            <w:tcW w:w="5580" w:type="dxa"/>
            <w:vAlign w:val="bottom"/>
          </w:tcPr>
          <w:p>
            <w:pPr>
              <w:jc w:val="center"/>
              <w:ind w:right="16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94"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July 20, 2007: 107,185,103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June 30,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Borders>
              <w:bottom w:val="single" w:sz="8" w:color="auto"/>
            </w:tcBorders>
            <w:gridSpan w:val="26"/>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Page</w:t>
            </w:r>
          </w:p>
        </w:tc>
      </w:tr>
      <w:tr>
        <w:trPr>
          <w:trHeight w:val="169"/>
        </w:trPr>
        <w:tc>
          <w:tcPr>
            <w:tcW w:w="9980" w:type="dxa"/>
            <w:vAlign w:val="bottom"/>
            <w:gridSpan w:val="2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24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June 30, 2007 and December 31, 2006</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six months ended June 30, 2007 and 2006</w:t>
              </w:r>
            </w:hyperlink>
          </w:p>
        </w:tc>
        <w:tc>
          <w:tcPr>
            <w:tcW w:w="2020" w:type="dxa"/>
            <w:vAlign w:val="bottom"/>
            <w:gridSpan w:val="3"/>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Six months ended June 30, 2007 and 2006</w:t>
              </w:r>
            </w:hyperlink>
          </w:p>
        </w:tc>
        <w:tc>
          <w:tcPr>
            <w:tcW w:w="2340" w:type="dxa"/>
            <w:vAlign w:val="bottom"/>
            <w:gridSpan w:val="4"/>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 OF CHANGES IN STOCKHOLDERS’ EQUITY — Six months ended June 30, 2007 and 2006</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Borders>
              <w:top w:val="single" w:sz="8" w:color="0000EE"/>
            </w:tcBorders>
            <w:gridSpan w:val="2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SUMMARY OF CHANGES IN ALLOWANCE FOR CREDIT LOSSES — Six months ended June 30, 2007</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2006</w:t>
              </w:r>
            </w:hyperlink>
          </w:p>
        </w:tc>
        <w:tc>
          <w:tcPr>
            <w:tcW w:w="28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19</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720" w:type="dxa"/>
            <w:vAlign w:val="bottom"/>
            <w:gridSpan w:val="5"/>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 Controls and Procedures.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Part II. OTHER INFORMATION</w:t>
              </w:r>
            </w:hyperlink>
          </w:p>
        </w:tc>
        <w:tc>
          <w:tcPr>
            <w:tcW w:w="754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 Legal Proceedings.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1A. Risk Factors.</w:t>
              </w:r>
            </w:hyperlink>
          </w:p>
        </w:tc>
        <w:tc>
          <w:tcPr>
            <w:tcW w:w="7840" w:type="dxa"/>
            <w:vAlign w:val="bottom"/>
            <w:gridSpan w:val="16"/>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2. Unregistered Sales of Equity Securities and Use of Proceeds.</w:t>
              </w:r>
            </w:hyperlink>
          </w:p>
        </w:tc>
        <w:tc>
          <w:tcPr>
            <w:tcW w:w="4820" w:type="dxa"/>
            <w:vAlign w:val="bottom"/>
            <w:gridSpan w:val="8"/>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52</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3. Defaults Upon Senior Securities.</w:t>
              </w:r>
            </w:hyperlink>
          </w:p>
        </w:tc>
        <w:tc>
          <w:tcPr>
            <w:tcW w:w="6840" w:type="dxa"/>
            <w:vAlign w:val="bottom"/>
            <w:gridSpan w:val="11"/>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52</w:t>
            </w:r>
          </w:p>
        </w:tc>
      </w:tr>
      <w:tr>
        <w:trPr>
          <w:trHeight w:val="412"/>
        </w:trPr>
        <w:tc>
          <w:tcPr>
            <w:tcW w:w="22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4. Submission of Matters to a Vote of Security Holders.</w:t>
              </w:r>
            </w:hyperlink>
          </w:p>
        </w:tc>
        <w:tc>
          <w:tcPr>
            <w:tcW w:w="5400" w:type="dxa"/>
            <w:vAlign w:val="bottom"/>
            <w:gridSpan w:val="9"/>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52</w:t>
            </w: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5. Other Information.</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52</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860" w:type="dxa"/>
            <w:vAlign w:val="bottom"/>
            <w:gridSpan w:val="17"/>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53</w:t>
            </w:r>
          </w:p>
        </w:tc>
      </w:tr>
      <w:tr>
        <w:trPr>
          <w:trHeight w:val="412"/>
        </w:trPr>
        <w:tc>
          <w:tcPr>
            <w:tcW w:w="998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53</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4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 INDEX</w:t>
              </w:r>
            </w:hyperlink>
          </w:p>
        </w:tc>
        <w:tc>
          <w:tcPr>
            <w:tcW w:w="8640" w:type="dxa"/>
            <w:vAlign w:val="bottom"/>
            <w:gridSpan w:val="20"/>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54</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124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174"/>
        </w:trPr>
        <w:tc>
          <w:tcPr>
            <w:tcW w:w="852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20" w:type="dxa"/>
            <w:vAlign w:val="bottom"/>
          </w:tcPr>
          <w:p>
            <w:pPr>
              <w:spacing w:after="0"/>
              <w:rPr>
                <w:sz w:val="15"/>
                <w:szCs w:val="15"/>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color w:val="auto"/>
              </w:rPr>
              <w:t>2007</w:t>
            </w: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1,301,894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1,605,506</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Interest-bearing deposits at banks</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6,954</w:t>
            </w:r>
          </w:p>
        </w:tc>
        <w:tc>
          <w:tcPr>
            <w:tcW w:w="1240" w:type="dxa"/>
            <w:vAlign w:val="bottom"/>
          </w:tcPr>
          <w:p>
            <w:pPr>
              <w:jc w:val="right"/>
              <w:spacing w:after="0"/>
              <w:rPr>
                <w:sz w:val="20"/>
                <w:szCs w:val="20"/>
                <w:color w:val="auto"/>
              </w:rPr>
            </w:pPr>
            <w:r>
              <w:rPr>
                <w:rFonts w:ascii="Arial" w:cs="Arial" w:eastAsia="Arial" w:hAnsi="Arial"/>
                <w:sz w:val="18"/>
                <w:szCs w:val="18"/>
                <w:color w:val="auto"/>
              </w:rPr>
              <w:t>6,639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34,924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Agreements to resell securities</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300,000</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152,410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136,752</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Available for sale (cost: $6,602,066 at June 30, 2007; $6,878,332 at December 31,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6,527,672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6,829,848</w:t>
            </w: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680" w:type="dxa"/>
            <w:vAlign w:val="bottom"/>
          </w:tcPr>
          <w:p>
            <w:pPr>
              <w:ind w:left="200"/>
              <w:spacing w:after="0" w:line="201" w:lineRule="exact"/>
              <w:rPr>
                <w:sz w:val="20"/>
                <w:szCs w:val="20"/>
                <w:color w:val="auto"/>
              </w:rPr>
            </w:pPr>
            <w:r>
              <w:rPr>
                <w:rFonts w:ascii="Arial" w:cs="Arial" w:eastAsia="Arial" w:hAnsi="Arial"/>
                <w:sz w:val="18"/>
                <w:szCs w:val="18"/>
                <w:color w:val="auto"/>
                <w:w w:val="96"/>
              </w:rPr>
              <w:t>Held to maturity (market value: $64,538 at June 30, 2007; $66,729 at December 31,</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20"/>
                <w:szCs w:val="20"/>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63,165</w:t>
            </w:r>
          </w:p>
        </w:tc>
        <w:tc>
          <w:tcPr>
            <w:tcW w:w="1240" w:type="dxa"/>
            <w:vAlign w:val="bottom"/>
          </w:tcPr>
          <w:p>
            <w:pPr>
              <w:jc w:val="right"/>
              <w:spacing w:after="0"/>
              <w:rPr>
                <w:sz w:val="20"/>
                <w:szCs w:val="20"/>
                <w:color w:val="auto"/>
              </w:rPr>
            </w:pPr>
            <w:r>
              <w:rPr>
                <w:rFonts w:ascii="Arial" w:cs="Arial" w:eastAsia="Arial" w:hAnsi="Arial"/>
                <w:sz w:val="18"/>
                <w:szCs w:val="18"/>
                <w:color w:val="auto"/>
              </w:rPr>
              <w:t>64,899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8"/>
              </w:rPr>
              <w:t>Other (market value: $391,486 at June 30, 2007; $356,851 at December 31, 2006)</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391,486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356,851</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investment securities</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6,982,323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7,251,598</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8"/>
              </w:rPr>
              <w:t>44,051,106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43,206,954</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420" w:type="dxa"/>
            <w:vAlign w:val="bottom"/>
          </w:tcPr>
          <w:p>
            <w:pPr>
              <w:spacing w:after="0"/>
              <w:rPr>
                <w:sz w:val="18"/>
                <w:szCs w:val="18"/>
                <w:color w:val="auto"/>
              </w:rPr>
            </w:pP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(307,284)</w:t>
            </w:r>
          </w:p>
        </w:tc>
        <w:tc>
          <w:tcPr>
            <w:tcW w:w="1240" w:type="dxa"/>
            <w:vAlign w:val="bottom"/>
          </w:tcPr>
          <w:p>
            <w:pPr>
              <w:jc w:val="right"/>
              <w:spacing w:after="0"/>
              <w:rPr>
                <w:sz w:val="20"/>
                <w:szCs w:val="20"/>
                <w:color w:val="auto"/>
              </w:rPr>
            </w:pPr>
            <w:r>
              <w:rPr>
                <w:rFonts w:ascii="Arial" w:cs="Arial" w:eastAsia="Arial" w:hAnsi="Arial"/>
                <w:sz w:val="18"/>
                <w:szCs w:val="18"/>
                <w:color w:val="auto"/>
              </w:rPr>
              <w:t>(259,657)</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(668,138)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(649,948)</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Loans and leases, net</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8"/>
              </w:rPr>
              <w:t>43,075,684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42,297,349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329,737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335,008</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w w:val="99"/>
              </w:rPr>
              <w:t>2,908,849</w:t>
            </w:r>
          </w:p>
        </w:tc>
        <w:tc>
          <w:tcPr>
            <w:tcW w:w="1240" w:type="dxa"/>
            <w:vAlign w:val="bottom"/>
          </w:tcPr>
          <w:p>
            <w:pPr>
              <w:jc w:val="right"/>
              <w:spacing w:after="0"/>
              <w:rPr>
                <w:sz w:val="20"/>
                <w:szCs w:val="20"/>
                <w:color w:val="auto"/>
              </w:rPr>
            </w:pPr>
            <w:r>
              <w:rPr>
                <w:rFonts w:ascii="Arial" w:cs="Arial" w:eastAsia="Arial" w:hAnsi="Arial"/>
                <w:sz w:val="18"/>
                <w:szCs w:val="18"/>
                <w:color w:val="auto"/>
              </w:rPr>
              <w:t>2,908,849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215,897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250,233</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interest and other assets</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2,560,397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2,153,513</w:t>
            </w:r>
          </w:p>
        </w:tc>
      </w:tr>
      <w:tr>
        <w:trPr>
          <w:trHeight w:val="216"/>
        </w:trPr>
        <w:tc>
          <w:tcPr>
            <w:tcW w:w="20" w:type="dxa"/>
            <w:vAlign w:val="bottom"/>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8"/>
              </w:rPr>
              <w:t>57,869,069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57,064,905</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Liabilities</w:t>
            </w:r>
          </w:p>
        </w:tc>
        <w:tc>
          <w:tcPr>
            <w:tcW w:w="66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1"/>
              <w:spacing w:after="0"/>
              <w:rPr>
                <w:sz w:val="20"/>
                <w:szCs w:val="20"/>
                <w:color w:val="auto"/>
              </w:rPr>
            </w:pPr>
            <w:r>
              <w:rPr>
                <w:rFonts w:ascii="Arial" w:cs="Arial" w:eastAsia="Arial" w:hAnsi="Arial"/>
                <w:sz w:val="18"/>
                <w:szCs w:val="18"/>
                <w:color w:val="auto"/>
                <w:w w:val="99"/>
              </w:rPr>
              <w:t>7,477,576</w:t>
            </w:r>
          </w:p>
        </w:tc>
        <w:tc>
          <w:tcPr>
            <w:tcW w:w="1240" w:type="dxa"/>
            <w:vAlign w:val="bottom"/>
          </w:tcPr>
          <w:p>
            <w:pPr>
              <w:jc w:val="right"/>
              <w:spacing w:after="0"/>
              <w:rPr>
                <w:sz w:val="20"/>
                <w:szCs w:val="20"/>
                <w:color w:val="auto"/>
              </w:rPr>
            </w:pPr>
            <w:r>
              <w:rPr>
                <w:rFonts w:ascii="Arial" w:cs="Arial" w:eastAsia="Arial" w:hAnsi="Arial"/>
                <w:sz w:val="18"/>
                <w:szCs w:val="18"/>
                <w:color w:val="auto"/>
              </w:rPr>
              <w:t>7,879,977</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893,690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940,439</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Savings deposits</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w w:val="88"/>
              </w:rPr>
              <w:t>14,580,257</w:t>
            </w:r>
          </w:p>
        </w:tc>
        <w:tc>
          <w:tcPr>
            <w:tcW w:w="1240" w:type="dxa"/>
            <w:vAlign w:val="bottom"/>
          </w:tcPr>
          <w:p>
            <w:pPr>
              <w:jc w:val="right"/>
              <w:spacing w:after="0"/>
              <w:rPr>
                <w:sz w:val="20"/>
                <w:szCs w:val="20"/>
                <w:color w:val="auto"/>
              </w:rPr>
            </w:pPr>
            <w:r>
              <w:rPr>
                <w:rFonts w:ascii="Arial" w:cs="Arial" w:eastAsia="Arial" w:hAnsi="Arial"/>
                <w:sz w:val="18"/>
                <w:szCs w:val="18"/>
                <w:color w:val="auto"/>
              </w:rPr>
              <w:t>14,169,790</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9,856,193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11,490,629</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Deposits at foreign office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6,610,919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5,429,668</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8"/>
              </w:rPr>
              <w:t>39,418,635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39,910,503</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420" w:type="dxa"/>
            <w:vAlign w:val="bottom"/>
          </w:tcPr>
          <w:p>
            <w:pPr>
              <w:spacing w:after="0"/>
              <w:rPr>
                <w:sz w:val="19"/>
                <w:szCs w:val="19"/>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w w:val="99"/>
              </w:rPr>
              <w:t>2,393,045</w:t>
            </w:r>
          </w:p>
        </w:tc>
        <w:tc>
          <w:tcPr>
            <w:tcW w:w="1240" w:type="dxa"/>
            <w:vAlign w:val="bottom"/>
          </w:tcPr>
          <w:p>
            <w:pPr>
              <w:jc w:val="right"/>
              <w:spacing w:after="0"/>
              <w:rPr>
                <w:sz w:val="20"/>
                <w:szCs w:val="20"/>
                <w:color w:val="auto"/>
              </w:rPr>
            </w:pPr>
            <w:r>
              <w:rPr>
                <w:rFonts w:ascii="Arial" w:cs="Arial" w:eastAsia="Arial" w:hAnsi="Arial"/>
                <w:sz w:val="18"/>
                <w:szCs w:val="18"/>
                <w:color w:val="auto"/>
              </w:rPr>
              <w:t>2,531,684</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540,036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562,530</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897,249</w:t>
            </w:r>
          </w:p>
        </w:tc>
        <w:tc>
          <w:tcPr>
            <w:tcW w:w="1240" w:type="dxa"/>
            <w:vAlign w:val="bottom"/>
          </w:tcPr>
          <w:p>
            <w:pPr>
              <w:jc w:val="right"/>
              <w:spacing w:after="0"/>
              <w:rPr>
                <w:sz w:val="20"/>
                <w:szCs w:val="20"/>
                <w:color w:val="auto"/>
              </w:rPr>
            </w:pPr>
            <w:r>
              <w:rPr>
                <w:rFonts w:ascii="Arial" w:cs="Arial" w:eastAsia="Arial" w:hAnsi="Arial"/>
                <w:sz w:val="18"/>
                <w:szCs w:val="18"/>
                <w:color w:val="auto"/>
              </w:rPr>
              <w:t>888,352</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8,444,797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6,890,741</w:t>
            </w:r>
          </w:p>
        </w:tc>
      </w:tr>
      <w:tr>
        <w:trPr>
          <w:trHeight w:val="230"/>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8"/>
              </w:rPr>
              <w:t>51,693,762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50,783,810</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 par, 1,000,000 shares authorized, none outstanding</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w w:val="95"/>
              </w:rPr>
              <w:t>Common stock, $.50 par, 250,000,000 shares authorized, 120,396,611 shares issued at</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June 30, 2007 and at December 31, 2006</w:t>
            </w:r>
          </w:p>
        </w:tc>
        <w:tc>
          <w:tcPr>
            <w:tcW w:w="420" w:type="dxa"/>
            <w:vAlign w:val="bottom"/>
          </w:tcPr>
          <w:p>
            <w:pPr>
              <w:spacing w:after="0"/>
              <w:rPr>
                <w:sz w:val="20"/>
                <w:szCs w:val="20"/>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60,198</w:t>
            </w:r>
          </w:p>
        </w:tc>
        <w:tc>
          <w:tcPr>
            <w:tcW w:w="1240" w:type="dxa"/>
            <w:vAlign w:val="bottom"/>
          </w:tcPr>
          <w:p>
            <w:pPr>
              <w:jc w:val="right"/>
              <w:spacing w:after="0"/>
              <w:rPr>
                <w:sz w:val="20"/>
                <w:szCs w:val="20"/>
                <w:color w:val="auto"/>
              </w:rPr>
            </w:pPr>
            <w:r>
              <w:rPr>
                <w:rFonts w:ascii="Arial" w:cs="Arial" w:eastAsia="Arial" w:hAnsi="Arial"/>
                <w:sz w:val="18"/>
                <w:szCs w:val="18"/>
                <w:color w:val="auto"/>
              </w:rPr>
              <w:t>60,198</w:t>
            </w: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issuable, 84,124 shares at June 30, 2007; 90,949 shares at December 31,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4,806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w w:val="99"/>
              </w:rPr>
              <w:t>2,895,239</w:t>
            </w:r>
          </w:p>
        </w:tc>
        <w:tc>
          <w:tcPr>
            <w:tcW w:w="1240" w:type="dxa"/>
            <w:vAlign w:val="bottom"/>
          </w:tcPr>
          <w:p>
            <w:pPr>
              <w:jc w:val="right"/>
              <w:spacing w:after="0"/>
              <w:rPr>
                <w:sz w:val="20"/>
                <w:szCs w:val="20"/>
                <w:color w:val="auto"/>
              </w:rPr>
            </w:pPr>
            <w:r>
              <w:rPr>
                <w:rFonts w:ascii="Arial" w:cs="Arial" w:eastAsia="Arial" w:hAnsi="Arial"/>
                <w:sz w:val="18"/>
                <w:szCs w:val="18"/>
                <w:color w:val="auto"/>
              </w:rPr>
              <w:t>2,889,449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4,703,292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4,443,441</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420" w:type="dxa"/>
            <w:vAlign w:val="bottom"/>
          </w:tcPr>
          <w:p>
            <w:pPr>
              <w:spacing w:after="0"/>
              <w:rPr>
                <w:sz w:val="18"/>
                <w:szCs w:val="18"/>
                <w:color w:val="auto"/>
              </w:rPr>
            </w:pP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(66,833)</w:t>
            </w:r>
          </w:p>
        </w:tc>
        <w:tc>
          <w:tcPr>
            <w:tcW w:w="1240" w:type="dxa"/>
            <w:vAlign w:val="bottom"/>
          </w:tcPr>
          <w:p>
            <w:pPr>
              <w:jc w:val="right"/>
              <w:spacing w:after="0"/>
              <w:rPr>
                <w:sz w:val="20"/>
                <w:szCs w:val="20"/>
                <w:color w:val="auto"/>
              </w:rPr>
            </w:pPr>
            <w:r>
              <w:rPr>
                <w:rFonts w:ascii="Arial" w:cs="Arial" w:eastAsia="Arial" w:hAnsi="Arial"/>
                <w:sz w:val="18"/>
                <w:szCs w:val="18"/>
                <w:color w:val="auto"/>
              </w:rPr>
              <w:t>(53,574)</w:t>
            </w: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Treasury stock — common, at cost - 13,250,433 shares at June 30, 2007; 10,179,802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shares at December 31, 2006</w:t>
            </w:r>
          </w:p>
        </w:tc>
        <w:tc>
          <w:tcPr>
            <w:tcW w:w="4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3"/>
              </w:rPr>
              <w:t>(1,421,395)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(1,063,479)</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6,175,307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6,281,095</w:t>
            </w:r>
          </w:p>
        </w:tc>
      </w:tr>
      <w:tr>
        <w:trPr>
          <w:trHeight w:val="216"/>
        </w:trPr>
        <w:tc>
          <w:tcPr>
            <w:tcW w:w="20" w:type="dxa"/>
            <w:vAlign w:val="bottom"/>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8"/>
              </w:rPr>
              <w:t>57,869,069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57,064,905</w:t>
            </w:r>
          </w:p>
        </w:tc>
      </w:tr>
      <w:tr>
        <w:trPr>
          <w:trHeight w:val="41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80" w:type="dxa"/>
            <w:vAlign w:val="bottom"/>
          </w:tcPr>
          <w:p>
            <w:pPr>
              <w:ind w:left="3720"/>
              <w:spacing w:after="0"/>
              <w:rPr>
                <w:sz w:val="20"/>
                <w:szCs w:val="20"/>
                <w:color w:val="auto"/>
              </w:rPr>
            </w:pPr>
            <w:r>
              <w:rPr>
                <w:rFonts w:ascii="Arial" w:cs="Arial" w:eastAsia="Arial" w:hAnsi="Arial"/>
                <w:sz w:val="18"/>
                <w:szCs w:val="18"/>
                <w:color w:val="auto"/>
              </w:rPr>
              <w:t>- 3 -</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gridSpan w:val="2"/>
          </w:tcPr>
          <w:p>
            <w:pPr>
              <w:jc w:val="right"/>
              <w:ind w:right="650"/>
              <w:spacing w:after="0"/>
              <w:rPr>
                <w:sz w:val="20"/>
                <w:szCs w:val="20"/>
                <w:color w:val="auto"/>
              </w:rPr>
            </w:pPr>
            <w:r>
              <w:rPr>
                <w:rFonts w:ascii="Arial" w:cs="Arial" w:eastAsia="Arial" w:hAnsi="Arial"/>
                <w:sz w:val="14"/>
                <w:szCs w:val="14"/>
                <w:color w:val="auto"/>
              </w:rPr>
              <w:t>Three months ended June 30</w:t>
            </w:r>
          </w:p>
        </w:tc>
        <w:tc>
          <w:tcPr>
            <w:tcW w:w="520" w:type="dxa"/>
            <w:vAlign w:val="bottom"/>
          </w:tcPr>
          <w:p>
            <w:pPr>
              <w:spacing w:after="0"/>
              <w:rPr>
                <w:sz w:val="14"/>
                <w:szCs w:val="14"/>
                <w:color w:val="auto"/>
              </w:rPr>
            </w:pPr>
          </w:p>
        </w:tc>
        <w:tc>
          <w:tcPr>
            <w:tcW w:w="2120" w:type="dxa"/>
            <w:vAlign w:val="bottom"/>
            <w:gridSpan w:val="2"/>
          </w:tcPr>
          <w:p>
            <w:pPr>
              <w:jc w:val="right"/>
              <w:ind w:right="350"/>
              <w:spacing w:after="0"/>
              <w:rPr>
                <w:sz w:val="20"/>
                <w:szCs w:val="20"/>
                <w:color w:val="auto"/>
              </w:rPr>
            </w:pPr>
            <w:r>
              <w:rPr>
                <w:rFonts w:ascii="Arial" w:cs="Arial" w:eastAsia="Arial" w:hAnsi="Arial"/>
                <w:sz w:val="14"/>
                <w:szCs w:val="14"/>
                <w:color w:val="auto"/>
              </w:rPr>
              <w:t>Six months ended June 30</w:t>
            </w:r>
          </w:p>
        </w:tc>
      </w:tr>
      <w:tr>
        <w:trPr>
          <w:trHeight w:val="174"/>
        </w:trPr>
        <w:tc>
          <w:tcPr>
            <w:tcW w:w="5400" w:type="dxa"/>
            <w:vAlign w:val="bottom"/>
            <w:gridSpan w:val="4"/>
          </w:tcPr>
          <w:p>
            <w:pPr>
              <w:spacing w:after="0"/>
              <w:rPr>
                <w:sz w:val="20"/>
                <w:szCs w:val="20"/>
                <w:color w:val="auto"/>
              </w:rPr>
            </w:pPr>
            <w:r>
              <w:rPr>
                <w:rFonts w:ascii="Arial" w:cs="Arial" w:eastAsia="Arial" w:hAnsi="Arial"/>
                <w:sz w:val="14"/>
                <w:szCs w:val="14"/>
                <w:i w:val="1"/>
                <w:iCs w:val="1"/>
                <w:color w:val="auto"/>
              </w:rPr>
              <w:t>In thousands, except per share</w:t>
            </w:r>
          </w:p>
        </w:tc>
        <w:tc>
          <w:tcPr>
            <w:tcW w:w="660" w:type="dxa"/>
            <w:vAlign w:val="bottom"/>
          </w:tcPr>
          <w:p>
            <w:pPr>
              <w:spacing w:after="0"/>
              <w:rPr>
                <w:sz w:val="15"/>
                <w:szCs w:val="15"/>
                <w:color w:val="auto"/>
              </w:rPr>
            </w:pPr>
          </w:p>
        </w:tc>
        <w:tc>
          <w:tcPr>
            <w:tcW w:w="1160" w:type="dxa"/>
            <w:vAlign w:val="bottom"/>
          </w:tcPr>
          <w:p>
            <w:pPr>
              <w:jc w:val="right"/>
              <w:ind w:right="631"/>
              <w:spacing w:after="0"/>
              <w:rPr>
                <w:sz w:val="20"/>
                <w:szCs w:val="20"/>
                <w:color w:val="auto"/>
              </w:rPr>
            </w:pPr>
            <w:r>
              <w:rPr>
                <w:rFonts w:ascii="Arial" w:cs="Arial" w:eastAsia="Arial" w:hAnsi="Arial"/>
                <w:sz w:val="14"/>
                <w:szCs w:val="14"/>
                <w:color w:val="auto"/>
              </w:rPr>
              <w:t>2007</w:t>
            </w:r>
          </w:p>
        </w:tc>
        <w:tc>
          <w:tcPr>
            <w:tcW w:w="1560" w:type="dxa"/>
            <w:vAlign w:val="bottom"/>
          </w:tcPr>
          <w:p>
            <w:pPr>
              <w:jc w:val="right"/>
              <w:ind w:right="470"/>
              <w:spacing w:after="0"/>
              <w:rPr>
                <w:sz w:val="20"/>
                <w:szCs w:val="20"/>
                <w:color w:val="auto"/>
              </w:rPr>
            </w:pPr>
            <w:r>
              <w:rPr>
                <w:rFonts w:ascii="Arial" w:cs="Arial" w:eastAsia="Arial" w:hAnsi="Arial"/>
                <w:sz w:val="14"/>
                <w:szCs w:val="14"/>
                <w:color w:val="auto"/>
              </w:rPr>
              <w:t>2006</w:t>
            </w:r>
          </w:p>
        </w:tc>
        <w:tc>
          <w:tcPr>
            <w:tcW w:w="520" w:type="dxa"/>
            <w:vAlign w:val="bottom"/>
          </w:tcPr>
          <w:p>
            <w:pPr>
              <w:spacing w:after="0"/>
              <w:rPr>
                <w:sz w:val="15"/>
                <w:szCs w:val="15"/>
                <w:color w:val="auto"/>
              </w:rPr>
            </w:pPr>
          </w:p>
        </w:tc>
        <w:tc>
          <w:tcPr>
            <w:tcW w:w="1040" w:type="dxa"/>
            <w:vAlign w:val="bottom"/>
          </w:tcPr>
          <w:p>
            <w:pPr>
              <w:jc w:val="right"/>
              <w:ind w:right="471"/>
              <w:spacing w:after="0"/>
              <w:rPr>
                <w:sz w:val="20"/>
                <w:szCs w:val="20"/>
                <w:color w:val="auto"/>
              </w:rPr>
            </w:pPr>
            <w:r>
              <w:rPr>
                <w:rFonts w:ascii="Arial" w:cs="Arial" w:eastAsia="Arial" w:hAnsi="Arial"/>
                <w:sz w:val="14"/>
                <w:szCs w:val="14"/>
                <w:color w:val="auto"/>
              </w:rPr>
              <w:t>2007</w:t>
            </w:r>
          </w:p>
        </w:tc>
        <w:tc>
          <w:tcPr>
            <w:tcW w:w="1080" w:type="dxa"/>
            <w:vAlign w:val="bottom"/>
          </w:tcPr>
          <w:p>
            <w:pPr>
              <w:jc w:val="right"/>
              <w:ind w:right="190"/>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6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Loans and leases, including fees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9"/>
              </w:rPr>
              <w:t>786,421</w:t>
            </w:r>
          </w:p>
        </w:tc>
        <w:tc>
          <w:tcPr>
            <w:tcW w:w="15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713,816</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1,554,542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1,394,533</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Deposits at banks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67</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133</w:t>
            </w: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270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Agreements to resell securities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6,464</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11,005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Trading account</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235</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753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taxable</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82,129</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94,092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166,803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185,780</w:t>
            </w: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from federal taxes</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2,590</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3,734</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5,866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r>
      <w:tr>
        <w:trPr>
          <w:trHeight w:val="216"/>
        </w:trPr>
        <w:tc>
          <w:tcPr>
            <w:tcW w:w="2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interest income</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9"/>
              </w:rPr>
              <w:t>878,176</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812,911</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1,739,225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1,590,183</w:t>
            </w: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Interest expense</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NOW accounts</w:t>
            </w:r>
          </w:p>
        </w:tc>
        <w:tc>
          <w:tcPr>
            <w:tcW w:w="66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1,024</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779</w:t>
            </w:r>
          </w:p>
        </w:tc>
        <w:tc>
          <w:tcPr>
            <w:tcW w:w="520" w:type="dxa"/>
            <w:vAlign w:val="bottom"/>
          </w:tcPr>
          <w:p>
            <w:pPr>
              <w:spacing w:after="0"/>
              <w:rPr>
                <w:sz w:val="19"/>
                <w:szCs w:val="19"/>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2,191</w:t>
            </w:r>
          </w:p>
        </w:tc>
        <w:tc>
          <w:tcPr>
            <w:tcW w:w="108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deposits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60,953</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47,579</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121,795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91,136</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w w:val="89"/>
              </w:rPr>
              <w:t>124,020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139,032</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260,702</w:t>
            </w:r>
          </w:p>
        </w:tc>
        <w:tc>
          <w:tcPr>
            <w:tcW w:w="1080" w:type="dxa"/>
            <w:vAlign w:val="bottom"/>
          </w:tcPr>
          <w:p>
            <w:pPr>
              <w:jc w:val="right"/>
              <w:spacing w:after="0"/>
              <w:rPr>
                <w:sz w:val="20"/>
                <w:szCs w:val="20"/>
                <w:color w:val="auto"/>
              </w:rPr>
            </w:pPr>
            <w:r>
              <w:rPr>
                <w:rFonts w:ascii="Arial" w:cs="Arial" w:eastAsia="Arial" w:hAnsi="Arial"/>
                <w:sz w:val="18"/>
                <w:szCs w:val="18"/>
                <w:color w:val="auto"/>
              </w:rPr>
              <w:t>257,090</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 at foreign office</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48,001</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43,798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95,650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80,601</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73,500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53,623</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137,064</w:t>
            </w:r>
          </w:p>
        </w:tc>
        <w:tc>
          <w:tcPr>
            <w:tcW w:w="1080" w:type="dxa"/>
            <w:vAlign w:val="bottom"/>
          </w:tcPr>
          <w:p>
            <w:pPr>
              <w:jc w:val="right"/>
              <w:spacing w:after="0"/>
              <w:rPr>
                <w:sz w:val="20"/>
                <w:szCs w:val="20"/>
                <w:color w:val="auto"/>
              </w:rPr>
            </w:pPr>
            <w:r>
              <w:rPr>
                <w:rFonts w:ascii="Arial" w:cs="Arial" w:eastAsia="Arial" w:hAnsi="Arial"/>
                <w:sz w:val="18"/>
                <w:szCs w:val="18"/>
                <w:color w:val="auto"/>
              </w:rPr>
              <w:t>104,190</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borrowings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108,766</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81,487</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209,484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162,089</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Total interest expense</w:t>
            </w:r>
          </w:p>
        </w:tc>
        <w:tc>
          <w:tcPr>
            <w:tcW w:w="6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w w:val="89"/>
              </w:rPr>
              <w:t>416,264</w:t>
            </w:r>
          </w:p>
        </w:tc>
        <w:tc>
          <w:tcPr>
            <w:tcW w:w="15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366,298</w:t>
            </w:r>
          </w:p>
        </w:tc>
        <w:tc>
          <w:tcPr>
            <w:tcW w:w="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826,886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696,544</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Net interest income</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461,912</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446,613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912,339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893,639</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Provision for credit losses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30,000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17,000</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57,000</w:t>
            </w:r>
          </w:p>
        </w:tc>
        <w:tc>
          <w:tcPr>
            <w:tcW w:w="10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0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Net interest income after provision for credit losses</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9"/>
              </w:rPr>
              <w:t>431,912</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429,613</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855,339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858,639</w:t>
            </w: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Other income</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Mortgage banking revenues</w:t>
            </w:r>
          </w:p>
        </w:tc>
        <w:tc>
          <w:tcPr>
            <w:tcW w:w="66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35,546</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41,565</w:t>
            </w:r>
          </w:p>
        </w:tc>
        <w:tc>
          <w:tcPr>
            <w:tcW w:w="520" w:type="dxa"/>
            <w:vAlign w:val="bottom"/>
          </w:tcPr>
          <w:p>
            <w:pPr>
              <w:spacing w:after="0"/>
              <w:rPr>
                <w:sz w:val="19"/>
                <w:szCs w:val="19"/>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49,419</w:t>
            </w:r>
          </w:p>
        </w:tc>
        <w:tc>
          <w:tcPr>
            <w:tcW w:w="1080" w:type="dxa"/>
            <w:vAlign w:val="bottom"/>
          </w:tcPr>
          <w:p>
            <w:pPr>
              <w:jc w:val="right"/>
              <w:spacing w:after="0"/>
              <w:rPr>
                <w:sz w:val="20"/>
                <w:szCs w:val="20"/>
                <w:color w:val="auto"/>
              </w:rPr>
            </w:pPr>
            <w:r>
              <w:rPr>
                <w:rFonts w:ascii="Arial" w:cs="Arial" w:eastAsia="Arial" w:hAnsi="Arial"/>
                <w:sz w:val="18"/>
                <w:szCs w:val="18"/>
                <w:color w:val="auto"/>
              </w:rPr>
              <w:t>76,076</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104,626</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95,549</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199,213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184,425</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Trust income</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37,550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34,757</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74,523</w:t>
            </w:r>
          </w:p>
        </w:tc>
        <w:tc>
          <w:tcPr>
            <w:tcW w:w="1080" w:type="dxa"/>
            <w:vAlign w:val="bottom"/>
          </w:tcPr>
          <w:p>
            <w:pPr>
              <w:jc w:val="right"/>
              <w:spacing w:after="0"/>
              <w:rPr>
                <w:sz w:val="20"/>
                <w:szCs w:val="20"/>
                <w:color w:val="auto"/>
              </w:rPr>
            </w:pPr>
            <w:r>
              <w:rPr>
                <w:rFonts w:ascii="Arial" w:cs="Arial" w:eastAsia="Arial" w:hAnsi="Arial"/>
                <w:sz w:val="18"/>
                <w:szCs w:val="18"/>
                <w:color w:val="auto"/>
              </w:rPr>
              <w:t>68,553</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Brokerage services income</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16,654</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14,481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31,866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29,205</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Trading account and foreign exchange gains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6,963</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6,168</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13,186</w:t>
            </w:r>
          </w:p>
        </w:tc>
        <w:tc>
          <w:tcPr>
            <w:tcW w:w="1080" w:type="dxa"/>
            <w:vAlign w:val="bottom"/>
          </w:tcPr>
          <w:p>
            <w:pPr>
              <w:jc w:val="right"/>
              <w:spacing w:after="0"/>
              <w:rPr>
                <w:sz w:val="20"/>
                <w:szCs w:val="20"/>
                <w:color w:val="auto"/>
              </w:rPr>
            </w:pPr>
            <w:r>
              <w:rPr>
                <w:rFonts w:ascii="Arial" w:cs="Arial" w:eastAsia="Arial" w:hAnsi="Arial"/>
                <w:sz w:val="18"/>
                <w:szCs w:val="18"/>
                <w:color w:val="auto"/>
              </w:rPr>
              <w:t>12,674</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bank investment securities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260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w w:val="97"/>
              </w:rPr>
              <w:t>Equity in earnings of Bayview Lending Group LLC</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8,128</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5,700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revenues from operations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73,390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69,846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144,370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144,306</w:t>
            </w:r>
          </w:p>
        </w:tc>
      </w:tr>
      <w:tr>
        <w:trPr>
          <w:trHeight w:val="230"/>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6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w w:val="89"/>
              </w:rPr>
              <w:t>283,117</w:t>
            </w:r>
          </w:p>
        </w:tc>
        <w:tc>
          <w:tcPr>
            <w:tcW w:w="15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262,602</w:t>
            </w:r>
          </w:p>
        </w:tc>
        <w:tc>
          <w:tcPr>
            <w:tcW w:w="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519,600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515,533</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expense</w:t>
            </w: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224,700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217,162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461,454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441,244</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Equipment and net occupancy</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41,099</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42,527</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83,945</w:t>
            </w:r>
          </w:p>
        </w:tc>
        <w:tc>
          <w:tcPr>
            <w:tcW w:w="1080" w:type="dxa"/>
            <w:vAlign w:val="bottom"/>
          </w:tcPr>
          <w:p>
            <w:pPr>
              <w:jc w:val="right"/>
              <w:spacing w:after="0"/>
              <w:rPr>
                <w:sz w:val="20"/>
                <w:szCs w:val="20"/>
                <w:color w:val="auto"/>
              </w:rPr>
            </w:pPr>
            <w:r>
              <w:rPr>
                <w:rFonts w:ascii="Arial" w:cs="Arial" w:eastAsia="Arial" w:hAnsi="Arial"/>
                <w:sz w:val="18"/>
                <w:szCs w:val="18"/>
                <w:color w:val="auto"/>
              </w:rPr>
              <w:t>85,929</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Printing, postage and supplies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8,984</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8,072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17,890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w:t>
            </w:r>
          </w:p>
        </w:tc>
      </w:tr>
      <w:tr>
        <w:trPr>
          <w:trHeight w:val="202"/>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16,457</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11,357</w:t>
            </w:r>
          </w:p>
        </w:tc>
        <w:tc>
          <w:tcPr>
            <w:tcW w:w="5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34,813</w:t>
            </w:r>
          </w:p>
        </w:tc>
        <w:tc>
          <w:tcPr>
            <w:tcW w:w="1080" w:type="dxa"/>
            <w:vAlign w:val="bottom"/>
          </w:tcPr>
          <w:p>
            <w:pPr>
              <w:jc w:val="right"/>
              <w:spacing w:after="0"/>
              <w:rPr>
                <w:sz w:val="20"/>
                <w:szCs w:val="20"/>
                <w:color w:val="auto"/>
              </w:rPr>
            </w:pPr>
            <w:r>
              <w:rPr>
                <w:rFonts w:ascii="Arial" w:cs="Arial" w:eastAsia="Arial" w:hAnsi="Arial"/>
                <w:sz w:val="18"/>
                <w:szCs w:val="18"/>
                <w:color w:val="auto"/>
              </w:rPr>
              <w:t>24,385</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costs of operations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101,411</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97,879</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193,586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190,803</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Total other expense</w:t>
            </w:r>
          </w:p>
        </w:tc>
        <w:tc>
          <w:tcPr>
            <w:tcW w:w="6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w w:val="89"/>
              </w:rPr>
              <w:t>392,651</w:t>
            </w:r>
          </w:p>
        </w:tc>
        <w:tc>
          <w:tcPr>
            <w:tcW w:w="15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376,997</w:t>
            </w:r>
          </w:p>
        </w:tc>
        <w:tc>
          <w:tcPr>
            <w:tcW w:w="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791,688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759,000</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322,378</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315,218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583,251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615,172</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w w:val="89"/>
              </w:rPr>
              <w:t>108,209</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102,645</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193,109</w:t>
            </w:r>
          </w:p>
        </w:tc>
        <w:tc>
          <w:tcPr>
            <w:tcW w:w="1080" w:type="dxa"/>
            <w:vAlign w:val="bottom"/>
          </w:tcPr>
          <w:p>
            <w:pPr>
              <w:jc w:val="right"/>
              <w:spacing w:after="0"/>
              <w:rPr>
                <w:sz w:val="20"/>
                <w:szCs w:val="20"/>
                <w:color w:val="auto"/>
              </w:rPr>
            </w:pPr>
            <w:r>
              <w:rPr>
                <w:rFonts w:ascii="Arial" w:cs="Arial" w:eastAsia="Arial" w:hAnsi="Arial"/>
                <w:sz w:val="18"/>
                <w:szCs w:val="18"/>
                <w:color w:val="auto"/>
              </w:rPr>
              <w:t>199,682</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0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9"/>
              </w:rPr>
              <w:t>214,169</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212,573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390,142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415,490</w:t>
            </w: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Net income per common share</w:t>
            </w: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1.98</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1.95</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3.51</w:t>
            </w: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 per common 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9"/>
              </w:rPr>
              <w:t>107,939</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111,259</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108,811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111,474</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w w:val="89"/>
              </w:rPr>
              <w:t>109,919</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113,968</w:t>
            </w:r>
          </w:p>
        </w:tc>
        <w:tc>
          <w:tcPr>
            <w:tcW w:w="5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111,046</w:t>
            </w:r>
          </w:p>
        </w:tc>
        <w:tc>
          <w:tcPr>
            <w:tcW w:w="1080" w:type="dxa"/>
            <w:vAlign w:val="bottom"/>
          </w:tcPr>
          <w:p>
            <w:pPr>
              <w:jc w:val="right"/>
              <w:spacing w:after="0"/>
              <w:rPr>
                <w:sz w:val="20"/>
                <w:szCs w:val="20"/>
                <w:color w:val="auto"/>
              </w:rPr>
            </w:pPr>
            <w:r>
              <w:rPr>
                <w:rFonts w:ascii="Arial" w:cs="Arial" w:eastAsia="Arial" w:hAnsi="Arial"/>
                <w:sz w:val="18"/>
                <w:szCs w:val="18"/>
                <w:color w:val="auto"/>
              </w:rPr>
              <w:t>114,157</w:t>
            </w:r>
          </w:p>
        </w:tc>
      </w:tr>
      <w:tr>
        <w:trPr>
          <w:trHeight w:val="39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- 4 -</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gridSpan w:val="2"/>
          </w:tcPr>
          <w:p>
            <w:pPr>
              <w:jc w:val="right"/>
              <w:ind w:right="670"/>
              <w:spacing w:after="0"/>
              <w:rPr>
                <w:sz w:val="20"/>
                <w:szCs w:val="20"/>
                <w:color w:val="auto"/>
              </w:rPr>
            </w:pPr>
            <w:r>
              <w:rPr>
                <w:rFonts w:ascii="Arial" w:cs="Arial" w:eastAsia="Arial" w:hAnsi="Arial"/>
                <w:sz w:val="14"/>
                <w:szCs w:val="14"/>
                <w:color w:val="auto"/>
              </w:rPr>
              <w:t>Six months ended June 30</w:t>
            </w:r>
          </w:p>
        </w:tc>
      </w:tr>
      <w:tr>
        <w:trPr>
          <w:trHeight w:val="167"/>
        </w:trPr>
        <w:tc>
          <w:tcPr>
            <w:tcW w:w="2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ind w:right="631"/>
              <w:spacing w:after="0"/>
              <w:rPr>
                <w:sz w:val="20"/>
                <w:szCs w:val="20"/>
                <w:color w:val="auto"/>
              </w:rPr>
            </w:pPr>
            <w:r>
              <w:rPr>
                <w:rFonts w:ascii="Arial" w:cs="Arial" w:eastAsia="Arial" w:hAnsi="Arial"/>
                <w:sz w:val="14"/>
                <w:szCs w:val="14"/>
                <w:color w:val="auto"/>
              </w:rPr>
              <w:t>2007</w:t>
            </w:r>
          </w:p>
        </w:tc>
        <w:tc>
          <w:tcPr>
            <w:tcW w:w="1360" w:type="dxa"/>
            <w:vAlign w:val="bottom"/>
          </w:tcPr>
          <w:p>
            <w:pPr>
              <w:jc w:val="right"/>
              <w:ind w:right="330"/>
              <w:spacing w:after="0"/>
              <w:rPr>
                <w:sz w:val="20"/>
                <w:szCs w:val="20"/>
                <w:color w:val="auto"/>
              </w:rPr>
            </w:pPr>
            <w:r>
              <w:rPr>
                <w:rFonts w:ascii="Arial" w:cs="Arial" w:eastAsia="Arial" w:hAnsi="Arial"/>
                <w:sz w:val="14"/>
                <w:szCs w:val="14"/>
                <w:color w:val="auto"/>
              </w:rPr>
              <w:t>2006</w:t>
            </w: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Cash flows from operating activities</w:t>
            </w:r>
          </w:p>
        </w:tc>
        <w:tc>
          <w:tcPr>
            <w:tcW w:w="5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390,142</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415,490</w:t>
            </w:r>
          </w:p>
        </w:tc>
      </w:tr>
      <w:tr>
        <w:trPr>
          <w:trHeight w:val="202"/>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560" w:type="dxa"/>
            <w:vAlign w:val="bottom"/>
          </w:tcPr>
          <w:p>
            <w:pPr>
              <w:ind w:left="120"/>
              <w:spacing w:after="0" w:line="201" w:lineRule="exact"/>
              <w:rPr>
                <w:sz w:val="20"/>
                <w:szCs w:val="20"/>
                <w:color w:val="auto"/>
              </w:rPr>
            </w:pPr>
            <w:r>
              <w:rPr>
                <w:rFonts w:ascii="Arial" w:cs="Arial" w:eastAsia="Arial" w:hAnsi="Arial"/>
                <w:sz w:val="18"/>
                <w:szCs w:val="18"/>
                <w:color w:val="auto"/>
                <w:w w:val="96"/>
              </w:rPr>
              <w:t>Adjustments to reconcile net income to net cash provided by operating</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activities</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credit losses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57,000</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Depreciation and amortization of premises and equipment</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24,782</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26,849</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capitalized servicing rights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30,994</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30,350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Amortization of core deposit and other intangible assets</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34,813</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24,385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deferred income taxes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(31,717)</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(46,425)</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Asset write-downs</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12,199</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gain on sales of assets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(6,491)</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(9,801)</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Net change in accrued interest receivable, payable</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(1,538)</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34,729</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other accrued income and expense</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7,917</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(25,162)</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Net change in loans originated for sale</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80,018</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(263,186)</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55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Net change in trading account assets and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(10,158)</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5,766</w:t>
            </w: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587,961</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228,198</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flows from investing activities</w:t>
            </w: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 securities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36,261</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95,752</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1,625</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27,333</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Proceeds from maturities of investment securities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Available for sale</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988,866</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824,720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Held to maturity</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21,108</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41,335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 securities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(748,010)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(520,429)</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Held to maturity</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(19,383)</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(30,970)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(36,260)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(27,705)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in agreements to resell securities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(200,000)</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Net increase in loans and leases</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(956,527)</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(779,886)</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investments, net</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(306,823)</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(8,516)</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Additions to capitalized servicing rights</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(28,406)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(32,230)</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net</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(19,614)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(16,736)</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Acquisitions, net of cash acquired</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and banking offices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494,990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Other companies</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(12,172)</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5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(18,263)</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(65,247)</w:t>
            </w: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Net cash used by investing activities</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89"/>
              </w:rPr>
              <w:t>(1,285,426)</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(9,761)</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flows from financing activities</w:t>
            </w: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deposits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(491,050)</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454,307</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Net increase (decrease) in short-term borrowings</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(161,133)</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151,942</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long-term borrowings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94"/>
              </w:rPr>
              <w:t>1,599,895</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Payments on long-term borrowings</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(27,876)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(956,166)</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treasury stock</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(424,995)</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(207,120)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Dividends paid — common</w:t>
            </w:r>
          </w:p>
        </w:tc>
        <w:tc>
          <w:tcPr>
            <w:tcW w:w="460" w:type="dxa"/>
            <w:vAlign w:val="bottom"/>
          </w:tcPr>
          <w:p>
            <w:pPr>
              <w:spacing w:after="0"/>
              <w:rPr>
                <w:sz w:val="18"/>
                <w:szCs w:val="18"/>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(130,191)</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(116,725)</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5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44,669</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54,378</w:t>
            </w: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Net cash provided (used) by financing activities</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409,319</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(119,384)</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(288,146)</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99,053</w:t>
            </w: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4"/>
              </w:rPr>
              <w:t>1,624,964</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1,490,459</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5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4"/>
              </w:rPr>
              <w:t>1,336,818</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1,589,512</w:t>
            </w: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Supplemental disclosure of cash</w:t>
            </w:r>
          </w:p>
        </w:tc>
        <w:tc>
          <w:tcPr>
            <w:tcW w:w="5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flow information</w:t>
            </w:r>
          </w:p>
        </w:tc>
        <w:tc>
          <w:tcPr>
            <w:tcW w:w="5560" w:type="dxa"/>
            <w:vAlign w:val="bottom"/>
          </w:tcPr>
          <w:p>
            <w:pPr>
              <w:ind w:left="120"/>
              <w:spacing w:after="0"/>
              <w:rPr>
                <w:sz w:val="20"/>
                <w:szCs w:val="20"/>
                <w:color w:val="auto"/>
              </w:rPr>
            </w:pPr>
            <w:r>
              <w:rPr>
                <w:rFonts w:ascii="Arial" w:cs="Arial" w:eastAsia="Arial" w:hAnsi="Arial"/>
                <w:sz w:val="18"/>
                <w:szCs w:val="18"/>
                <w:color w:val="auto"/>
              </w:rPr>
              <w:t>Interest received during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11"/>
              <w:spacing w:after="0"/>
              <w:rPr>
                <w:sz w:val="20"/>
                <w:szCs w:val="20"/>
                <w:color w:val="auto"/>
              </w:rPr>
            </w:pPr>
            <w:r>
              <w:rPr>
                <w:rFonts w:ascii="Arial" w:cs="Arial" w:eastAsia="Arial" w:hAnsi="Arial"/>
                <w:sz w:val="18"/>
                <w:szCs w:val="18"/>
                <w:color w:val="auto"/>
                <w:w w:val="94"/>
              </w:rPr>
              <w:t>1,753,066</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1,592,125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 during the period</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833,608</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655,029</w:t>
            </w: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taxes paid during the period</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200,556</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240,021</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89"/>
              </w:rPr>
              <w:t>Supplemental schedule of noncash</w:t>
            </w:r>
          </w:p>
        </w:tc>
        <w:tc>
          <w:tcPr>
            <w:tcW w:w="5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investing and financing activities</w:t>
            </w: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held for sale transferred to loans held for investment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870,759</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Real estate acquired in settlement of loans</w:t>
            </w:r>
          </w:p>
        </w:tc>
        <w:tc>
          <w:tcPr>
            <w:tcW w:w="460" w:type="dxa"/>
            <w:vAlign w:val="bottom"/>
          </w:tcPr>
          <w:p>
            <w:pPr>
              <w:spacing w:after="0"/>
              <w:rPr>
                <w:sz w:val="18"/>
                <w:szCs w:val="18"/>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15,342</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10,325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Fair value of :</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(noncash)</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514,055</w:t>
            </w: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20"/>
                <w:szCs w:val="20"/>
                <w:color w:val="auto"/>
              </w:rPr>
            </w:pP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999,022</w:t>
            </w:r>
          </w:p>
        </w:tc>
      </w:tr>
      <w:tr>
        <w:trPr>
          <w:trHeight w:val="39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60" w:type="dxa"/>
            <w:vAlign w:val="bottom"/>
          </w:tcPr>
          <w:p>
            <w:pPr>
              <w:ind w:left="284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91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Accumulated</w:t>
            </w: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jc w:val="right"/>
              <w:ind w:right="55"/>
              <w:spacing w:after="0" w:line="135" w:lineRule="exact"/>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jc w:val="right"/>
              <w:ind w:right="193"/>
              <w:spacing w:after="0" w:line="135" w:lineRule="exact"/>
              <w:rPr>
                <w:sz w:val="20"/>
                <w:szCs w:val="20"/>
                <w:color w:val="auto"/>
              </w:rPr>
            </w:pPr>
            <w:r>
              <w:rPr>
                <w:rFonts w:ascii="Arial" w:cs="Arial" w:eastAsia="Arial" w:hAnsi="Arial"/>
                <w:sz w:val="13"/>
                <w:szCs w:val="13"/>
                <w:color w:val="auto"/>
              </w:rPr>
              <w:t>Common</w:t>
            </w:r>
          </w:p>
        </w:tc>
        <w:tc>
          <w:tcPr>
            <w:tcW w:w="108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Additional</w:t>
            </w:r>
          </w:p>
        </w:tc>
        <w:tc>
          <w:tcPr>
            <w:tcW w:w="1080" w:type="dxa"/>
            <w:vAlign w:val="bottom"/>
          </w:tcPr>
          <w:p>
            <w:pPr>
              <w:spacing w:after="0"/>
              <w:rPr>
                <w:sz w:val="11"/>
                <w:szCs w:val="11"/>
                <w:color w:val="auto"/>
              </w:rPr>
            </w:pPr>
          </w:p>
        </w:tc>
        <w:tc>
          <w:tcPr>
            <w:tcW w:w="1020" w:type="dxa"/>
            <w:vAlign w:val="bottom"/>
          </w:tcPr>
          <w:p>
            <w:pPr>
              <w:jc w:val="right"/>
              <w:ind w:right="55"/>
              <w:spacing w:after="0" w:line="135" w:lineRule="exact"/>
              <w:rPr>
                <w:sz w:val="20"/>
                <w:szCs w:val="20"/>
                <w:color w:val="auto"/>
              </w:rPr>
            </w:pPr>
            <w:r>
              <w:rPr>
                <w:rFonts w:ascii="Arial" w:cs="Arial" w:eastAsia="Arial" w:hAnsi="Arial"/>
                <w:sz w:val="13"/>
                <w:szCs w:val="13"/>
                <w:color w:val="auto"/>
                <w:w w:val="97"/>
              </w:rPr>
              <w:t>comprehensive</w:t>
            </w: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52"/>
              <w:spacing w:after="0" w:line="135" w:lineRule="exact"/>
              <w:rPr>
                <w:sz w:val="20"/>
                <w:szCs w:val="20"/>
                <w:color w:val="auto"/>
              </w:rPr>
            </w:pPr>
            <w:r>
              <w:rPr>
                <w:rFonts w:ascii="Arial" w:cs="Arial" w:eastAsia="Arial" w:hAnsi="Arial"/>
                <w:sz w:val="13"/>
                <w:szCs w:val="13"/>
                <w:color w:val="auto"/>
                <w:w w:val="88"/>
              </w:rPr>
              <w:t>Preferred</w:t>
            </w:r>
          </w:p>
        </w:tc>
        <w:tc>
          <w:tcPr>
            <w:tcW w:w="960" w:type="dxa"/>
            <w:vAlign w:val="bottom"/>
          </w:tcPr>
          <w:p>
            <w:pPr>
              <w:jc w:val="right"/>
              <w:ind w:right="152"/>
              <w:spacing w:after="0" w:line="135" w:lineRule="exact"/>
              <w:rPr>
                <w:sz w:val="20"/>
                <w:szCs w:val="20"/>
                <w:color w:val="auto"/>
              </w:rPr>
            </w:pPr>
            <w:r>
              <w:rPr>
                <w:rFonts w:ascii="Arial" w:cs="Arial" w:eastAsia="Arial" w:hAnsi="Arial"/>
                <w:sz w:val="13"/>
                <w:szCs w:val="13"/>
                <w:color w:val="auto"/>
              </w:rPr>
              <w:t>Common</w:t>
            </w:r>
          </w:p>
        </w:tc>
        <w:tc>
          <w:tcPr>
            <w:tcW w:w="1000" w:type="dxa"/>
            <w:vAlign w:val="bottom"/>
          </w:tcPr>
          <w:p>
            <w:pPr>
              <w:jc w:val="right"/>
              <w:ind w:right="193"/>
              <w:spacing w:after="0" w:line="135" w:lineRule="exact"/>
              <w:rPr>
                <w:sz w:val="20"/>
                <w:szCs w:val="20"/>
                <w:color w:val="auto"/>
              </w:rPr>
            </w:pPr>
            <w:r>
              <w:rPr>
                <w:rFonts w:ascii="Arial" w:cs="Arial" w:eastAsia="Arial" w:hAnsi="Arial"/>
                <w:sz w:val="13"/>
                <w:szCs w:val="13"/>
                <w:color w:val="auto"/>
              </w:rPr>
              <w:t>stock</w:t>
            </w:r>
          </w:p>
        </w:tc>
        <w:tc>
          <w:tcPr>
            <w:tcW w:w="108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paid-in</w:t>
            </w:r>
          </w:p>
        </w:tc>
        <w:tc>
          <w:tcPr>
            <w:tcW w:w="1080" w:type="dxa"/>
            <w:vAlign w:val="bottom"/>
          </w:tcPr>
          <w:p>
            <w:pPr>
              <w:jc w:val="right"/>
              <w:ind w:right="92"/>
              <w:spacing w:after="0" w:line="135" w:lineRule="exact"/>
              <w:rPr>
                <w:sz w:val="20"/>
                <w:szCs w:val="20"/>
                <w:color w:val="auto"/>
              </w:rPr>
            </w:pPr>
            <w:r>
              <w:rPr>
                <w:rFonts w:ascii="Arial" w:cs="Arial" w:eastAsia="Arial" w:hAnsi="Arial"/>
                <w:sz w:val="13"/>
                <w:szCs w:val="13"/>
                <w:color w:val="auto"/>
              </w:rPr>
              <w:t>Retained</w:t>
            </w:r>
          </w:p>
        </w:tc>
        <w:tc>
          <w:tcPr>
            <w:tcW w:w="1020" w:type="dxa"/>
            <w:vAlign w:val="bottom"/>
          </w:tcPr>
          <w:p>
            <w:pPr>
              <w:jc w:val="right"/>
              <w:ind w:right="55"/>
              <w:spacing w:after="0" w:line="135" w:lineRule="exact"/>
              <w:rPr>
                <w:sz w:val="20"/>
                <w:szCs w:val="20"/>
                <w:color w:val="auto"/>
              </w:rPr>
            </w:pPr>
            <w:r>
              <w:rPr>
                <w:rFonts w:ascii="Arial" w:cs="Arial" w:eastAsia="Arial" w:hAnsi="Arial"/>
                <w:sz w:val="13"/>
                <w:szCs w:val="13"/>
                <w:color w:val="auto"/>
              </w:rPr>
              <w:t>income (loss),</w:t>
            </w:r>
          </w:p>
        </w:tc>
        <w:tc>
          <w:tcPr>
            <w:tcW w:w="1360" w:type="dxa"/>
            <w:vAlign w:val="bottom"/>
          </w:tcPr>
          <w:p>
            <w:pPr>
              <w:jc w:val="right"/>
              <w:ind w:right="213"/>
              <w:spacing w:after="0" w:line="135" w:lineRule="exact"/>
              <w:rPr>
                <w:sz w:val="20"/>
                <w:szCs w:val="20"/>
                <w:color w:val="auto"/>
              </w:rPr>
            </w:pPr>
            <w:r>
              <w:rPr>
                <w:rFonts w:ascii="Arial" w:cs="Arial" w:eastAsia="Arial" w:hAnsi="Arial"/>
                <w:sz w:val="13"/>
                <w:szCs w:val="13"/>
                <w:color w:val="auto"/>
              </w:rPr>
              <w:t>Treasury</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6"/>
        </w:trPr>
        <w:tc>
          <w:tcPr>
            <w:tcW w:w="3000" w:type="dxa"/>
            <w:vAlign w:val="bottom"/>
            <w:gridSpan w:val="2"/>
          </w:tcPr>
          <w:p>
            <w:pPr>
              <w:spacing w:after="0"/>
              <w:rPr>
                <w:sz w:val="20"/>
                <w:szCs w:val="20"/>
                <w:color w:val="auto"/>
              </w:rPr>
            </w:pPr>
            <w:r>
              <w:rPr>
                <w:rFonts w:ascii="Arial" w:cs="Arial" w:eastAsia="Arial" w:hAnsi="Arial"/>
                <w:sz w:val="13"/>
                <w:szCs w:val="13"/>
                <w:color w:val="auto"/>
              </w:rPr>
              <w:t>In thousands, except per share</w:t>
            </w:r>
          </w:p>
        </w:tc>
        <w:tc>
          <w:tcPr>
            <w:tcW w:w="280" w:type="dxa"/>
            <w:vAlign w:val="bottom"/>
          </w:tcPr>
          <w:p>
            <w:pPr>
              <w:spacing w:after="0"/>
              <w:rPr>
                <w:sz w:val="13"/>
                <w:szCs w:val="13"/>
                <w:color w:val="auto"/>
              </w:rPr>
            </w:pPr>
          </w:p>
        </w:tc>
        <w:tc>
          <w:tcPr>
            <w:tcW w:w="740" w:type="dxa"/>
            <w:vAlign w:val="bottom"/>
          </w:tcPr>
          <w:p>
            <w:pPr>
              <w:jc w:val="right"/>
              <w:ind w:right="152"/>
              <w:spacing w:after="0"/>
              <w:rPr>
                <w:sz w:val="20"/>
                <w:szCs w:val="20"/>
                <w:color w:val="auto"/>
              </w:rPr>
            </w:pPr>
            <w:r>
              <w:rPr>
                <w:rFonts w:ascii="Arial" w:cs="Arial" w:eastAsia="Arial" w:hAnsi="Arial"/>
                <w:sz w:val="13"/>
                <w:szCs w:val="13"/>
                <w:color w:val="auto"/>
              </w:rPr>
              <w:t>stock</w:t>
            </w:r>
          </w:p>
        </w:tc>
        <w:tc>
          <w:tcPr>
            <w:tcW w:w="960" w:type="dxa"/>
            <w:vAlign w:val="bottom"/>
          </w:tcPr>
          <w:p>
            <w:pPr>
              <w:jc w:val="right"/>
              <w:ind w:right="152"/>
              <w:spacing w:after="0"/>
              <w:rPr>
                <w:sz w:val="20"/>
                <w:szCs w:val="20"/>
                <w:color w:val="auto"/>
              </w:rPr>
            </w:pPr>
            <w:r>
              <w:rPr>
                <w:rFonts w:ascii="Arial" w:cs="Arial" w:eastAsia="Arial" w:hAnsi="Arial"/>
                <w:sz w:val="13"/>
                <w:szCs w:val="13"/>
                <w:color w:val="auto"/>
              </w:rPr>
              <w:t>stock</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issuable</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capital</w:t>
            </w:r>
          </w:p>
        </w:tc>
        <w:tc>
          <w:tcPr>
            <w:tcW w:w="1080" w:type="dxa"/>
            <w:vAlign w:val="bottom"/>
          </w:tcPr>
          <w:p>
            <w:pPr>
              <w:jc w:val="right"/>
              <w:ind w:right="92"/>
              <w:spacing w:after="0"/>
              <w:rPr>
                <w:sz w:val="20"/>
                <w:szCs w:val="20"/>
                <w:color w:val="auto"/>
              </w:rPr>
            </w:pPr>
            <w:r>
              <w:rPr>
                <w:rFonts w:ascii="Arial" w:cs="Arial" w:eastAsia="Arial" w:hAnsi="Arial"/>
                <w:sz w:val="13"/>
                <w:szCs w:val="13"/>
                <w:color w:val="auto"/>
              </w:rPr>
              <w:t>earnings</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net</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stock</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Total</w:t>
            </w: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Balance — January 1, 2006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60,198</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5,363</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2,886,153</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3,854,275</w:t>
            </w:r>
          </w:p>
        </w:tc>
        <w:tc>
          <w:tcPr>
            <w:tcW w:w="1020" w:type="dxa"/>
            <w:vAlign w:val="bottom"/>
          </w:tcPr>
          <w:p>
            <w:pPr>
              <w:jc w:val="right"/>
              <w:spacing w:after="0"/>
              <w:rPr>
                <w:sz w:val="20"/>
                <w:szCs w:val="20"/>
                <w:color w:val="auto"/>
              </w:rPr>
            </w:pPr>
            <w:r>
              <w:rPr>
                <w:rFonts w:ascii="Arial" w:cs="Arial" w:eastAsia="Arial" w:hAnsi="Arial"/>
                <w:sz w:val="18"/>
                <w:szCs w:val="18"/>
                <w:color w:val="auto"/>
              </w:rPr>
              <w:t>(97,930)</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(831,673)</w:t>
            </w:r>
          </w:p>
        </w:tc>
        <w:tc>
          <w:tcPr>
            <w:tcW w:w="840" w:type="dxa"/>
            <w:vAlign w:val="bottom"/>
          </w:tcPr>
          <w:p>
            <w:pPr>
              <w:jc w:val="right"/>
              <w:spacing w:after="0"/>
              <w:rPr>
                <w:sz w:val="20"/>
                <w:szCs w:val="20"/>
                <w:color w:val="auto"/>
              </w:rPr>
            </w:pPr>
            <w:r>
              <w:rPr>
                <w:rFonts w:ascii="Arial" w:cs="Arial" w:eastAsia="Arial" w:hAnsi="Arial"/>
                <w:sz w:val="18"/>
                <w:szCs w:val="18"/>
                <w:color w:val="auto"/>
              </w:rPr>
              <w:t>5,876,386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415,490</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415,490</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and reclassification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400"/>
              <w:spacing w:after="0" w:line="201" w:lineRule="exact"/>
              <w:rPr>
                <w:sz w:val="20"/>
                <w:szCs w:val="20"/>
                <w:color w:val="auto"/>
              </w:rPr>
            </w:pPr>
            <w:r>
              <w:rPr>
                <w:rFonts w:ascii="Arial" w:cs="Arial" w:eastAsia="Arial" w:hAnsi="Arial"/>
                <w:sz w:val="18"/>
                <w:szCs w:val="18"/>
                <w:color w:val="auto"/>
                <w:w w:val="98"/>
              </w:rPr>
              <w:t>Unrealized losses on investment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8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(49,864)</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(49,864)</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(207,120)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(207,120)</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Repayment of management stock</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ownership program receivable</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and purchase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28,906</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28,906</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(27,493)</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79,894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52,401</w:t>
            </w: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485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 plans, net,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including dividend equivalents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(256)</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(404)</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6"/>
              </w:rPr>
              <w:t>Common stock cash dividends - $1.05</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 share</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(116,725)</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(116,725)</w:t>
            </w: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June 30, 2006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60,198</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5,107</w:t>
            </w: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2,887,441</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4,152,943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(147,794)</w:t>
            </w: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(957,671)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6,000,224</w:t>
            </w:r>
          </w:p>
        </w:tc>
        <w:tc>
          <w:tcPr>
            <w:tcW w:w="60" w:type="dxa"/>
            <w:vAlign w:val="bottom"/>
            <w:tcBorders>
              <w:bottom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60,198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5,060</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2,889,449</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4,443,441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(53,574)</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(1,063,479)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6,281,095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390,142</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390,142</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tax and reclassification</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Unrealized losses on investment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(14,358)</w:t>
            </w:r>
          </w:p>
        </w:tc>
      </w:tr>
      <w:tr>
        <w:trPr>
          <w:trHeight w:val="202"/>
        </w:trPr>
        <w:tc>
          <w:tcPr>
            <w:tcW w:w="20" w:type="dxa"/>
            <w:vAlign w:val="bottom"/>
          </w:tcPr>
          <w:p>
            <w:pPr>
              <w:spacing w:after="0"/>
              <w:rPr>
                <w:sz w:val="17"/>
                <w:szCs w:val="17"/>
                <w:color w:val="auto"/>
              </w:rPr>
            </w:pPr>
          </w:p>
        </w:tc>
        <w:tc>
          <w:tcPr>
            <w:tcW w:w="2980" w:type="dxa"/>
            <w:vAlign w:val="bottom"/>
          </w:tcPr>
          <w:p>
            <w:pPr>
              <w:ind w:left="400"/>
              <w:spacing w:after="0" w:line="201" w:lineRule="exact"/>
              <w:rPr>
                <w:sz w:val="20"/>
                <w:szCs w:val="20"/>
                <w:color w:val="auto"/>
              </w:rPr>
            </w:pPr>
            <w:r>
              <w:rPr>
                <w:rFonts w:ascii="Arial" w:cs="Arial" w:eastAsia="Arial" w:hAnsi="Arial"/>
                <w:sz w:val="18"/>
                <w:szCs w:val="18"/>
                <w:color w:val="auto"/>
              </w:rPr>
              <w:t>Defined benefit plan liability</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600"/>
              <w:spacing w:after="0"/>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gains on cash flow</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hedge</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1,384</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376,883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(424,995)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(424,995)</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and purchase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29,960</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29,960</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(23,808)</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65,682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41,874</w:t>
            </w: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76</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626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 plans, net,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including dividend equivalents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(254)</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(438)</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6"/>
              </w:rPr>
              <w:t>Common stock cash dividends - $1.20</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 share</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(130,191)</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(130,191)</w:t>
            </w: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June 30, 2007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60,198</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4,806</w:t>
            </w: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2,895,239</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4,703,292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(66,833)</w:t>
            </w: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(1,421,395)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6,175,307</w:t>
            </w:r>
          </w:p>
        </w:tc>
        <w:tc>
          <w:tcPr>
            <w:tcW w:w="60" w:type="dxa"/>
            <w:vAlign w:val="bottom"/>
            <w:tcBorders>
              <w:bottom w:val="single" w:sz="8" w:color="auto"/>
            </w:tcBorders>
            <w:shd w:val="clear" w:color="auto" w:fill="CCEEFF"/>
          </w:tcPr>
          <w:p>
            <w:pPr>
              <w:spacing w:after="0"/>
              <w:rPr>
                <w:sz w:val="18"/>
                <w:szCs w:val="18"/>
                <w:color w:val="auto"/>
              </w:rPr>
            </w:pPr>
          </w:p>
        </w:tc>
      </w:tr>
      <w:tr>
        <w:trPr>
          <w:trHeight w:val="439"/>
        </w:trPr>
        <w:tc>
          <w:tcPr>
            <w:tcW w:w="8140" w:type="dxa"/>
            <w:vAlign w:val="bottom"/>
            <w:gridSpan w:val="8"/>
          </w:tcPr>
          <w:p>
            <w:pPr>
              <w:spacing w:after="0"/>
              <w:rPr>
                <w:sz w:val="20"/>
                <w:szCs w:val="20"/>
                <w:color w:val="auto"/>
              </w:rPr>
            </w:pPr>
            <w:r>
              <w:rPr>
                <w:rFonts w:ascii="Arial" w:cs="Arial" w:eastAsia="Arial" w:hAnsi="Arial"/>
                <w:sz w:val="18"/>
                <w:szCs w:val="18"/>
                <w:color w:val="auto"/>
              </w:rPr>
              <w:t>CONSOLIDATED SUMMARY OF CHANGES IN ALLOWANCE FOR CREDIT LOSSES (Unaudited)</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gridSpan w:val="3"/>
          </w:tcPr>
          <w:p>
            <w:pPr>
              <w:jc w:val="right"/>
              <w:ind w:right="100"/>
              <w:spacing w:after="0"/>
              <w:rPr>
                <w:sz w:val="20"/>
                <w:szCs w:val="20"/>
                <w:color w:val="auto"/>
              </w:rPr>
            </w:pPr>
            <w:r>
              <w:rPr>
                <w:rFonts w:ascii="Arial" w:cs="Arial" w:eastAsia="Arial" w:hAnsi="Arial"/>
                <w:sz w:val="14"/>
                <w:szCs w:val="14"/>
                <w:color w:val="auto"/>
              </w:rPr>
              <w:t>Six months ended June 30</w:t>
            </w:r>
          </w:p>
        </w:tc>
      </w:tr>
      <w:tr>
        <w:trPr>
          <w:trHeight w:val="174"/>
        </w:trPr>
        <w:tc>
          <w:tcPr>
            <w:tcW w:w="3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jc w:val="right"/>
              <w:ind w:right="493"/>
              <w:spacing w:after="0"/>
              <w:rPr>
                <w:sz w:val="20"/>
                <w:szCs w:val="20"/>
                <w:color w:val="auto"/>
              </w:rPr>
            </w:pPr>
            <w:r>
              <w:rPr>
                <w:rFonts w:ascii="Arial" w:cs="Arial" w:eastAsia="Arial" w:hAnsi="Arial"/>
                <w:sz w:val="14"/>
                <w:szCs w:val="14"/>
                <w:color w:val="auto"/>
              </w:rPr>
              <w:t>2007</w:t>
            </w:r>
          </w:p>
        </w:tc>
        <w:tc>
          <w:tcPr>
            <w:tcW w:w="840" w:type="dxa"/>
            <w:vAlign w:val="bottom"/>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4"/>
              </w:rPr>
              <w:t>$ 649,948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637,663</w:t>
            </w: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Arial" w:cs="Arial" w:eastAsia="Arial" w:hAnsi="Arial"/>
                <w:sz w:val="18"/>
                <w:szCs w:val="18"/>
                <w:color w:val="auto"/>
              </w:rPr>
              <w:t>57,000</w:t>
            </w:r>
          </w:p>
        </w:tc>
        <w:tc>
          <w:tcPr>
            <w:tcW w:w="84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(53,067)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(43,553)</w:t>
            </w: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14,257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w:t>
            </w:r>
          </w:p>
        </w:tc>
        <w:tc>
          <w:tcPr>
            <w:tcW w:w="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net charge-offs</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(38,810)</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(26,812)</w:t>
            </w: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4"/>
              </w:rPr>
              <w:t>$ 668,138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645,851</w:t>
            </w:r>
          </w:p>
        </w:tc>
        <w:tc>
          <w:tcPr>
            <w:tcW w:w="60" w:type="dxa"/>
            <w:vAlign w:val="bottom"/>
            <w:tcBorders>
              <w:bottom w:val="single" w:sz="8" w:color="auto"/>
            </w:tcBorders>
            <w:shd w:val="clear" w:color="auto" w:fill="CCEEFF"/>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- 6 -</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2006 Annual Report, except as described below. In the opinion of management, all adjustments necessary for a fair presentation have been made and were all of a normal recurring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10"/>
          </w:tcPr>
          <w:p>
            <w:pPr>
              <w:ind w:left="500"/>
              <w:spacing w:after="0"/>
              <w:rPr>
                <w:sz w:val="20"/>
                <w:szCs w:val="20"/>
                <w:color w:val="auto"/>
              </w:rPr>
            </w:pPr>
            <w:r>
              <w:rPr>
                <w:rFonts w:ascii="Arial" w:cs="Arial" w:eastAsia="Arial" w:hAnsi="Arial"/>
                <w:sz w:val="14"/>
                <w:szCs w:val="14"/>
                <w:color w:val="auto"/>
              </w:rPr>
              <w:t>Three months ended</w:t>
            </w:r>
          </w:p>
        </w:tc>
        <w:tc>
          <w:tcPr>
            <w:tcW w:w="620" w:type="dxa"/>
            <w:vAlign w:val="bottom"/>
          </w:tcPr>
          <w:p>
            <w:pPr>
              <w:spacing w:after="0"/>
              <w:rPr>
                <w:sz w:val="14"/>
                <w:szCs w:val="14"/>
                <w:color w:val="auto"/>
              </w:rPr>
            </w:pPr>
          </w:p>
        </w:tc>
        <w:tc>
          <w:tcPr>
            <w:tcW w:w="1300" w:type="dxa"/>
            <w:vAlign w:val="bottom"/>
            <w:gridSpan w:val="4"/>
          </w:tcPr>
          <w:p>
            <w:pPr>
              <w:jc w:val="center"/>
              <w:ind w:left="184"/>
              <w:spacing w:after="0"/>
              <w:rPr>
                <w:sz w:val="20"/>
                <w:szCs w:val="20"/>
                <w:color w:val="auto"/>
              </w:rPr>
            </w:pPr>
            <w:r>
              <w:rPr>
                <w:rFonts w:ascii="Arial" w:cs="Arial" w:eastAsia="Arial" w:hAnsi="Arial"/>
                <w:sz w:val="14"/>
                <w:szCs w:val="14"/>
                <w:color w:val="auto"/>
                <w:w w:val="92"/>
              </w:rPr>
              <w:t>Six months ended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4"/>
                <w:szCs w:val="14"/>
                <w:color w:val="auto"/>
                <w:w w:val="84"/>
              </w:rPr>
              <w:t>June 30</w:t>
            </w:r>
          </w:p>
        </w:tc>
        <w:tc>
          <w:tcPr>
            <w:tcW w:w="620" w:type="dxa"/>
            <w:vAlign w:val="bottom"/>
            <w:vMerge w:val="restart"/>
          </w:tcPr>
          <w:p>
            <w:pPr>
              <w:jc w:val="right"/>
              <w:ind w:right="55"/>
              <w:spacing w:after="0"/>
              <w:rPr>
                <w:sz w:val="20"/>
                <w:szCs w:val="20"/>
                <w:color w:val="auto"/>
              </w:rPr>
            </w:pPr>
            <w:r>
              <w:rPr>
                <w:rFonts w:ascii="Arial" w:cs="Arial" w:eastAsia="Arial" w:hAnsi="Arial"/>
                <w:sz w:val="14"/>
                <w:szCs w:val="14"/>
                <w:color w:val="auto"/>
              </w:rPr>
              <w:t>2006</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vMerge w:val="restart"/>
          </w:tcPr>
          <w:p>
            <w:pPr>
              <w:jc w:val="right"/>
              <w:ind w:right="364"/>
              <w:spacing w:after="0"/>
              <w:rPr>
                <w:sz w:val="20"/>
                <w:szCs w:val="20"/>
                <w:color w:val="auto"/>
              </w:rPr>
            </w:pPr>
            <w:r>
              <w:rPr>
                <w:rFonts w:ascii="Arial" w:cs="Arial" w:eastAsia="Arial" w:hAnsi="Arial"/>
                <w:sz w:val="14"/>
                <w:szCs w:val="14"/>
                <w:color w:val="auto"/>
              </w:rPr>
              <w:t>2007</w:t>
            </w:r>
          </w:p>
        </w:tc>
        <w:tc>
          <w:tcPr>
            <w:tcW w:w="760" w:type="dxa"/>
            <w:vAlign w:val="bottom"/>
            <w:gridSpan w:val="3"/>
          </w:tcPr>
          <w:p>
            <w:pPr>
              <w:jc w:val="center"/>
              <w:ind w:right="280"/>
              <w:spacing w:after="0"/>
              <w:rPr>
                <w:sz w:val="20"/>
                <w:szCs w:val="20"/>
                <w:color w:val="auto"/>
              </w:rPr>
            </w:pPr>
            <w:r>
              <w:rPr>
                <w:rFonts w:ascii="Arial" w:cs="Arial" w:eastAsia="Arial" w:hAnsi="Arial"/>
                <w:sz w:val="14"/>
                <w:szCs w:val="14"/>
                <w:color w:val="auto"/>
                <w:w w:val="88"/>
              </w:rPr>
              <w:t>June 30</w:t>
            </w:r>
          </w:p>
        </w:tc>
        <w:tc>
          <w:tcPr>
            <w:tcW w:w="780" w:type="dxa"/>
            <w:vAlign w:val="bottom"/>
            <w:gridSpan w:val="2"/>
            <w:vMerge w:val="restart"/>
          </w:tcPr>
          <w:p>
            <w:pPr>
              <w:jc w:val="right"/>
              <w:ind w:right="259"/>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gridSpan w:val="2"/>
            <w:vMerge w:val="restart"/>
          </w:tcPr>
          <w:p>
            <w:pPr>
              <w:ind w:left="160"/>
              <w:spacing w:after="0"/>
              <w:rPr>
                <w:sz w:val="20"/>
                <w:szCs w:val="20"/>
                <w:color w:val="auto"/>
              </w:rPr>
            </w:pPr>
            <w:r>
              <w:rPr>
                <w:rFonts w:ascii="Arial" w:cs="Arial" w:eastAsia="Arial" w:hAnsi="Arial"/>
                <w:sz w:val="13"/>
                <w:szCs w:val="13"/>
                <w:color w:val="auto"/>
                <w:w w:val="72"/>
              </w:rPr>
              <w:t>except</w:t>
            </w:r>
          </w:p>
        </w:tc>
        <w:tc>
          <w:tcPr>
            <w:tcW w:w="1160" w:type="dxa"/>
            <w:vAlign w:val="bottom"/>
            <w:tcBorders>
              <w:bottom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gridSpan w:val="2"/>
            <w:vMerge w:val="continue"/>
          </w:tcPr>
          <w:p>
            <w:pPr>
              <w:spacing w:after="0"/>
              <w:rPr>
                <w:sz w:val="12"/>
                <w:szCs w:val="12"/>
                <w:color w:val="auto"/>
              </w:rPr>
            </w:pPr>
          </w:p>
        </w:tc>
        <w:tc>
          <w:tcPr>
            <w:tcW w:w="1160" w:type="dxa"/>
            <w:vAlign w:val="bottom"/>
            <w:gridSpan w:val="2"/>
          </w:tcPr>
          <w:p>
            <w:pPr>
              <w:jc w:val="right"/>
              <w:ind w:right="404"/>
              <w:spacing w:after="0" w:line="142" w:lineRule="exact"/>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5"/>
              <w:spacing w:after="0"/>
              <w:rPr>
                <w:sz w:val="20"/>
                <w:szCs w:val="20"/>
                <w:color w:val="auto"/>
              </w:rPr>
            </w:pPr>
            <w:r>
              <w:rPr>
                <w:rFonts w:ascii="Arial" w:cs="Arial" w:eastAsia="Arial" w:hAnsi="Arial"/>
                <w:sz w:val="18"/>
                <w:szCs w:val="18"/>
                <w:color w:val="auto"/>
                <w:w w:val="86"/>
              </w:rPr>
              <w:t>214,169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w w:val="92"/>
              </w:rPr>
              <w:t>212,573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right"/>
              <w:ind w:right="204"/>
              <w:spacing w:after="0"/>
              <w:rPr>
                <w:sz w:val="20"/>
                <w:szCs w:val="20"/>
                <w:color w:val="auto"/>
              </w:rPr>
            </w:pPr>
            <w:r>
              <w:rPr>
                <w:rFonts w:ascii="Arial" w:cs="Arial" w:eastAsia="Arial" w:hAnsi="Arial"/>
                <w:sz w:val="18"/>
                <w:szCs w:val="18"/>
                <w:color w:val="auto"/>
              </w:rPr>
              <w:t>390,142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w w:val="89"/>
              </w:rPr>
              <w:t>415,490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outstanding (including common stock</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issuable)</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6"/>
              </w:rPr>
              <w:t>107,939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2"/>
              </w:rPr>
              <w:t>111,259</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108,811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89"/>
              </w:rPr>
              <w:t>111,474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5"/>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right"/>
              <w:ind w:right="204"/>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The computations of diluted earnings per share follow:</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7"/>
          </w:tcPr>
          <w:p>
            <w:pPr>
              <w:jc w:val="center"/>
              <w:ind w:right="180"/>
              <w:spacing w:after="0"/>
              <w:rPr>
                <w:sz w:val="20"/>
                <w:szCs w:val="20"/>
                <w:color w:val="auto"/>
              </w:rPr>
            </w:pPr>
            <w:r>
              <w:rPr>
                <w:rFonts w:ascii="Arial" w:cs="Arial" w:eastAsia="Arial" w:hAnsi="Arial"/>
                <w:sz w:val="14"/>
                <w:szCs w:val="14"/>
                <w:color w:val="auto"/>
                <w:w w:val="91"/>
              </w:rPr>
              <w:t>Three months ended</w:t>
            </w:r>
          </w:p>
        </w:tc>
        <w:tc>
          <w:tcPr>
            <w:tcW w:w="620" w:type="dxa"/>
            <w:vAlign w:val="bottom"/>
          </w:tcPr>
          <w:p>
            <w:pPr>
              <w:spacing w:after="0"/>
              <w:rPr>
                <w:sz w:val="24"/>
                <w:szCs w:val="24"/>
                <w:color w:val="auto"/>
              </w:rPr>
            </w:pPr>
          </w:p>
        </w:tc>
        <w:tc>
          <w:tcPr>
            <w:tcW w:w="2180" w:type="dxa"/>
            <w:vAlign w:val="bottom"/>
            <w:gridSpan w:val="7"/>
          </w:tcPr>
          <w:p>
            <w:pPr>
              <w:jc w:val="center"/>
              <w:ind w:right="120"/>
              <w:spacing w:after="0"/>
              <w:rPr>
                <w:sz w:val="20"/>
                <w:szCs w:val="20"/>
                <w:color w:val="auto"/>
              </w:rPr>
            </w:pPr>
            <w:r>
              <w:rPr>
                <w:rFonts w:ascii="Arial" w:cs="Arial" w:eastAsia="Arial" w:hAnsi="Arial"/>
                <w:sz w:val="14"/>
                <w:szCs w:val="14"/>
                <w:color w:val="auto"/>
                <w:w w:val="90"/>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820"/>
              <w:spacing w:after="0" w:line="149" w:lineRule="exact"/>
              <w:rPr>
                <w:sz w:val="20"/>
                <w:szCs w:val="20"/>
                <w:color w:val="auto"/>
              </w:rPr>
            </w:pPr>
            <w:r>
              <w:rPr>
                <w:rFonts w:ascii="Arial" w:cs="Arial" w:eastAsia="Arial" w:hAnsi="Arial"/>
                <w:sz w:val="14"/>
                <w:szCs w:val="14"/>
                <w:color w:val="auto"/>
                <w:w w:val="88"/>
              </w:rPr>
              <w:t>June 30</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88"/>
              </w:rPr>
              <w:t>June 30</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80" w:type="dxa"/>
            <w:vAlign w:val="bottom"/>
            <w:gridSpan w:val="8"/>
          </w:tcPr>
          <w:p>
            <w:pPr>
              <w:ind w:left="120"/>
              <w:spacing w:after="0" w:line="142" w:lineRule="exact"/>
              <w:rPr>
                <w:sz w:val="20"/>
                <w:szCs w:val="20"/>
                <w:color w:val="auto"/>
              </w:rPr>
            </w:pPr>
            <w:r>
              <w:rPr>
                <w:rFonts w:ascii="Arial" w:cs="Arial" w:eastAsia="Arial" w:hAnsi="Arial"/>
                <w:sz w:val="14"/>
                <w:szCs w:val="14"/>
                <w:color w:val="auto"/>
              </w:rPr>
              <w:t>(in thousands, except per share)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214,169</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212,573</w:t>
            </w:r>
          </w:p>
        </w:tc>
        <w:tc>
          <w:tcPr>
            <w:tcW w:w="16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390,142</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415,490</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107,939</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111,259</w:t>
            </w:r>
          </w:p>
        </w:tc>
        <w:tc>
          <w:tcPr>
            <w:tcW w:w="1640" w:type="dxa"/>
            <w:vAlign w:val="bottom"/>
            <w:gridSpan w:val="4"/>
          </w:tcPr>
          <w:p>
            <w:pPr>
              <w:jc w:val="right"/>
              <w:ind w:right="248"/>
              <w:spacing w:after="0"/>
              <w:rPr>
                <w:sz w:val="20"/>
                <w:szCs w:val="20"/>
                <w:color w:val="auto"/>
              </w:rPr>
            </w:pPr>
            <w:r>
              <w:rPr>
                <w:rFonts w:ascii="Arial" w:cs="Arial" w:eastAsia="Arial" w:hAnsi="Arial"/>
                <w:sz w:val="18"/>
                <w:szCs w:val="18"/>
                <w:color w:val="auto"/>
              </w:rPr>
              <w:t>108,811</w:t>
            </w:r>
          </w:p>
        </w:tc>
        <w:tc>
          <w:tcPr>
            <w:tcW w:w="2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111,474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 of stock-based compensation</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2,709</w:t>
            </w:r>
          </w:p>
        </w:tc>
        <w:tc>
          <w:tcPr>
            <w:tcW w:w="16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2,235</w:t>
            </w:r>
          </w:p>
        </w:tc>
        <w:tc>
          <w:tcPr>
            <w:tcW w:w="2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4"/>
        </w:trPr>
        <w:tc>
          <w:tcPr>
            <w:tcW w:w="5360" w:type="dxa"/>
            <w:vAlign w:val="bottom"/>
            <w:gridSpan w:val="2"/>
          </w:tcPr>
          <w:p>
            <w:pPr>
              <w:spacing w:after="0"/>
              <w:rPr>
                <w:sz w:val="20"/>
                <w:szCs w:val="20"/>
                <w:color w:val="auto"/>
              </w:rPr>
            </w:pPr>
            <w:r>
              <w:rPr>
                <w:rFonts w:ascii="Arial" w:cs="Arial" w:eastAsia="Arial" w:hAnsi="Arial"/>
                <w:sz w:val="18"/>
                <w:szCs w:val="18"/>
                <w:color w:val="auto"/>
              </w:rPr>
              <w:t>Adjusted weighted average shares outstanding</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109,919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113,968</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111,046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16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- 7 -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w w:val="91"/>
              </w:rPr>
              <w:t>Six months ended June 30, 2007</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Before-tax</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center"/>
              <w:ind w:right="680"/>
              <w:spacing w:after="0" w:line="123" w:lineRule="exact"/>
              <w:rPr>
                <w:sz w:val="20"/>
                <w:szCs w:val="20"/>
                <w:color w:val="auto"/>
              </w:rPr>
            </w:pPr>
            <w:r>
              <w:rPr>
                <w:rFonts w:ascii="Arial" w:cs="Arial" w:eastAsia="Arial" w:hAnsi="Arial"/>
                <w:sz w:val="14"/>
                <w:szCs w:val="14"/>
                <w:color w:val="auto"/>
                <w:w w:val="95"/>
              </w:rPr>
              <w:t>Income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 (24,587)</w:t>
            </w:r>
          </w:p>
        </w:tc>
        <w:tc>
          <w:tcPr>
            <w:tcW w:w="1900" w:type="dxa"/>
            <w:vAlign w:val="bottom"/>
            <w:gridSpan w:val="5"/>
          </w:tcPr>
          <w:p>
            <w:pPr>
              <w:jc w:val="right"/>
              <w:ind w:right="600"/>
              <w:spacing w:after="0"/>
              <w:rPr>
                <w:sz w:val="20"/>
                <w:szCs w:val="20"/>
                <w:color w:val="auto"/>
              </w:rPr>
            </w:pPr>
            <w:r>
              <w:rPr>
                <w:rFonts w:ascii="Arial" w:cs="Arial" w:eastAsia="Arial" w:hAnsi="Arial"/>
                <w:sz w:val="18"/>
                <w:szCs w:val="18"/>
                <w:color w:val="auto"/>
              </w:rPr>
              <w:t>11,046</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Less: reclassification adjustment for gains realized in net income</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9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(25,910)</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11,552</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cash flow hedge</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9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Defined benefit plan liability adjustment</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(467)</w:t>
            </w:r>
          </w:p>
        </w:tc>
        <w:tc>
          <w:tcPr>
            <w:tcW w:w="1900" w:type="dxa"/>
            <w:vAlign w:val="bottom"/>
            <w:gridSpan w:val="5"/>
          </w:tcPr>
          <w:p>
            <w:pPr>
              <w:jc w:val="right"/>
              <w:ind w:right="60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losses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(24,180)</w:t>
            </w:r>
          </w:p>
        </w:tc>
        <w:tc>
          <w:tcPr>
            <w:tcW w:w="19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10,921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w w:val="91"/>
              </w:rPr>
              <w:t>Six months ended June 30, 2006</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Before-tax</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center"/>
              <w:ind w:right="680"/>
              <w:spacing w:after="0" w:line="123" w:lineRule="exact"/>
              <w:rPr>
                <w:sz w:val="20"/>
                <w:szCs w:val="20"/>
                <w:color w:val="auto"/>
              </w:rPr>
            </w:pPr>
            <w:r>
              <w:rPr>
                <w:rFonts w:ascii="Arial" w:cs="Arial" w:eastAsia="Arial" w:hAnsi="Arial"/>
                <w:sz w:val="14"/>
                <w:szCs w:val="14"/>
                <w:color w:val="auto"/>
                <w:w w:val="95"/>
              </w:rPr>
              <w:t>Income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 (87,097)</w:t>
            </w:r>
          </w:p>
        </w:tc>
        <w:tc>
          <w:tcPr>
            <w:tcW w:w="1900" w:type="dxa"/>
            <w:vAlign w:val="bottom"/>
            <w:gridSpan w:val="5"/>
          </w:tcPr>
          <w:p>
            <w:pPr>
              <w:jc w:val="right"/>
              <w:ind w:right="600"/>
              <w:spacing w:after="0"/>
              <w:rPr>
                <w:sz w:val="20"/>
                <w:szCs w:val="20"/>
                <w:color w:val="auto"/>
              </w:rPr>
            </w:pPr>
            <w:r>
              <w:rPr>
                <w:rFonts w:ascii="Arial" w:cs="Arial" w:eastAsia="Arial" w:hAnsi="Arial"/>
                <w:sz w:val="18"/>
                <w:szCs w:val="18"/>
                <w:color w:val="auto"/>
              </w:rPr>
              <w:t>37,414</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Less: reclassification adjustment for gains realized in net income</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9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Net unrealized losses</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(87,391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37,527</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5"/>
            <w:vMerge w:val="restart"/>
          </w:tcPr>
          <w:p>
            <w:pPr>
              <w:spacing w:after="0"/>
              <w:rPr>
                <w:sz w:val="20"/>
                <w:szCs w:val="20"/>
                <w:color w:val="auto"/>
              </w:rPr>
            </w:pPr>
            <w:r>
              <w:rPr>
                <w:rFonts w:ascii="Arial" w:cs="Arial" w:eastAsia="Arial" w:hAnsi="Arial"/>
                <w:sz w:val="18"/>
                <w:szCs w:val="18"/>
                <w:color w:val="auto"/>
                <w:w w:val="96"/>
              </w:rPr>
              <w:t>Accumulated other comprehensive income (loss), net consisted of unrealized gains (losses) as follows:</w:t>
            </w: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gridSpan w:val="5"/>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color w:val="auto"/>
              </w:rPr>
              <w:t>Cash</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820"/>
              <w:spacing w:after="0"/>
              <w:rPr>
                <w:sz w:val="20"/>
                <w:szCs w:val="20"/>
                <w:color w:val="auto"/>
              </w:rPr>
            </w:pPr>
            <w:r>
              <w:rPr>
                <w:rFonts w:ascii="Arial" w:cs="Arial" w:eastAsia="Arial" w:hAnsi="Arial"/>
                <w:sz w:val="14"/>
                <w:szCs w:val="14"/>
                <w:color w:val="auto"/>
                <w:w w:val="95"/>
              </w:rPr>
              <w:t>Defined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3"/>
              </w:rPr>
              <w:t>Investment</w:t>
            </w:r>
          </w:p>
        </w:tc>
        <w:tc>
          <w:tcPr>
            <w:tcW w:w="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flow</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840"/>
              <w:spacing w:after="0" w:line="149" w:lineRule="exact"/>
              <w:rPr>
                <w:sz w:val="20"/>
                <w:szCs w:val="20"/>
                <w:color w:val="auto"/>
              </w:rPr>
            </w:pPr>
            <w:r>
              <w:rPr>
                <w:rFonts w:ascii="Arial" w:cs="Arial" w:eastAsia="Arial" w:hAnsi="Arial"/>
                <w:sz w:val="14"/>
                <w:szCs w:val="14"/>
                <w:color w:val="auto"/>
                <w:w w:val="95"/>
              </w:rPr>
              <w:t>benefit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color w:val="auto"/>
              </w:rPr>
              <w:t>securities</w:t>
            </w:r>
          </w:p>
        </w:tc>
        <w:tc>
          <w:tcPr>
            <w:tcW w:w="760" w:type="dxa"/>
            <w:vAlign w:val="bottom"/>
            <w:gridSpan w:val="3"/>
          </w:tcPr>
          <w:p>
            <w:pPr>
              <w:ind w:left="120"/>
              <w:spacing w:after="0"/>
              <w:rPr>
                <w:sz w:val="20"/>
                <w:szCs w:val="20"/>
                <w:color w:val="auto"/>
              </w:rPr>
            </w:pPr>
            <w:r>
              <w:rPr>
                <w:rFonts w:ascii="Arial" w:cs="Arial" w:eastAsia="Arial" w:hAnsi="Arial"/>
                <w:sz w:val="14"/>
                <w:szCs w:val="14"/>
                <w:color w:val="auto"/>
              </w:rPr>
              <w:t>hedge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820"/>
              <w:spacing w:after="0"/>
              <w:rPr>
                <w:sz w:val="20"/>
                <w:szCs w:val="20"/>
                <w:color w:val="auto"/>
              </w:rPr>
            </w:pPr>
            <w:r>
              <w:rPr>
                <w:rFonts w:ascii="Arial" w:cs="Arial" w:eastAsia="Arial" w:hAnsi="Arial"/>
                <w:sz w:val="14"/>
                <w:szCs w:val="14"/>
                <w:color w:val="auto"/>
                <w:w w:val="89"/>
              </w:rPr>
              <w:t>plans</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Borders>
              <w:top w:val="single" w:sz="8" w:color="auto"/>
            </w:tcBorders>
            <w:gridSpan w:val="2"/>
          </w:tcPr>
          <w:p>
            <w:pPr>
              <w:spacing w:after="0"/>
              <w:rPr>
                <w:sz w:val="12"/>
                <w:szCs w:val="12"/>
                <w:color w:val="auto"/>
              </w:rPr>
            </w:pPr>
          </w:p>
        </w:tc>
        <w:tc>
          <w:tcPr>
            <w:tcW w:w="68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2007</w:t>
            </w:r>
          </w:p>
        </w:tc>
        <w:tc>
          <w:tcPr>
            <w:tcW w:w="268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(25,311)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(28,263)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2680" w:type="dxa"/>
            <w:vAlign w:val="bottom"/>
            <w:gridSpan w:val="3"/>
          </w:tcPr>
          <w:p>
            <w:pPr>
              <w:jc w:val="right"/>
              <w:ind w:right="660"/>
              <w:spacing w:after="0"/>
              <w:rPr>
                <w:sz w:val="20"/>
                <w:szCs w:val="20"/>
                <w:color w:val="auto"/>
              </w:rPr>
            </w:pPr>
            <w:r>
              <w:rPr>
                <w:rFonts w:ascii="Arial" w:cs="Arial" w:eastAsia="Arial" w:hAnsi="Arial"/>
                <w:sz w:val="18"/>
                <w:szCs w:val="18"/>
                <w:color w:val="auto"/>
              </w:rPr>
              <w:t>(14,358)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(285)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2007</w:t>
            </w:r>
          </w:p>
        </w:tc>
        <w:tc>
          <w:tcPr>
            <w:tcW w:w="1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(39,669)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(28,548)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(66,833)</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tcPr>
          <w:p>
            <w:pPr>
              <w:spacing w:after="0"/>
              <w:rPr>
                <w:sz w:val="20"/>
                <w:szCs w:val="20"/>
                <w:color w:val="auto"/>
              </w:rPr>
            </w:pPr>
            <w:r>
              <w:rPr>
                <w:rFonts w:ascii="Arial" w:cs="Arial" w:eastAsia="Arial" w:hAnsi="Arial"/>
                <w:sz w:val="18"/>
                <w:szCs w:val="18"/>
                <w:color w:val="auto"/>
              </w:rPr>
              <w:t>Balance — January 1, 2006</w:t>
            </w:r>
          </w:p>
        </w:tc>
        <w:tc>
          <w:tcPr>
            <w:tcW w:w="2680" w:type="dxa"/>
            <w:vAlign w:val="bottom"/>
            <w:gridSpan w:val="3"/>
          </w:tcPr>
          <w:p>
            <w:pPr>
              <w:jc w:val="right"/>
              <w:ind w:right="660"/>
              <w:spacing w:after="0"/>
              <w:rPr>
                <w:sz w:val="20"/>
                <w:szCs w:val="20"/>
                <w:color w:val="auto"/>
              </w:rPr>
            </w:pPr>
            <w:r>
              <w:rPr>
                <w:rFonts w:ascii="Arial" w:cs="Arial" w:eastAsia="Arial" w:hAnsi="Arial"/>
                <w:sz w:val="18"/>
                <w:szCs w:val="18"/>
                <w:color w:val="auto"/>
              </w:rPr>
              <w:t>$ (48,576)</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(49,354)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(49,864)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Balance — June 30, 2006</w:t>
            </w:r>
          </w:p>
        </w:tc>
        <w:tc>
          <w:tcPr>
            <w:tcW w:w="128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 (98,440)</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(49,354)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(147,794)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color w:val="auto"/>
              </w:rPr>
              <w:t>- 8 -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M&amp;T Capital Trust I (“Trust I”), M&amp;T Capital Trust II (“Trust II”) and M&amp;T Capital Trust III (“Trust III”) have issued fixed rate preferred capital securities aggregating $310 million. First Maryland Capital I (“Trust IV”) and First Maryland Capital II (“Trust V”) have issued floating rate preferred capital securities aggregating $300 million. The distribution rates on the preferred capital securities of Trust IV and Trust V adjust quarterly based on changes in the three-month London Interbank Offered Rate (“LIBOR”) and were 6.36% and 6.21%, respectively, at June 30, 2007 and 6.37% and 6.22%, respectively, at December 31, 2006. Trust I, Trust II, Trust III, Trust IV and Trust V are referred to herein collectively as the “Trusts.”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following payment terms (and the redemption terms described below), the preferred capital securities issued by the Trusts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substantially identical in all material respects: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2840" w:type="dxa"/>
            <w:vAlign w:val="bottom"/>
          </w:tcPr>
          <w:p>
            <w:pPr>
              <w:spacing w:after="0"/>
              <w:rPr>
                <w:sz w:val="14"/>
                <w:szCs w:val="14"/>
                <w:color w:val="auto"/>
              </w:rPr>
            </w:pPr>
          </w:p>
        </w:tc>
        <w:tc>
          <w:tcPr>
            <w:tcW w:w="4220" w:type="dxa"/>
            <w:vAlign w:val="bottom"/>
          </w:tcPr>
          <w:p>
            <w:pPr>
              <w:ind w:left="1760"/>
              <w:spacing w:after="0"/>
              <w:rPr>
                <w:sz w:val="20"/>
                <w:szCs w:val="20"/>
                <w:color w:val="auto"/>
              </w:rPr>
            </w:pPr>
            <w:r>
              <w:rPr>
                <w:rFonts w:ascii="Arial" w:cs="Arial" w:eastAsia="Arial" w:hAnsi="Arial"/>
                <w:sz w:val="14"/>
                <w:szCs w:val="14"/>
                <w:color w:val="auto"/>
              </w:rPr>
              <w:t>Distribution</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0"/>
              </w:rPr>
              <w:t>rate</w:t>
            </w:r>
          </w:p>
        </w:tc>
        <w:tc>
          <w:tcPr>
            <w:tcW w:w="2840" w:type="dxa"/>
            <w:vAlign w:val="bottom"/>
          </w:tcPr>
          <w:p>
            <w:pPr>
              <w:spacing w:after="0"/>
              <w:rPr>
                <w:sz w:val="14"/>
                <w:szCs w:val="14"/>
                <w:color w:val="auto"/>
              </w:rPr>
            </w:pPr>
          </w:p>
        </w:tc>
        <w:tc>
          <w:tcPr>
            <w:tcW w:w="4220" w:type="dxa"/>
            <w:vAlign w:val="bottom"/>
          </w:tcPr>
          <w:p>
            <w:pPr>
              <w:ind w:left="1960"/>
              <w:spacing w:after="0"/>
              <w:rPr>
                <w:sz w:val="20"/>
                <w:szCs w:val="20"/>
                <w:color w:val="auto"/>
              </w:rPr>
            </w:pPr>
            <w:r>
              <w:rPr>
                <w:rFonts w:ascii="Arial" w:cs="Arial" w:eastAsia="Arial" w:hAnsi="Arial"/>
                <w:sz w:val="14"/>
                <w:szCs w:val="14"/>
                <w:color w:val="auto"/>
              </w:rPr>
              <w:t>dates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2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8.234%</w:t>
            </w:r>
          </w:p>
        </w:tc>
        <w:tc>
          <w:tcPr>
            <w:tcW w:w="2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740" w:type="dxa"/>
            <w:vAlign w:val="bottom"/>
            <w:gridSpan w:val="2"/>
          </w:tcPr>
          <w:p>
            <w:pPr>
              <w:ind w:left="580"/>
              <w:spacing w:after="0"/>
              <w:rPr>
                <w:sz w:val="20"/>
                <w:szCs w:val="20"/>
                <w:color w:val="auto"/>
              </w:rPr>
            </w:pPr>
            <w:r>
              <w:rPr>
                <w:rFonts w:ascii="Arial" w:cs="Arial" w:eastAsia="Arial" w:hAnsi="Arial"/>
                <w:sz w:val="18"/>
                <w:szCs w:val="18"/>
                <w:color w:val="auto"/>
              </w:rPr>
              <w:t>8.277%</w:t>
            </w:r>
          </w:p>
        </w:tc>
        <w:tc>
          <w:tcPr>
            <w:tcW w:w="28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9.25%</w:t>
            </w:r>
          </w:p>
        </w:tc>
        <w:tc>
          <w:tcPr>
            <w:tcW w:w="2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2740" w:type="dxa"/>
            <w:vAlign w:val="bottom"/>
            <w:gridSpan w:val="2"/>
          </w:tcPr>
          <w:p>
            <w:pPr>
              <w:ind w:left="580"/>
              <w:spacing w:after="0"/>
              <w:rPr>
                <w:sz w:val="20"/>
                <w:szCs w:val="20"/>
                <w:color w:val="auto"/>
              </w:rPr>
            </w:pPr>
            <w:r>
              <w:rPr>
                <w:rFonts w:ascii="Arial" w:cs="Arial" w:eastAsia="Arial" w:hAnsi="Arial"/>
                <w:sz w:val="18"/>
                <w:szCs w:val="18"/>
                <w:color w:val="auto"/>
              </w:rPr>
              <w:t>LIBOR plus 1.00%</w:t>
            </w:r>
          </w:p>
        </w:tc>
        <w:tc>
          <w:tcPr>
            <w:tcW w:w="28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2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LIBOR plus .85%</w:t>
            </w:r>
          </w:p>
        </w:tc>
        <w:tc>
          <w:tcPr>
            <w:tcW w:w="2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580" w:type="dxa"/>
            <w:vAlign w:val="bottom"/>
          </w:tcPr>
          <w:p>
            <w:pPr>
              <w:spacing w:after="0"/>
              <w:rPr>
                <w:sz w:val="14"/>
                <w:szCs w:val="14"/>
                <w:color w:val="auto"/>
              </w:rPr>
            </w:pPr>
          </w:p>
        </w:tc>
        <w:tc>
          <w:tcPr>
            <w:tcW w:w="1340" w:type="dxa"/>
            <w:vAlign w:val="bottom"/>
          </w:tcPr>
          <w:p>
            <w:pPr>
              <w:ind w:left="700"/>
              <w:spacing w:after="0"/>
              <w:rPr>
                <w:sz w:val="20"/>
                <w:szCs w:val="20"/>
                <w:color w:val="auto"/>
              </w:rPr>
            </w:pPr>
            <w:r>
              <w:rPr>
                <w:rFonts w:ascii="Arial" w:cs="Arial" w:eastAsia="Arial" w:hAnsi="Arial"/>
                <w:sz w:val="14"/>
                <w:szCs w:val="14"/>
                <w:color w:val="auto"/>
              </w:rPr>
              <w:t>Common</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180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1500" w:type="dxa"/>
            <w:vAlign w:val="bottom"/>
            <w:gridSpan w:val="2"/>
          </w:tcPr>
          <w:p>
            <w:pPr>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Securities</w:t>
            </w:r>
          </w:p>
        </w:tc>
        <w:tc>
          <w:tcPr>
            <w:tcW w:w="580" w:type="dxa"/>
            <w:vAlign w:val="bottom"/>
          </w:tcPr>
          <w:p>
            <w:pPr>
              <w:spacing w:after="0"/>
              <w:rPr>
                <w:sz w:val="14"/>
                <w:szCs w:val="14"/>
                <w:color w:val="auto"/>
              </w:rPr>
            </w:pPr>
          </w:p>
        </w:tc>
        <w:tc>
          <w:tcPr>
            <w:tcW w:w="1340" w:type="dxa"/>
            <w:vAlign w:val="bottom"/>
          </w:tcPr>
          <w:p>
            <w:pPr>
              <w:ind w:left="680"/>
              <w:spacing w:after="0"/>
              <w:rPr>
                <w:sz w:val="20"/>
                <w:szCs w:val="20"/>
                <w:color w:val="auto"/>
              </w:rPr>
            </w:pPr>
            <w:r>
              <w:rPr>
                <w:rFonts w:ascii="Arial" w:cs="Arial" w:eastAsia="Arial" w:hAnsi="Arial"/>
                <w:sz w:val="14"/>
                <w:szCs w:val="14"/>
                <w:color w:val="auto"/>
              </w:rPr>
              <w:t>Securities</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206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Trust I</w:t>
            </w:r>
          </w:p>
        </w:tc>
        <w:tc>
          <w:tcPr>
            <w:tcW w:w="58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$150 million</w:t>
            </w:r>
          </w:p>
        </w:tc>
        <w:tc>
          <w:tcPr>
            <w:tcW w:w="58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$4.64 million</w:t>
            </w:r>
          </w:p>
        </w:tc>
        <w:tc>
          <w:tcPr>
            <w:tcW w:w="60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$154.64 million aggregate liquidation amount of 8.234%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5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$100 million</w:t>
            </w:r>
          </w:p>
        </w:tc>
        <w:tc>
          <w:tcPr>
            <w:tcW w:w="1920" w:type="dxa"/>
            <w:vAlign w:val="bottom"/>
            <w:gridSpan w:val="2"/>
          </w:tcPr>
          <w:p>
            <w:pPr>
              <w:ind w:left="580"/>
              <w:spacing w:after="0"/>
              <w:rPr>
                <w:sz w:val="20"/>
                <w:szCs w:val="20"/>
                <w:color w:val="auto"/>
              </w:rPr>
            </w:pPr>
            <w:r>
              <w:rPr>
                <w:rFonts w:ascii="Arial" w:cs="Arial" w:eastAsia="Arial" w:hAnsi="Arial"/>
                <w:sz w:val="18"/>
                <w:szCs w:val="18"/>
                <w:color w:val="auto"/>
              </w:rPr>
              <w:t>$3.09 million</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$103.09 million aggregate liquidation amount of 8.277%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Subordinated Debentures due June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III</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 million</w:t>
            </w:r>
          </w:p>
        </w:tc>
        <w:tc>
          <w:tcPr>
            <w:tcW w:w="192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$1.856 million</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$61.856 million aggregate liquidation amount of 9.25%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- 9 -</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56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Arial" w:cs="Arial" w:eastAsia="Arial" w:hAnsi="Arial"/>
                <w:sz w:val="14"/>
                <w:szCs w:val="14"/>
                <w:color w:val="auto"/>
              </w:rPr>
              <w:t>Common</w:t>
            </w:r>
          </w:p>
        </w:tc>
        <w:tc>
          <w:tcPr>
            <w:tcW w:w="580" w:type="dxa"/>
            <w:vAlign w:val="bottom"/>
          </w:tcPr>
          <w:p>
            <w:pPr>
              <w:spacing w:after="0"/>
              <w:rPr>
                <w:sz w:val="14"/>
                <w:szCs w:val="14"/>
                <w:color w:val="auto"/>
              </w:rPr>
            </w:pPr>
          </w:p>
        </w:tc>
        <w:tc>
          <w:tcPr>
            <w:tcW w:w="4560" w:type="dxa"/>
            <w:vAlign w:val="bottom"/>
          </w:tcPr>
          <w:p>
            <w:pPr>
              <w:ind w:left="170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Securities</w:t>
            </w:r>
          </w:p>
        </w:tc>
        <w:tc>
          <w:tcPr>
            <w:tcW w:w="560" w:type="dxa"/>
            <w:vAlign w:val="bottom"/>
          </w:tcPr>
          <w:p>
            <w:pPr>
              <w:spacing w:after="0"/>
              <w:rPr>
                <w:sz w:val="14"/>
                <w:szCs w:val="14"/>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Securities</w:t>
            </w:r>
          </w:p>
        </w:tc>
        <w:tc>
          <w:tcPr>
            <w:tcW w:w="580" w:type="dxa"/>
            <w:vAlign w:val="bottom"/>
          </w:tcPr>
          <w:p>
            <w:pPr>
              <w:spacing w:after="0"/>
              <w:rPr>
                <w:sz w:val="14"/>
                <w:szCs w:val="14"/>
                <w:color w:val="auto"/>
              </w:rPr>
            </w:pPr>
          </w:p>
        </w:tc>
        <w:tc>
          <w:tcPr>
            <w:tcW w:w="456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Trust IV</w:t>
            </w:r>
          </w:p>
        </w:tc>
        <w:tc>
          <w:tcPr>
            <w:tcW w:w="58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$150 million</w:t>
            </w:r>
          </w:p>
        </w:tc>
        <w:tc>
          <w:tcPr>
            <w:tcW w:w="560" w:type="dxa"/>
            <w:vAlign w:val="bottom"/>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$4.64 million</w:t>
            </w:r>
          </w:p>
        </w:tc>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5"/>
              </w:rPr>
              <w:t>$154.64 million aggregate liquidation amount of floating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Junior Subordinated Debentures due January 15,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228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$150 million</w:t>
            </w:r>
          </w:p>
        </w:tc>
        <w:tc>
          <w:tcPr>
            <w:tcW w:w="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$4.64 million</w:t>
            </w:r>
          </w:p>
        </w:tc>
        <w:tc>
          <w:tcPr>
            <w:tcW w:w="5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$154.64 million aggregate liquidation amount of floating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due February 1, 2027.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of Trust III, Trust IV and Trust V at June 30, 2007 and December 31, 2006 include the unamortized portions of purchase accounting adjustments to reflect estimated fair value as of the date of M&amp;T’s acquisition of the common securities of each respective trust. The interest rates payable on the Junior Subordinated Debentures of Trust IV and Trust V were 6.36% and 6.21%, respectively, at June 30, 2007 and 6.37% and 6.22%, respectively, at December 31, 2006.</w:t>
      </w:r>
    </w:p>
    <w:p>
      <w:pPr>
        <w:spacing w:after="0" w:line="5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an optional redemption contemporaneously with the optional redemption of the related Junior Subordinated Debentures in whole or in part. The Junior Subordinated Debentures are redeemable prior to their stated maturity dates at M&amp;T’s option (i)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the related Junior Subordinated Debentures upon early redemption will be expressed as a percentage of the liquidation amount plus accumulated but unpaid distributions. In the case of Trust I, such percentage adjusts annually and ranges from 104.117% as of February 1, 2007 to 100.412% for the annual period ending January 31, 2017, after which the percentage is 100%. In the case of Trust II, such percentage adjusts annually and ranges from 104.139% as of June 1, 2007 to 100.414% for the annual period ending May 31, 2017, after which the percentage is 100%. In the case of Trust III, such percentage adjusts annually and ranges from 104.625% as of February 1, 2007 to 100.463% for the annual period ending January 31, 2017, after which the percentage is 100%. In the case of Trust IV and Trust V, the redemption price upon early redemption will be equal to 100% of the principal amount to be redeemed plus any accrued but unpaid distributions to the redemption date.</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w:t>
      </w:r>
    </w:p>
    <w:p>
      <w:pPr>
        <w:ind w:firstLine="8"/>
        <w:spacing w:after="0" w:line="252"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that were assumed by M&amp;T in an acquisition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6.79% at June 30, 2007 and 6.80% at December 31, 2006.</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IV, Trust V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gridSpan w:val="2"/>
          </w:tcPr>
          <w:p>
            <w:pPr>
              <w:jc w:val="center"/>
              <w:ind w:right="588"/>
              <w:spacing w:after="0"/>
              <w:rPr>
                <w:sz w:val="20"/>
                <w:szCs w:val="20"/>
                <w:color w:val="auto"/>
              </w:rPr>
            </w:pPr>
            <w:r>
              <w:rPr>
                <w:rFonts w:ascii="Arial" w:cs="Arial" w:eastAsia="Arial" w:hAnsi="Arial"/>
                <w:sz w:val="14"/>
                <w:szCs w:val="14"/>
                <w:color w:val="auto"/>
                <w:w w:val="89"/>
              </w:rPr>
              <w:t>June 30,</w:t>
            </w:r>
          </w:p>
        </w:tc>
        <w:tc>
          <w:tcPr>
            <w:tcW w:w="9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560" w:type="dxa"/>
            <w:vAlign w:val="bottom"/>
            <w:gridSpan w:val="2"/>
          </w:tcPr>
          <w:p>
            <w:pPr>
              <w:jc w:val="right"/>
              <w:ind w:right="116"/>
              <w:spacing w:after="0"/>
              <w:rPr>
                <w:sz w:val="20"/>
                <w:szCs w:val="20"/>
                <w:color w:val="auto"/>
              </w:rPr>
            </w:pPr>
            <w:r>
              <w:rPr>
                <w:rFonts w:ascii="Arial" w:cs="Arial" w:eastAsia="Arial" w:hAnsi="Arial"/>
                <w:sz w:val="14"/>
                <w:szCs w:val="14"/>
                <w:color w:val="auto"/>
              </w:rPr>
              <w:t>2007</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74"/>
              </w:rPr>
              <w:t>(in thousands)</w:t>
            </w: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524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$ 154,640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5240" w:type="dxa"/>
            <w:vAlign w:val="bottom"/>
            <w:gridSpan w:val="3"/>
          </w:tcPr>
          <w:p>
            <w:pPr>
              <w:jc w:val="right"/>
              <w:ind w:right="608"/>
              <w:spacing w:after="0"/>
              <w:rPr>
                <w:sz w:val="20"/>
                <w:szCs w:val="20"/>
                <w:color w:val="auto"/>
              </w:rPr>
            </w:pPr>
            <w:r>
              <w:rPr>
                <w:rFonts w:ascii="Arial" w:cs="Arial" w:eastAsia="Arial" w:hAnsi="Arial"/>
                <w:sz w:val="18"/>
                <w:szCs w:val="18"/>
                <w:color w:val="auto"/>
              </w:rPr>
              <w:t>103,093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524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68,222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5240" w:type="dxa"/>
            <w:vAlign w:val="bottom"/>
            <w:gridSpan w:val="3"/>
          </w:tcPr>
          <w:p>
            <w:pPr>
              <w:jc w:val="right"/>
              <w:ind w:right="608"/>
              <w:spacing w:after="0"/>
              <w:rPr>
                <w:sz w:val="20"/>
                <w:szCs w:val="20"/>
                <w:color w:val="auto"/>
              </w:rPr>
            </w:pPr>
            <w:r>
              <w:rPr>
                <w:rFonts w:ascii="Arial" w:cs="Arial" w:eastAsia="Arial" w:hAnsi="Arial"/>
                <w:sz w:val="18"/>
                <w:szCs w:val="18"/>
                <w:color w:val="auto"/>
              </w:rPr>
              <w:t>143,926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524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141,654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141,322</w:t>
            </w:r>
          </w:p>
        </w:tc>
        <w:tc>
          <w:tcPr>
            <w:tcW w:w="0" w:type="dxa"/>
            <w:vAlign w:val="bottom"/>
          </w:tcPr>
          <w:p>
            <w:pPr>
              <w:spacing w:after="0"/>
              <w:rPr>
                <w:sz w:val="1"/>
                <w:szCs w:val="1"/>
                <w:color w:val="auto"/>
              </w:rPr>
            </w:pP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color w:val="auto"/>
              </w:rPr>
              <w:t>Allfirst Asset Trust</w:t>
            </w:r>
          </w:p>
        </w:tc>
        <w:tc>
          <w:tcPr>
            <w:tcW w:w="3860" w:type="dxa"/>
            <w:vAlign w:val="bottom"/>
          </w:tcPr>
          <w:p>
            <w:pPr>
              <w:spacing w:after="0"/>
              <w:rPr>
                <w:sz w:val="24"/>
                <w:szCs w:val="24"/>
                <w:color w:val="auto"/>
              </w:rPr>
            </w:pPr>
          </w:p>
        </w:tc>
        <w:tc>
          <w:tcPr>
            <w:tcW w:w="1380" w:type="dxa"/>
            <w:vAlign w:val="bottom"/>
            <w:gridSpan w:val="2"/>
          </w:tcPr>
          <w:p>
            <w:pPr>
              <w:jc w:val="right"/>
              <w:ind w:right="608"/>
              <w:spacing w:after="0"/>
              <w:rPr>
                <w:sz w:val="20"/>
                <w:szCs w:val="20"/>
                <w:color w:val="auto"/>
              </w:rPr>
            </w:pPr>
            <w:r>
              <w:rPr>
                <w:rFonts w:ascii="Arial" w:cs="Arial" w:eastAsia="Arial" w:hAnsi="Arial"/>
                <w:sz w:val="18"/>
                <w:szCs w:val="18"/>
                <w:color w:val="auto"/>
              </w:rPr>
              <w:t>101,874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4"/>
              </w:rPr>
              <w:t>$ 713,409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financial information of the Company’s segments was compiled utilizing the accounting policies described in note 21 to the Company’s consolidated financial statements as of and for the year ended December 31, 2006.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 other financial institutions. As also described in note 21 to the Company’s 2006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has, however, assigned such intangible assets to business units for purposes of testing for impairment. Information about the Company’s segments is presented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color w:val="auto"/>
              </w:rPr>
              <w:t>Three months ended June 30</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2007</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2006</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4"/>
          </w:tcPr>
          <w:p>
            <w:pPr>
              <w:jc w:val="center"/>
              <w:ind w:right="680"/>
              <w:spacing w:after="0" w:line="123" w:lineRule="exact"/>
              <w:rPr>
                <w:sz w:val="20"/>
                <w:szCs w:val="20"/>
                <w:color w:val="auto"/>
              </w:rPr>
            </w:pPr>
            <w:r>
              <w:rPr>
                <w:rFonts w:ascii="Arial" w:cs="Arial" w:eastAsia="Arial" w:hAnsi="Arial"/>
                <w:sz w:val="14"/>
                <w:szCs w:val="14"/>
                <w:color w:val="auto"/>
                <w:w w:val="91"/>
              </w:rPr>
              <w:t>Inter-</w:t>
            </w:r>
          </w:p>
        </w:tc>
        <w:tc>
          <w:tcPr>
            <w:tcW w:w="700" w:type="dxa"/>
            <w:vAlign w:val="bottom"/>
            <w:gridSpan w:val="2"/>
          </w:tcPr>
          <w:p>
            <w:pPr>
              <w:jc w:val="right"/>
              <w:ind w:right="168"/>
              <w:spacing w:after="0" w:line="123" w:lineRule="exact"/>
              <w:rPr>
                <w:sz w:val="20"/>
                <w:szCs w:val="20"/>
                <w:color w:val="auto"/>
              </w:rPr>
            </w:pPr>
            <w:r>
              <w:rPr>
                <w:rFonts w:ascii="Arial" w:cs="Arial" w:eastAsia="Arial" w:hAnsi="Arial"/>
                <w:sz w:val="14"/>
                <w:szCs w:val="14"/>
                <w:color w:val="auto"/>
              </w:rPr>
              <w:t>Net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128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6"/>
              </w:rPr>
              <w:t>Total</w:t>
            </w:r>
          </w:p>
        </w:tc>
        <w:tc>
          <w:tcPr>
            <w:tcW w:w="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8"/>
              </w:rPr>
              <w:t>revenues(a)</w:t>
            </w:r>
          </w:p>
        </w:tc>
        <w:tc>
          <w:tcPr>
            <w:tcW w:w="68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gridSpan w:val="2"/>
          </w:tcPr>
          <w:p>
            <w:pPr>
              <w:spacing w:after="0"/>
              <w:rPr>
                <w:sz w:val="14"/>
                <w:szCs w:val="14"/>
                <w:color w:val="auto"/>
              </w:rPr>
            </w:pPr>
          </w:p>
        </w:tc>
        <w:tc>
          <w:tcPr>
            <w:tcW w:w="7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(loss)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revenues(a)</w:t>
            </w:r>
          </w:p>
        </w:tc>
        <w:tc>
          <w:tcPr>
            <w:tcW w:w="6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14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$ 146,285</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57,890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135,104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57,590</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80" w:type="dxa"/>
            <w:vAlign w:val="bottom"/>
            <w:gridSpan w:val="4"/>
          </w:tcPr>
          <w:p>
            <w:pPr>
              <w:jc w:val="right"/>
              <w:ind w:right="620"/>
              <w:spacing w:after="0"/>
              <w:rPr>
                <w:sz w:val="20"/>
                <w:szCs w:val="20"/>
                <w:color w:val="auto"/>
              </w:rPr>
            </w:pPr>
            <w:r>
              <w:rPr>
                <w:rFonts w:ascii="Arial" w:cs="Arial" w:eastAsia="Arial" w:hAnsi="Arial"/>
                <w:sz w:val="18"/>
                <w:szCs w:val="18"/>
                <w:color w:val="auto"/>
              </w:rPr>
              <w:t>71,370</w:t>
            </w:r>
          </w:p>
        </w:tc>
        <w:tc>
          <w:tcPr>
            <w:tcW w:w="60" w:type="dxa"/>
            <w:vAlign w:val="bottom"/>
          </w:tcPr>
          <w:p>
            <w:pPr>
              <w:spacing w:after="0"/>
              <w:rPr>
                <w:sz w:val="24"/>
                <w:szCs w:val="2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4"/>
                <w:szCs w:val="2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35,200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65,032</w:t>
            </w:r>
          </w:p>
        </w:tc>
        <w:tc>
          <w:tcPr>
            <w:tcW w:w="6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14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33,505</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(3,196)</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20,724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37,395</w:t>
            </w:r>
          </w:p>
        </w:tc>
        <w:tc>
          <w:tcPr>
            <w:tcW w:w="6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(1,098)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23,730</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Residential Mortgage Banking</w:t>
            </w:r>
          </w:p>
        </w:tc>
        <w:tc>
          <w:tcPr>
            <w:tcW w:w="1480" w:type="dxa"/>
            <w:vAlign w:val="bottom"/>
            <w:gridSpan w:val="4"/>
          </w:tcPr>
          <w:p>
            <w:pPr>
              <w:jc w:val="right"/>
              <w:ind w:right="620"/>
              <w:spacing w:after="0"/>
              <w:rPr>
                <w:sz w:val="20"/>
                <w:szCs w:val="20"/>
                <w:color w:val="auto"/>
              </w:rPr>
            </w:pPr>
            <w:r>
              <w:rPr>
                <w:rFonts w:ascii="Arial" w:cs="Arial" w:eastAsia="Arial" w:hAnsi="Arial"/>
                <w:sz w:val="18"/>
                <w:szCs w:val="18"/>
                <w:color w:val="auto"/>
              </w:rPr>
              <w:t>65,176</w:t>
            </w:r>
          </w:p>
        </w:tc>
        <w:tc>
          <w:tcPr>
            <w:tcW w:w="60" w:type="dxa"/>
            <w:vAlign w:val="bottom"/>
          </w:tcPr>
          <w:p>
            <w:pPr>
              <w:spacing w:after="0"/>
              <w:rPr>
                <w:sz w:val="24"/>
                <w:szCs w:val="2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12,556</w:t>
            </w:r>
          </w:p>
        </w:tc>
        <w:tc>
          <w:tcPr>
            <w:tcW w:w="80" w:type="dxa"/>
            <w:vAlign w:val="bottom"/>
          </w:tcPr>
          <w:p>
            <w:pPr>
              <w:spacing w:after="0"/>
              <w:rPr>
                <w:sz w:val="24"/>
                <w:szCs w:val="2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10,409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75,125</w:t>
            </w:r>
          </w:p>
        </w:tc>
        <w:tc>
          <w:tcPr>
            <w:tcW w:w="6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12,907</w:t>
            </w:r>
          </w:p>
        </w:tc>
        <w:tc>
          <w:tcPr>
            <w:tcW w:w="6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14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396,342</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3,429</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119,755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360,194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102,494</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480" w:type="dxa"/>
            <w:vAlign w:val="bottom"/>
            <w:gridSpan w:val="4"/>
          </w:tcPr>
          <w:p>
            <w:pPr>
              <w:jc w:val="right"/>
              <w:ind w:right="620"/>
              <w:spacing w:after="0"/>
              <w:rPr>
                <w:sz w:val="20"/>
                <w:szCs w:val="20"/>
                <w:color w:val="auto"/>
              </w:rPr>
            </w:pPr>
            <w:r>
              <w:rPr>
                <w:rFonts w:ascii="Arial" w:cs="Arial" w:eastAsia="Arial" w:hAnsi="Arial"/>
                <w:sz w:val="18"/>
                <w:szCs w:val="18"/>
                <w:color w:val="auto"/>
              </w:rPr>
              <w:t>32,351</w:t>
            </w:r>
          </w:p>
        </w:tc>
        <w:tc>
          <w:tcPr>
            <w:tcW w:w="60" w:type="dxa"/>
            <w:vAlign w:val="bottom"/>
          </w:tcPr>
          <w:p>
            <w:pPr>
              <w:spacing w:after="0"/>
              <w:rPr>
                <w:sz w:val="24"/>
                <w:szCs w:val="2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(13,108)</w:t>
            </w:r>
          </w:p>
        </w:tc>
        <w:tc>
          <w:tcPr>
            <w:tcW w:w="80" w:type="dxa"/>
            <w:vAlign w:val="bottom"/>
          </w:tcPr>
          <w:p>
            <w:pPr>
              <w:spacing w:after="0"/>
              <w:rPr>
                <w:sz w:val="24"/>
                <w:szCs w:val="2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(29,809)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36,365</w:t>
            </w:r>
          </w:p>
        </w:tc>
        <w:tc>
          <w:tcPr>
            <w:tcW w:w="640" w:type="dxa"/>
            <w:vAlign w:val="bottom"/>
          </w:tcPr>
          <w:p>
            <w:pPr>
              <w:spacing w:after="0"/>
              <w:rPr>
                <w:sz w:val="24"/>
                <w:szCs w:val="24"/>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(15,164)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(22,104)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$ 745,029</w:t>
            </w:r>
          </w:p>
        </w:tc>
        <w:tc>
          <w:tcPr>
            <w:tcW w:w="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214,169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709,215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color w:val="auto"/>
              </w:rPr>
              <w:t>Six months ended June 30</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2007</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4"/>
          </w:tcPr>
          <w:p>
            <w:pPr>
              <w:jc w:val="center"/>
              <w:ind w:right="780"/>
              <w:spacing w:after="0" w:line="123" w:lineRule="exact"/>
              <w:rPr>
                <w:sz w:val="20"/>
                <w:szCs w:val="20"/>
                <w:color w:val="auto"/>
              </w:rPr>
            </w:pPr>
            <w:r>
              <w:rPr>
                <w:rFonts w:ascii="Arial" w:cs="Arial" w:eastAsia="Arial" w:hAnsi="Arial"/>
                <w:sz w:val="14"/>
                <w:szCs w:val="14"/>
                <w:color w:val="auto"/>
                <w:w w:val="97"/>
              </w:rPr>
              <w:t>Inter-</w:t>
            </w:r>
          </w:p>
        </w:tc>
        <w:tc>
          <w:tcPr>
            <w:tcW w:w="6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jc w:val="center"/>
              <w:ind w:right="880"/>
              <w:spacing w:after="0" w:line="149" w:lineRule="exact"/>
              <w:rPr>
                <w:sz w:val="20"/>
                <w:szCs w:val="20"/>
                <w:color w:val="auto"/>
              </w:rPr>
            </w:pPr>
            <w:r>
              <w:rPr>
                <w:rFonts w:ascii="Arial" w:cs="Arial" w:eastAsia="Arial" w:hAnsi="Arial"/>
                <w:sz w:val="14"/>
                <w:szCs w:val="14"/>
                <w:color w:val="auto"/>
                <w:w w:val="96"/>
              </w:rPr>
              <w:t>Total</w:t>
            </w:r>
          </w:p>
        </w:tc>
        <w:tc>
          <w:tcPr>
            <w:tcW w:w="1340" w:type="dxa"/>
            <w:vAlign w:val="bottom"/>
            <w:gridSpan w:val="4"/>
          </w:tcPr>
          <w:p>
            <w:pPr>
              <w:jc w:val="center"/>
              <w:ind w:right="780"/>
              <w:spacing w:after="0" w:line="149" w:lineRule="exact"/>
              <w:rPr>
                <w:sz w:val="20"/>
                <w:szCs w:val="20"/>
                <w:color w:val="auto"/>
              </w:rPr>
            </w:pPr>
            <w:r>
              <w:rPr>
                <w:rFonts w:ascii="Arial" w:cs="Arial" w:eastAsia="Arial" w:hAnsi="Arial"/>
                <w:sz w:val="14"/>
                <w:szCs w:val="14"/>
                <w:color w:val="auto"/>
                <w:w w:val="89"/>
              </w:rPr>
              <w:t>segment</w:t>
            </w:r>
          </w:p>
        </w:tc>
        <w:tc>
          <w:tcPr>
            <w:tcW w:w="128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6"/>
              </w:rPr>
              <w:t>Total</w:t>
            </w:r>
          </w:p>
        </w:tc>
        <w:tc>
          <w:tcPr>
            <w:tcW w:w="2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40" w:type="dxa"/>
            <w:vAlign w:val="bottom"/>
            <w:gridSpan w:val="5"/>
          </w:tcPr>
          <w:p>
            <w:pPr>
              <w:jc w:val="center"/>
              <w:ind w:right="720"/>
              <w:spacing w:after="0"/>
              <w:rPr>
                <w:sz w:val="20"/>
                <w:szCs w:val="20"/>
                <w:color w:val="auto"/>
              </w:rPr>
            </w:pPr>
            <w:r>
              <w:rPr>
                <w:rFonts w:ascii="Arial" w:cs="Arial" w:eastAsia="Arial" w:hAnsi="Arial"/>
                <w:sz w:val="14"/>
                <w:szCs w:val="14"/>
                <w:color w:val="auto"/>
                <w:w w:val="88"/>
              </w:rPr>
              <w:t>revenues(a)</w:t>
            </w:r>
          </w:p>
        </w:tc>
        <w:tc>
          <w:tcPr>
            <w:tcW w:w="1340" w:type="dxa"/>
            <w:vAlign w:val="bottom"/>
            <w:gridSpan w:val="4"/>
          </w:tcPr>
          <w:p>
            <w:pPr>
              <w:jc w:val="center"/>
              <w:ind w:right="780"/>
              <w:spacing w:after="0"/>
              <w:rPr>
                <w:sz w:val="20"/>
                <w:szCs w:val="20"/>
                <w:color w:val="auto"/>
              </w:rPr>
            </w:pPr>
            <w:r>
              <w:rPr>
                <w:rFonts w:ascii="Arial" w:cs="Arial" w:eastAsia="Arial" w:hAnsi="Arial"/>
                <w:sz w:val="14"/>
                <w:szCs w:val="14"/>
                <w:color w:val="auto"/>
                <w:w w:val="90"/>
              </w:rPr>
              <w:t>revenues</w:t>
            </w:r>
          </w:p>
        </w:tc>
        <w:tc>
          <w:tcPr>
            <w:tcW w:w="1280" w:type="dxa"/>
            <w:vAlign w:val="bottom"/>
            <w:gridSpan w:val="3"/>
          </w:tcPr>
          <w:p>
            <w:pPr>
              <w:jc w:val="center"/>
              <w:ind w:right="720"/>
              <w:spacing w:after="0"/>
              <w:rPr>
                <w:sz w:val="20"/>
                <w:szCs w:val="20"/>
                <w:color w:val="auto"/>
              </w:rPr>
            </w:pPr>
            <w:r>
              <w:rPr>
                <w:rFonts w:ascii="Arial" w:cs="Arial" w:eastAsia="Arial" w:hAnsi="Arial"/>
                <w:sz w:val="14"/>
                <w:szCs w:val="14"/>
                <w:color w:val="auto"/>
                <w:w w:val="93"/>
              </w:rPr>
              <w:t>(loss)</w:t>
            </w:r>
          </w:p>
        </w:tc>
        <w:tc>
          <w:tcPr>
            <w:tcW w:w="1480" w:type="dxa"/>
            <w:vAlign w:val="bottom"/>
            <w:gridSpan w:val="4"/>
          </w:tcPr>
          <w:p>
            <w:pPr>
              <w:jc w:val="center"/>
              <w:ind w:right="660"/>
              <w:spacing w:after="0"/>
              <w:rPr>
                <w:sz w:val="20"/>
                <w:szCs w:val="20"/>
                <w:color w:val="auto"/>
              </w:rPr>
            </w:pPr>
            <w:r>
              <w:rPr>
                <w:rFonts w:ascii="Arial" w:cs="Arial" w:eastAsia="Arial" w:hAnsi="Arial"/>
                <w:sz w:val="14"/>
                <w:szCs w:val="14"/>
                <w:color w:val="auto"/>
                <w:w w:val="88"/>
              </w:rPr>
              <w:t>revenues(a)</w:t>
            </w:r>
          </w:p>
        </w:tc>
        <w:tc>
          <w:tcPr>
            <w:tcW w:w="2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6"/>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72"/>
              </w:rPr>
              <w:t>(in thousands)</w:t>
            </w:r>
          </w:p>
        </w:tc>
        <w:tc>
          <w:tcPr>
            <w:tcW w:w="840" w:type="dxa"/>
            <w:vAlign w:val="bottom"/>
            <w:tcBorders>
              <w:top w:val="single" w:sz="8" w:color="auto"/>
            </w:tcBorders>
            <w:gridSpan w:val="3"/>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288,165</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114,919</w:t>
            </w:r>
          </w:p>
        </w:tc>
        <w:tc>
          <w:tcPr>
            <w:tcW w:w="5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269,425</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113,684</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136,514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66,937</w:t>
            </w:r>
          </w:p>
        </w:tc>
        <w:tc>
          <w:tcPr>
            <w:tcW w:w="580" w:type="dxa"/>
            <w:vAlign w:val="bottom"/>
          </w:tcPr>
          <w:p>
            <w:pPr>
              <w:spacing w:after="0"/>
              <w:rPr>
                <w:sz w:val="24"/>
                <w:szCs w:val="24"/>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8"/>
                <w:szCs w:val="18"/>
                <w:color w:val="auto"/>
              </w:rPr>
              <w:t>133,521</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452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62,781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(5,542)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39,662</w:t>
            </w:r>
          </w:p>
        </w:tc>
        <w:tc>
          <w:tcPr>
            <w:tcW w:w="5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74,750</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46,025</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Residential Mortgage Banking</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110,844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23,447</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7,886</w:t>
            </w:r>
          </w:p>
        </w:tc>
        <w:tc>
          <w:tcPr>
            <w:tcW w:w="580" w:type="dxa"/>
            <w:vAlign w:val="bottom"/>
          </w:tcPr>
          <w:p>
            <w:pPr>
              <w:spacing w:after="0"/>
              <w:rPr>
                <w:sz w:val="24"/>
                <w:szCs w:val="24"/>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8"/>
                <w:szCs w:val="18"/>
                <w:color w:val="auto"/>
              </w:rPr>
              <w:t>144,214</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28,073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770,171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227,137</w:t>
            </w:r>
          </w:p>
        </w:tc>
        <w:tc>
          <w:tcPr>
            <w:tcW w:w="5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706,093</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5,846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195,048</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63,464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(24,957)</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(66,399)</w:t>
            </w:r>
          </w:p>
        </w:tc>
        <w:tc>
          <w:tcPr>
            <w:tcW w:w="580" w:type="dxa"/>
            <w:vAlign w:val="bottom"/>
          </w:tcPr>
          <w:p>
            <w:pPr>
              <w:spacing w:after="0"/>
              <w:rPr>
                <w:sz w:val="24"/>
                <w:szCs w:val="24"/>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8"/>
                <w:szCs w:val="18"/>
                <w:color w:val="auto"/>
              </w:rPr>
              <w:t>81,169</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(34,493)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(39,388)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$ 1,431,939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390,142</w:t>
            </w:r>
          </w:p>
        </w:tc>
        <w:tc>
          <w:tcPr>
            <w:tcW w:w="5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1,409,172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color w:val="auto"/>
              </w:rPr>
              <w:t>- 13 -</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left="320" w:right="40" w:hanging="312"/>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$4,972,000 and $4,641,000 for the three-month periods ended June 30, 2007 and 2006, respectively, and $10,095,000 and $9,372,000 for the six-month periods ended June 30, 2007 and 2006,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5"/>
          </w:tcPr>
          <w:p>
            <w:pPr>
              <w:jc w:val="right"/>
              <w:ind w:right="1180"/>
              <w:spacing w:after="0" w:line="123" w:lineRule="exact"/>
              <w:rPr>
                <w:sz w:val="20"/>
                <w:szCs w:val="20"/>
                <w:color w:val="auto"/>
              </w:rPr>
            </w:pPr>
            <w:r>
              <w:rPr>
                <w:rFonts w:ascii="Arial" w:cs="Arial" w:eastAsia="Arial" w:hAnsi="Arial"/>
                <w:sz w:val="14"/>
                <w:szCs w:val="14"/>
                <w:color w:val="auto"/>
              </w:rPr>
              <w:t>Six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3"/>
          </w:tcPr>
          <w:p>
            <w:pPr>
              <w:jc w:val="right"/>
              <w:ind w:right="1460"/>
              <w:spacing w:after="0" w:line="149" w:lineRule="exact"/>
              <w:rPr>
                <w:sz w:val="20"/>
                <w:szCs w:val="20"/>
                <w:color w:val="auto"/>
              </w:rPr>
            </w:pPr>
            <w:r>
              <w:rPr>
                <w:rFonts w:ascii="Arial" w:cs="Arial" w:eastAsia="Arial" w:hAnsi="Arial"/>
                <w:sz w:val="14"/>
                <w:szCs w:val="14"/>
                <w:color w:val="auto"/>
                <w:w w:val="96"/>
              </w:rPr>
              <w:t>June 30</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1280" w:type="dxa"/>
            <w:vAlign w:val="bottom"/>
            <w:gridSpan w:val="2"/>
          </w:tcPr>
          <w:p>
            <w:pPr>
              <w:jc w:val="right"/>
              <w:ind w:right="96"/>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13,383</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12,406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8,716</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8,379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12,316</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12,226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3,128</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3,315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14,263</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14,076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All Other</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5,560</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4,901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57,366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55,303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940" w:type="dxa"/>
            <w:vAlign w:val="bottom"/>
            <w:vMerge w:val="restart"/>
          </w:tcPr>
          <w:p>
            <w:pPr>
              <w:jc w:val="right"/>
              <w:ind w:right="18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2007</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$5,659,134</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5,450,382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69,200</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3,082,074</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3,008,353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549,105</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448,315</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493,122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6,990,382</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7,344,263</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3,552,840</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3,622,860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56,447</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tcPr>
          <w:p>
            <w:pPr>
              <w:jc w:val="right"/>
              <w:spacing w:after="0"/>
              <w:rPr>
                <w:sz w:val="20"/>
                <w:szCs w:val="20"/>
                <w:color w:val="auto"/>
              </w:rPr>
            </w:pPr>
            <w:r>
              <w:rPr>
                <w:rFonts w:ascii="Arial" w:cs="Arial" w:eastAsia="Arial" w:hAnsi="Arial"/>
                <w:sz w:val="18"/>
                <w:szCs w:val="18"/>
                <w:color w:val="auto"/>
              </w:rPr>
              <w:t>1,190,160</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1,036,117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1,108,597</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1,932,306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$992 million and $939 million at June 30, 2007 and December 31, 2006, respectively.</w:t>
      </w:r>
    </w:p>
    <w:p>
      <w:pPr>
        <w:spacing w:after="0" w:line="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However, in estimating that fair value for commitments to originate loans for sale, value ascribable to cash flows that will be realized in connection with loan servicing activities has not been included. Value ascribable to that portion of cash flows is recognized at the time the underlying mortgage loans are sold.</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from 2007 through 2013 and $6 million per year from 2014 through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 earnings of Bayview Lending Group LLC</w:t>
      </w:r>
    </w:p>
    <w:p>
      <w:pPr>
        <w:spacing w:after="0" w:line="12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On February 5, 2007 M&amp;T invested $300 million to acquire a minority interest in Bayview Lending Group LLC (“BLG”), a privately-held commercial mortgage lender that specializes in originating, securitizing and servicing small balance commercial real estate loans in the United States, and to a lesser extent, in Canada and the United Kingdom. M&amp;T recognizes income from BLG using the equity method of accounting.</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7"/>
          </w:tcPr>
          <w:p>
            <w:pPr>
              <w:jc w:val="center"/>
              <w:ind w:right="880"/>
              <w:spacing w:after="0" w:line="123" w:lineRule="exact"/>
              <w:rPr>
                <w:sz w:val="20"/>
                <w:szCs w:val="20"/>
                <w:color w:val="auto"/>
              </w:rPr>
            </w:pPr>
            <w:r>
              <w:rPr>
                <w:rFonts w:ascii="Arial" w:cs="Arial" w:eastAsia="Arial" w:hAnsi="Arial"/>
                <w:sz w:val="14"/>
                <w:szCs w:val="14"/>
                <w:color w:val="auto"/>
                <w:w w:val="89"/>
              </w:rPr>
              <w:t>Three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4"/>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9,375</w:t>
            </w:r>
          </w:p>
        </w:tc>
        <w:tc>
          <w:tcPr>
            <w:tcW w:w="6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9,175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(10,025)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(1,650)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(1,775)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7"/>
          </w:tcPr>
          <w:p>
            <w:pPr>
              <w:jc w:val="center"/>
              <w:ind w:right="880"/>
              <w:spacing w:after="0" w:line="123" w:lineRule="exact"/>
              <w:rPr>
                <w:sz w:val="20"/>
                <w:szCs w:val="20"/>
                <w:color w:val="auto"/>
              </w:rPr>
            </w:pPr>
            <w:r>
              <w:rPr>
                <w:rFonts w:ascii="Arial" w:cs="Arial" w:eastAsia="Arial" w:hAnsi="Arial"/>
                <w:sz w:val="14"/>
                <w:szCs w:val="14"/>
                <w:color w:val="auto"/>
                <w:w w:val="91"/>
              </w:rPr>
              <w:t>Six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4"/>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11,017</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18,750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1,850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(20,050)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(3,300)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$7,248,000 and $6,406,000 for the three months ended June 30, 2007 and 2006, respectively, and $16,417,000 and $14,237,000 for the six months ended June 30, 2007 and 2006,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Effective January 1, 2007, the Company adopted Financial Accounting Standards Board Interpretation (“FIN”) No. 48, “Accounting for Uncertainty in Income Taxes.” FIN No. 48 prescribes the accounting method to be applied to measure uncertainty in income taxes recognized under Statement of Financial Accounting Standards No. 109, “Accounting for Income Taxes.” FIN No. 48 established a recognition threshold and measurement attribute for the financial statement recognition and measurement of an uncertain tax position taken or expected to be taken in a tax return.</w:t>
      </w:r>
    </w:p>
    <w:p>
      <w:pPr>
        <w:spacing w:after="0" w:line="6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The Company’s federal income tax returns for 2004 through 2006 are subject to examination by the Internal Revenue Service. The Company also files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income tax returns in over thirty state and local jurisdictions. Substantially all material state and local tax matters have been concluded for years through 1998. Some tax returns for years after 1998 are presently under examination. As of January 1, 2007, the Company had accrued approximately $67 million, net of available benefits of approximately $36 million, for various unrecognized tax benefits in various federal, state and local tax jurisdictions within which the Company operates. If recognized, those benefits would affect the Company’s effective tax rate. If any tax return examination by federal, state or local tax authorities is concluded during the next twelve months, it is possible that the amount of the accrued liability for uncertain tax positions could change. It is not possible to estimate the amount of any such change. The Company recognizes interest and penalties related to unrecognized tax benefits in income taxes in the Consolidated Statement of Income. Included in the accrual noted herein was $9 million for such item. The adoption of FIN No. 48 did not result in any change to the Company’s liability for uncertain tax positions as of January 1,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Acquisition of deposits and banking offices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June 30, 2006, M&amp;T Bank, M&amp;T’s principal banking subsidiary, acquired 21 branch offices in Buffalo and Rochester, New York from Citibank, N.A. in a cash transaction. The branches had approximately $269 million in loans, mostly to consumers, small businesses and middle market customers, and approximately $1.0 billion of deposits. There were no acquisition-related expenses associated with the transaction in the first two quarters of 2007 or the first quarter of 2006. Such expenses aggregated $4 million ($2 million net of applicable income taxes) in the second quarter of 2006 and related to systems conversions and other costs of integrating the acquired branches into the Company and introducing customers to M&amp;T Bank’s products and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July 18, 2007, M&amp;T entered into a definitive agreement with Partners Trust Financial Group, Inc. (“Partners Trust”), Utica, New York, providing for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merger between the two companies. Upon completion of the merger, it is anticipated that Partners Trust Bank, Partners Trust’s bank subsidiary,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merged into M&amp;T Bank. Partners Trust Bank operates 33 banking offices in Upstate New York. At June 30, 2007, Partners Trust had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$3.7 billion of assets, including $2.3 billion of loans, and $3.2 billion of liabilities, including $2.3 billion of deposits. The merger is subject to a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conditions, including the approval of various state and Federal regulators and Partners Trust’s stockholders, and is expected to be completed within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Under the terms of the merger agreement, stockholders of Partners Trust will receive $12.50 for each outstanding share of Partners Trust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which they may elect to receive in cash or in M&amp;T common stock, although, in the aggregate, 50% of the shares of Partners Trust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must be exchanged for M&amp;T common stock and 50% for cash. As a result, the elections made by stockholders of Partners Trust will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and proration if the election for common stock would be more or less than 50%. In total, the transaction is valued at approximately $555 million.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M&amp;T Bank Corporation (“M&amp;T”) recorded net income in the second quarter of 2007 of $214 million or $1.95 of diluted earnings per common share, up 1% and 4%, respectively, from $213 million or $1.87 of diluted earnings per common share in the second quarter of 2006. During the initial quarter of 2007, net income totaled $176 million or $1.57 of diluted earnings per common share. Basic earnings per common share were $1.98 in the recent quarter, compared with $1.91 in the year-earlier quarter and $1.60 in the first quarter of 2007.</w:t>
      </w:r>
    </w:p>
    <w:p>
      <w:pPr>
        <w:spacing w:after="0" w:line="79"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For the six-month period ended June 30, 2007, net income totaled $390 million or $3.51 per diluted share, compared with $415 million or $3.64 per diluted share in the corresponding 2006 period. Basic earnings per share for the first six months of 2007 and 2006 were $3.59 and $3.73, respectively.</w:t>
      </w:r>
    </w:p>
    <w:p>
      <w:pPr>
        <w:spacing w:after="0" w:line="16"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annualized rate of return on average total assets for M&amp;T and its consolidated subsidiaries (“the Company”) in the second quarter of 2007 was 1.49%, compared with 1.54% in the year-earlier quarter and 1.25% in the initial quarter of 2007. The annualized rate of return on average common stockholders’ equity was 13.92% in the recent quarter, compared with 14.35% in the second quarter of 2006 and 11.38% in the first quarter of 2007. During the first six months of 2007, the annualized rates of return on average assets and average common stockholders’ equity were 1.37% and 12.65%, respectively, compared with 1.52% and 14.16%, respectively, in the first half of 2006.</w:t>
      </w:r>
    </w:p>
    <w:p>
      <w:pPr>
        <w:spacing w:after="0" w:line="80"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color w:val="auto"/>
        </w:rPr>
        <w:t>The Company’s financial results for the first quarter of 2007 were adversely impacted by changing market conditions in the residential mortgage lending sector. Well-publicized problems in the subprime residential mortgage lending market had a negative effect on the rest of the residential mortgage marketplace, specifically with regard to alternative (“Alt-A”) residential mortgage loans that the Company actively originates for sale in the secondary market. Alt-A loans originated by the Company typically include some form of limited documentation requirements, as compared with more traditional residential mortgage loans. Unfavorable market conditions and lack of market liquidity impacted the Company’s willingness to sell Alt-A loans in the first quarter. During March 2007, an auction of such loans received fewer bids than normal and the pricing of those bids was lower than expected. As a result, $883 million of Alt-A loans previously held for sale (including $808 million of first mortgage loans and $75 million of second mortgage loans) were transferred in March to the Company’s held-for-investment residential mortgage loan portfolio. In accordance with generally accepted accounting principles (“GAAP”), loans held for sale must be recorded at the lower of cost or market value. Accordingly, prior to reclassifying the Alt-A mortgage loans to held for investment, the carrying value of such loans was reduced by $12 million in the first quarter of 2007, which resulted in an after-tax reduction of net income of $7 million, or $.07 per diluted share. The loans were reclassified to the held-for-investment portfolio because management of the Company believed that the value of the Alt-A residential mortgage loans it held at the time of the reclassification was greater than the amount implied by the few bidders active in the market at that time.</w:t>
      </w:r>
    </w:p>
    <w:p>
      <w:pPr>
        <w:spacing w:after="0" w:line="80"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 That loss reduced the Company’s net income by $4 million or $.03 per diluted share during 2007’s first quarter.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On February 5, 2007, M&amp;T invested $300 million to acquire a minority interest in Bayview Lending Group LLC (“BLG”), a privately-held commercial mortgage lender that specializes in originating, securitizing and servicing small balance commercial real estate loans in the United States, and to a lesser extent, in Canada and the United Kingdom. That investment is being accounted for using the equity method of accounting. BLG was a going-concern when M&amp;T made its investment, but started out with a minimal amount of loans in its portfolio. As a result, BLG incurred modest operating losses until a sufficiently significant volume of loans were originated and securitized during 2007’s second quarter. M&amp;T’s pro-rata portion of BLG’s results of operations was pre-tax income of $8 million and $6 million for the three months and six months ended June 30, 2007, respectively. Those amounts have been recorded as a component of Other Income in the Consolidated Statement of Income. Including expenses associated with M&amp;T’s investment in BLG, most notably interest expense, that investment added approximately $2 million (after tax effect), or $.02 per diluted share to M&amp;T’s net income in the second quarter of 2007, while M&amp;T’s net income was reduced by $1 million (after tax effect) or $.01 per diluted share in the six-month period ended June 30, 2007.</w:t>
      </w:r>
    </w:p>
    <w:p>
      <w:pPr>
        <w:spacing w:after="0" w:line="5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On June 30, 2006, M&amp;T Bank, M&amp;T’s principal banking subsidiary, completed the acquisition of 21 banking offices in Buffalo and Rochester, New York from Citibank, N.A., including approximately $269 million in loans, mostly to consumers, small businesses and middle market customers, and approximately $1.0 billion of deposits. Expenses associated with integrating the acquired banking offices into M&amp;T Bank and introducing the customers associated with those offices to M&amp;T Bank’s products and services aggregated $2 million, after applicable tax effect, or $.02 of diluted earnings per share during the three-and six-month periods ended June 30, 2006. There were no acquisition-related expenses during the first or second quarters of 2007.</w:t>
      </w:r>
    </w:p>
    <w:p>
      <w:pPr>
        <w:spacing w:after="0" w:line="5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On July 18, 2007, M&amp;T entered into a definitive agreement with Partners Trust Financial Group, Inc. (“Partners Trust”), Utica, New York, providing for a merger between the two companies. Upon completion of the merger, it is anticipated that Partners Trust Bank, Partners Trust’s bank subsidiary, will be merged into M&amp;T Bank. Partners Trust Bank operates 33 banking offices in Upstate New York. At June 30, 2007, Partners Trust had approximately</w:t>
      </w:r>
    </w:p>
    <w:p>
      <w:pPr>
        <w:ind w:right="140"/>
        <w:spacing w:after="0" w:line="290" w:lineRule="auto"/>
        <w:rPr>
          <w:sz w:val="20"/>
          <w:szCs w:val="20"/>
          <w:color w:val="auto"/>
        </w:rPr>
      </w:pPr>
      <w:r>
        <w:rPr>
          <w:rFonts w:ascii="Arial" w:cs="Arial" w:eastAsia="Arial" w:hAnsi="Arial"/>
          <w:sz w:val="16"/>
          <w:szCs w:val="16"/>
          <w:color w:val="auto"/>
        </w:rPr>
        <w:t>$3.7 billion of assets, including $2.3 billion of loans, and $3.2 billion of liabilities, including $2.3 billion of deposits. The merger is subject to a number of conditions, including the approval of various state and Federal regulators and Partners Trust’s stockholders, and is expected to be completed within six months. Under the terms of the merger agreement, stockholders of Partners Trust will receive $12.50 for each outstanding share of Partners Trust common stock, which they may elect to receive in cash or in M&amp;T common stock. Nevertheless, in the aggregate, 50% of the shares of Partners Trust common stock outstanding must be exchanged for M&amp;T common stock. As a result, Partners Trust stockholder elections will be subject to allocation and proration if the aggregate election for common stock would be more or less than 50%. In total, the transaction is valued at approximately $555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$3.1 billion at June 30, 2007 and $3.2 billion at each of June 30 and December 31, 2006. Included in such intangible assets at each of those dates was goodwill of $2.9 billion. Amortization of core deposit and other intangible assets, after tax effect, was $10 million ($.09 per diluted share) during the second quarter of 2007, compared with $7 million ($.06 per diluted share) in the corresponding 2006 quarter and $11 million ($.10 per diluted share) in the first quarter of 2007. For the six-month periods ended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June 30, 2007 and 2006, amortization of core deposit and other intangible assets, after tax effect, totaled $21 million ($.19 per diluted share) and $15 million ($.13 per diluted share), respectively.</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Since 1998, M&amp;T has consistently provided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5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Net operating income was $224 million in the recent quarter, compared with $222 million in the second quarter of 2006. Diluted net operating earnings per share for 2007’s second quarter were $2.04, up 5% from $1.95 in the corresponding 2006 period. Net operating income and diluted net operating earnings per share were $187 million and $1.67, respectively, in the initial 2007 quarter. For the first six months of 2007, net operating income and diluted net operating earnings per share were $411 million and $3.70, respectively, compared with $433 million and $3.79 in the similar 2006 period.</w:t>
      </w:r>
    </w:p>
    <w:p>
      <w:pPr>
        <w:spacing w:after="0" w:line="46"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Net operating income expressed as an annualized return on average tangible assets was 1.65% in the second quarter of 2007, compared with 1.69% in the similar 2006 quarter and 1.40% in the first quarter of 2007. Net operating income expressed as an annualized return on average tangible common equity was 29.35% in the recent quarter, compared with 30.02% in the year-earlier quarter and 24.11% in the initial quarter of 2007. For the first half of 2007, net operating income represented an annualized return on average tangible assets and average tangible common stockholders’ equity of 1.53% and 26.71%, respectively, compared with 1.67% and 29.67%, respectively, in the six-month period ended June 30, 2006.</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Taxable-equivalent net interest income increased 3% to $467 million in the recently completed quarter from $451 million in the second quarter of 2006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up 2% from $456 million in the first quarter of 2007. The improvement from the year-earlier period was the result of higher average loans and leases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which rose $2.6 billion, or 6%, to $43.6 billion in the recent quarter from $41.0 billion in the second quarter of 2006, offset partially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billion decline in average investment securities outstanding from the second quarter of 2006 to the second quarter of 2007. As compared with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2007, average loans and leases rose $458 million in the recent quarter, while average investment securities declined $328 million. Net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or taxable-equivalent net interest income expressed as an annualized percentage of average earning assets, was 3.67% in the second quarter of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with 3.66% in the year-earlier period and 3.64% in the initial quarter of 2007.</w:t>
      </w:r>
    </w:p>
    <w:p>
      <w:pPr>
        <w:spacing w:after="0" w:line="103"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For the first six months of 2007, taxable-equivalent net interest income was $922 million, 2% above $903 million in the corresponding 2006 period. A 6% or $2.6 billion increase in average loans and leases was the leading factor contributing to that improvement. Partially offsetting the impact of growth in loans were a $1.3 billion drop in average investment securities and a decline in the Company’s net interest margin of 4 basis points (hundredths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one percent). The net interest margin was 3.66% during the first half of 2007 and 3.70% in the first six months of 2006.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Higher average outstanding balances of commercial loans and leases, commercial real estate loans and residential real estate loans were largely responsible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recent quarter’s $2.6 billion growth in average loans outstanding as compared with the second quarter of 2006. In the second quarter of 2007,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loans aggregated $12.2 billion, up $881 million or 8% from $11.3 billion in the year-earlier quarter. Commercial real estate loans averaged $15.6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billion in the recent quarter, $631 million or 4% higher than $14.9 billion in the second quarter of 2006. Average residential real estate loans rose 21%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from 2006’s second quarter. Included in that portfolio were loans held for sale, which averaged $956 million in the recent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billion in the year-earlier period. Excluding such loans, average residential real estate loans rose $1.6 billion from 2006’s second quarter to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2007. That increase was partially the result of the Company deciding to retain higher levels of residential real estate loan originations in light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modest loan growth in other loan types and the lack of availability of investment securities to acquire that met the Company’s desired characteristics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suitable returns. In addition, during March 2007 the Company transferred $883 million of residential mortgage loans previously held for sale to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held-for-investment portfolio. Average outstanding consumer loans increased $64 million, or 1%, in the second quarter of 2007 as compared with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earlier quarter.</w:t>
      </w:r>
    </w:p>
    <w:p>
      <w:pPr>
        <w:spacing w:after="0" w:line="103"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Contributing to the growth in average loans outstanding from $43.1 billion in 2007’s initial quarter to $43.6 billion in the second quarter of 2007 were commercial loans and leases, which increased $402 million, and commercial real estate loans, which rose $104 million. During that same period, average residential real estate loans declined $63 million while average balances of consumer loans were essentially flat. The following table summarizes quarterly changes in the major components of the loan and lease portfolio.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6"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Percent increase</w:t>
      </w:r>
    </w:p>
    <w:p>
      <w:pPr>
        <w:ind w:left="9760"/>
        <w:spacing w:after="0" w:line="231" w:lineRule="auto"/>
        <w:rPr>
          <w:sz w:val="20"/>
          <w:szCs w:val="20"/>
          <w:color w:val="auto"/>
        </w:rPr>
      </w:pPr>
      <w:r>
        <w:rPr>
          <w:rFonts w:ascii="Arial" w:cs="Arial" w:eastAsia="Arial" w:hAnsi="Arial"/>
          <w:sz w:val="14"/>
          <w:szCs w:val="14"/>
          <w:color w:val="auto"/>
        </w:rPr>
        <w:t>(decrease) from</w:t>
      </w:r>
    </w:p>
    <w:tbl>
      <w:tblPr>
        <w:tblLayout w:type="fixed"/>
        <w:tblInd w:w="0" w:type="dxa"/>
        <w:tblCellMar>
          <w:top w:w="0" w:type="dxa"/>
          <w:left w:w="0" w:type="dxa"/>
          <w:bottom w:w="0" w:type="dxa"/>
          <w:right w:w="0" w:type="dxa"/>
        </w:tblCellMar>
      </w:tblPr>
      <w:tr>
        <w:trPr>
          <w:trHeight w:val="123"/>
        </w:trPr>
        <w:tc>
          <w:tcPr>
            <w:tcW w:w="7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4"/>
                <w:szCs w:val="14"/>
                <w:color w:val="auto"/>
              </w:rPr>
              <w:t>2nd Qtr.</w:t>
            </w:r>
          </w:p>
        </w:tc>
        <w:tc>
          <w:tcPr>
            <w:tcW w:w="1400" w:type="dxa"/>
            <w:vAlign w:val="bottom"/>
            <w:tcBorders>
              <w:top w:val="single" w:sz="8" w:color="auto"/>
            </w:tcBorders>
            <w:gridSpan w:val="2"/>
          </w:tcPr>
          <w:p>
            <w:pPr>
              <w:jc w:val="right"/>
              <w:ind w:right="820"/>
              <w:spacing w:after="0" w:line="123" w:lineRule="exact"/>
              <w:rPr>
                <w:sz w:val="20"/>
                <w:szCs w:val="20"/>
                <w:color w:val="auto"/>
              </w:rPr>
            </w:pPr>
            <w:r>
              <w:rPr>
                <w:rFonts w:ascii="Arial" w:cs="Arial" w:eastAsia="Arial" w:hAnsi="Arial"/>
                <w:sz w:val="14"/>
                <w:szCs w:val="14"/>
                <w:color w:val="auto"/>
              </w:rPr>
              <w:t>2nd Qtr.</w:t>
            </w:r>
          </w:p>
        </w:tc>
        <w:tc>
          <w:tcPr>
            <w:tcW w:w="680" w:type="dxa"/>
            <w:vAlign w:val="bottom"/>
            <w:tcBorders>
              <w:top w:val="single" w:sz="8" w:color="auto"/>
            </w:tcBorders>
          </w:tcPr>
          <w:p>
            <w:pPr>
              <w:jc w:val="right"/>
              <w:ind w:right="33"/>
              <w:spacing w:after="0" w:line="123" w:lineRule="exact"/>
              <w:rPr>
                <w:sz w:val="20"/>
                <w:szCs w:val="20"/>
                <w:color w:val="auto"/>
              </w:rPr>
            </w:pPr>
            <w:r>
              <w:rPr>
                <w:rFonts w:ascii="Arial" w:cs="Arial" w:eastAsia="Arial" w:hAnsi="Arial"/>
                <w:sz w:val="14"/>
                <w:szCs w:val="14"/>
                <w:color w:val="auto"/>
              </w:rPr>
              <w:t>1st Qtr.</w:t>
            </w:r>
          </w:p>
        </w:tc>
        <w:tc>
          <w:tcPr>
            <w:tcW w:w="160" w:type="dxa"/>
            <w:vAlign w:val="bottom"/>
          </w:tcPr>
          <w:p>
            <w:pPr>
              <w:spacing w:after="0"/>
              <w:rPr>
                <w:sz w:val="10"/>
                <w:szCs w:val="10"/>
                <w:color w:val="auto"/>
              </w:rPr>
            </w:pP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12,155</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15,578</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3"/>
        </w:trPr>
        <w:tc>
          <w:tcPr>
            <w:tcW w:w="7820" w:type="dxa"/>
            <w:vAlign w:val="bottom"/>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43,572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For the first six months of 2007, average loans and leases aggregated $43.3 billion, 6% above $40.8 billion in the first half of 2006. Consistent with the loan portfolio changes discussed above, growth in commercial loans, commercial real estate loans and residential real estate loans was partially offset by lower average consumer loan balances.</w:t>
      </w:r>
    </w:p>
    <w:p>
      <w:pPr>
        <w:spacing w:after="0" w:line="73"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The investment securities portfolio averaged $6.9 billion in the second quarter of 2007, down from $8.3 billion in the year-earlier quarter and $7.2 billion in the first quarter of 2007. The declines in such securities from both the second quarter of 2006 and the initial 2007 quarter reflect net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paydowns of mortgage-backed securities and collateralized mortgage obligations. The Company has allowed the investment securities portfolio to decline as the opportunity to purchase securities at favorable spreads, that is, the difference between the yield earned on a security and the rate paid on funds used to purchase it, has been limited.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notes.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or credit risk associated with a particular security, or as a result of restructuring its investment securities portfolio following completion of a business combination. The Company regularly reviews its investment securities for declines in value below amortized cost that might be other than temporary. As of June 30, 2007 and December 31, 2006, the Company concluded that such declines were temporary in nature.</w:t>
      </w:r>
    </w:p>
    <w:p>
      <w:pPr>
        <w:spacing w:after="0" w:line="6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Other earning assets include deposits at banks, trading account assets, federal funds sold and agreements to resell securities. Those other earning assets in the aggregate averaged $524 million in the recently completed quarter, compared with $149 million and $365 million in the year-earlier quarter and first quarter of 2007, respectively. The increase in such assets in the recent quarter as compared with the second quarter of 2006 and the first 2007 quarter resulted from purchases of investment securities under agreements to resell. Such agreements averaged $429 million during 2007’s second quarter and $286 million during the first quarter of 2007. There were no such agreements outstanding during the second quarter of 2006. Resell agreements, which aggregated $300 million and had a weighted-average term to maturity of approximately 4 years at June 30, 2007, are accounted for similar to collateralized loans, with changes in the market value of the collateral monitored by the Company to ensure sufficient coverage.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59" w:lineRule="exact"/>
        <w:rPr>
          <w:sz w:val="20"/>
          <w:szCs w:val="20"/>
          <w:color w:val="auto"/>
        </w:rPr>
      </w:pPr>
    </w:p>
    <w:p>
      <w:pPr>
        <w:ind w:right="640" w:firstLine="222"/>
        <w:spacing w:after="0" w:line="264" w:lineRule="auto"/>
        <w:rPr>
          <w:sz w:val="20"/>
          <w:szCs w:val="20"/>
          <w:color w:val="auto"/>
        </w:rPr>
      </w:pPr>
      <w:r>
        <w:rPr>
          <w:rFonts w:ascii="Arial" w:cs="Arial" w:eastAsia="Arial" w:hAnsi="Arial"/>
          <w:sz w:val="18"/>
          <w:szCs w:val="18"/>
          <w:color w:val="auto"/>
        </w:rPr>
        <w:t>The changes described herein resulted in a rise in average earning assets of $1.5 billion, or 3%, to $51.0 billion in the second quarter of 2007 from $49.4 billion in the similar quarter in 2006. Average earning assets were $50.7 billion in the initial quarter of 2007 and aggregated $50.8 billion and $49.3 billion during the six-month periods ended June 30, 2007 and 2006, respectively.</w:t>
      </w:r>
    </w:p>
    <w:p>
      <w:pPr>
        <w:spacing w:after="0" w:line="73"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banking subsidiary of M&amp;T, are also included in core deposits. Average core deposits totaled $28.5 billion in the recent quarter, compared with $28.0 billion in the second quarter of 2006 and $28.6 billion in 2007’s first quarter. The June 30, 2006 acquisition of banking offices added approximately $900 million of core deposits on that date. The following table provides an analysis of quarterly changes in the components of average core deposits. For the six-month periods ended June 30, 2007 and 2006, core deposits averaged $28.5 billion and $27.9 billion, respectively.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6"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Percent increase</w:t>
      </w:r>
    </w:p>
    <w:p>
      <w:pPr>
        <w:ind w:left="9760"/>
        <w:spacing w:after="0" w:line="231" w:lineRule="auto"/>
        <w:rPr>
          <w:sz w:val="20"/>
          <w:szCs w:val="20"/>
          <w:color w:val="auto"/>
        </w:rPr>
      </w:pPr>
      <w:r>
        <w:rPr>
          <w:rFonts w:ascii="Arial" w:cs="Arial" w:eastAsia="Arial" w:hAnsi="Arial"/>
          <w:sz w:val="14"/>
          <w:szCs w:val="14"/>
          <w:color w:val="auto"/>
        </w:rPr>
        <w:t>(decrease) from</w:t>
      </w:r>
    </w:p>
    <w:tbl>
      <w:tblPr>
        <w:tblLayout w:type="fixed"/>
        <w:tblInd w:w="0" w:type="dxa"/>
        <w:tblCellMar>
          <w:top w:w="0" w:type="dxa"/>
          <w:left w:w="0" w:type="dxa"/>
          <w:bottom w:w="0" w:type="dxa"/>
          <w:right w:w="0" w:type="dxa"/>
        </w:tblCellMar>
      </w:tblPr>
      <w:tr>
        <w:trPr>
          <w:trHeight w:val="123"/>
        </w:trPr>
        <w:tc>
          <w:tcPr>
            <w:tcW w:w="7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780"/>
              <w:spacing w:after="0" w:line="123" w:lineRule="exact"/>
              <w:rPr>
                <w:sz w:val="20"/>
                <w:szCs w:val="20"/>
                <w:color w:val="auto"/>
              </w:rPr>
            </w:pPr>
            <w:r>
              <w:rPr>
                <w:rFonts w:ascii="Arial" w:cs="Arial" w:eastAsia="Arial" w:hAnsi="Arial"/>
                <w:sz w:val="14"/>
                <w:szCs w:val="14"/>
                <w:color w:val="auto"/>
                <w:w w:val="90"/>
              </w:rPr>
              <w:t>2nd Qtr.</w:t>
            </w:r>
          </w:p>
        </w:tc>
        <w:tc>
          <w:tcPr>
            <w:tcW w:w="1400" w:type="dxa"/>
            <w:vAlign w:val="bottom"/>
            <w:tcBorders>
              <w:top w:val="single" w:sz="8" w:color="auto"/>
            </w:tcBorders>
            <w:gridSpan w:val="2"/>
          </w:tcPr>
          <w:p>
            <w:pPr>
              <w:jc w:val="right"/>
              <w:ind w:right="820"/>
              <w:spacing w:after="0" w:line="123" w:lineRule="exact"/>
              <w:rPr>
                <w:sz w:val="20"/>
                <w:szCs w:val="20"/>
                <w:color w:val="auto"/>
              </w:rPr>
            </w:pPr>
            <w:r>
              <w:rPr>
                <w:rFonts w:ascii="Arial" w:cs="Arial" w:eastAsia="Arial" w:hAnsi="Arial"/>
                <w:sz w:val="14"/>
                <w:szCs w:val="14"/>
                <w:color w:val="auto"/>
              </w:rPr>
              <w:t>2nd Qtr.</w:t>
            </w:r>
          </w:p>
        </w:tc>
        <w:tc>
          <w:tcPr>
            <w:tcW w:w="680" w:type="dxa"/>
            <w:vAlign w:val="bottom"/>
            <w:tcBorders>
              <w:top w:val="single" w:sz="8" w:color="auto"/>
            </w:tcBorders>
          </w:tcPr>
          <w:p>
            <w:pPr>
              <w:jc w:val="right"/>
              <w:ind w:right="35"/>
              <w:spacing w:after="0" w:line="123" w:lineRule="exact"/>
              <w:rPr>
                <w:sz w:val="20"/>
                <w:szCs w:val="20"/>
                <w:color w:val="auto"/>
              </w:rPr>
            </w:pPr>
            <w:r>
              <w:rPr>
                <w:rFonts w:ascii="Arial" w:cs="Arial" w:eastAsia="Arial" w:hAnsi="Arial"/>
                <w:sz w:val="14"/>
                <w:szCs w:val="14"/>
                <w:color w:val="auto"/>
              </w:rPr>
              <w:t>1st Qtr.</w:t>
            </w:r>
          </w:p>
        </w:tc>
        <w:tc>
          <w:tcPr>
            <w:tcW w:w="160" w:type="dxa"/>
            <w:vAlign w:val="bottom"/>
          </w:tcPr>
          <w:p>
            <w:pPr>
              <w:spacing w:after="0"/>
              <w:rPr>
                <w:sz w:val="10"/>
                <w:szCs w:val="10"/>
                <w:color w:val="auto"/>
              </w:rPr>
            </w:pP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14,946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7,339</w:t>
            </w:r>
          </w:p>
        </w:tc>
        <w:tc>
          <w:tcPr>
            <w:tcW w:w="6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28,517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85" w:lineRule="auto"/>
        <w:rPr>
          <w:sz w:val="20"/>
          <w:szCs w:val="20"/>
          <w:color w:val="auto"/>
        </w:rPr>
      </w:pPr>
      <w:r>
        <w:rPr>
          <w:rFonts w:ascii="Arial" w:cs="Arial" w:eastAsia="Arial" w:hAnsi="Arial"/>
          <w:sz w:val="16"/>
          <w:szCs w:val="16"/>
          <w:color w:val="auto"/>
        </w:rPr>
        <w:t>Additional sources of funding for the Company include domestic time deposits of $100,000 or more, deposits originated through the Company’s offshore branch office, and brokered deposits. Domestic time deposits over $100,000, excluding brokered certificates of deposit, averaged $2.7 billion in the second quarter of 2007, compared with $2.9 billion in each of the year-earlier quarter and in the first quarter of 2007. Offshore branch deposits, primarily comprised of accounts with balances of $100,000 or more, averaged $3.7 billion for each of the two most recent quarters and $3.6 billion for the three months ended June 30, 2006. Brokered time deposits averaged $2.0 billion in the second quarter of 2007, compared with $3.8 billion in the year-earlier quarter and</w:t>
      </w:r>
    </w:p>
    <w:p>
      <w:pPr>
        <w:spacing w:after="0" w:line="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$2.8 billion in 2007’s first quarter.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$265 million of brokered time deposits. The Company also had brokered money-market deposit accounts which averaged $81 million during the second quarter of 2007, compared with $65 million and $84 million during the similar quarter of 2006 and the first quarter of 2007, respectively. Offshore branch deposits and brokered deposits have been used by the Company as alternatives to short-term borrowings. Additional amounts of offshore branch deposits or brokered deposits may be solicited in the future depending on market conditions, including demand by customers and other investors for those deposits, and the cost of funds available from alternative sources at the time.</w:t>
      </w:r>
    </w:p>
    <w:p>
      <w:pPr>
        <w:spacing w:after="0" w:line="73"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Company also uses borrowings from banks, securities dealers, various Federal Home Loan Banks (“FHLBs”), and others as sources of funding. Short-term borrowings averaged $5.6 billion in the recent quarter, compared with $4.3 billion in the second quarter of 2006 and $4.9 billion in the first quarter of 2007. Included in short-term borrowings were unsecured federal funds borrowings, which generally mature daily and averaged $4.8 billion, $3.4 billion and $4.1 billion in the second quarters of 2007 and 2006, and the first quarter of 2007, respectively.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special purpose subsidiary, the loans and the borrowings are included in the consolidated financial statements of the Company.</w:t>
      </w:r>
    </w:p>
    <w:p>
      <w:pPr>
        <w:spacing w:after="0" w:line="84"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Long-term borrowings averaged $7.9 billion in the recent quarter, compared with $5.9 billion in the second quarter of 2006 and $7.3 billion in 2007’s initial quarter. Included in average long-term borrowings were amounts borrowed from the FHLBs of $3.7 billion in the second quarter of 2007, compared with $3.9 billion and $3.5 billion in the year-earlier quarter and the first quarter of 2007, respectively, and subordinated capital notes of $1.7 billion in the two most recent quarters and $1.2 billion in the second quarter of 2006. M&amp;T Bank issued $500 million of subordinated notes in December 2006, in part to maintain appropriate regulatory capital ratios. Junior subordinated debentures associated with trust preferred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were included in average long-term borrowings were $713 million in each of the first two quarters of 2007 and $712 million in the second quarter of 2006. Information regarding trust preferred securities and the related junior subordinated debentures is provided in note 4 of Notes to Financial Statements. Also included in long-term borrowings were agreements to repurchase securities, which averaged $1.6 billion, $81 million and $1.4 billion during the quarters ended June 30, 2007, June 30, 2006 and March 31, 2007, respectively.</w:t>
      </w:r>
    </w:p>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3.08% in the second quarter of 2007, compared with 3.07% in the year-earlier quarter. The yield on earning assets during the recent quarter was 6.95%, up 32 basis points from 6.63% in the second quarter of 2006, while the rate paid on interest-bearing liabilities increased 31 basis points to 3.87% from 3.56% in 2006’s second quarter. In the initial quarter of 2007, the net interest spread was 3.03%, the yield on earning assets was 6.93% and the rate paid on interest-bearing liabilities was 3.90%. For the first half of 2007, the net interest spread was 3.06%, a decrease of 7 basis points from the corresponding 2006 period. The yield on earning assets and the rate paid on interest-bearing liabilities were 6.94% and 3.88%, respectively, in the first six months of 2007, compared with 6.55% and 3.42%, respectively, in the corresponding period of 2006. The 1 basis point increase in the Company’s net interest spread during the recent quarter as compared with the second quarter of 2006 resulted from higher fees from customer prepayments of commercial real estate loans, higher interest received on nonaccrual loans and lower rates paid on certain consumer deposits obtained in a past acquisition, partially offset by the impact of funding the Company’s investment in BLG. The improvement in net interest spread from the first quarter of 2007 to the recent quarter was due, in part, to higher commercial real estate loan prepayment fees, higher interest received on nonaccrual loans and lower rates paid on deposits, partially offset by the impact of one more day in 2007’s second quarter.</w:t>
      </w:r>
    </w:p>
    <w:p>
      <w:pPr>
        <w:spacing w:after="0" w:line="67" w:lineRule="exact"/>
        <w:rPr>
          <w:sz w:val="20"/>
          <w:szCs w:val="20"/>
          <w:color w:val="auto"/>
        </w:rPr>
      </w:pPr>
    </w:p>
    <w:p>
      <w:pPr>
        <w:ind w:right="100" w:firstLine="225"/>
        <w:spacing w:after="0" w:line="283"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$7.8 billion in the second quarter of 2007, compared with $8.2 billion in the similar quarter of 2006 and $8.0 billion in the first quarter of 2007. The decline in average net interest-free funds in the recent quarter as compared with the year-earlier quarter was due largely to higher average non-earning assets, including core deposit and other intangible assets relating to the June 30, 2006 banking office acquisition and the BLG investment, and lower noninterest-bearing deposits, partially offset by higher average stockholders’ equity. The decrease in average net interest-free funds from the first quarter of 2007 was due, in part, to lower stockholders’ equity, largely attributable to repurchases of M&amp;T common stock in the recent quarter. During the first half of 2007 and 2006, average net interest-free funds totaled $7.9 billion and $8.2 billion, respectively. Goodwill and core deposit and other intangible assets averaged $3.1 billion during each of the quarters ended June 30, 2007 and March 31, 2007, and $3.0 billion in the second quarter of 2006. The cash surrender value of bank owned life insurance averaged</w:t>
      </w:r>
    </w:p>
    <w:p>
      <w:pPr>
        <w:spacing w:after="0" w:line="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$1.1 billion during each of the quarters ended June 30, 2007, June 30, 2006 and March 31, 2007. Increases in the cash surrender value of bank owned life insurance are not included in interest income, but rather are recorded in “other revenues from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The contribution of net interest-free funds to net interest margin was .59% in each of the second quarter of 2007 and 2006 and .61% in the first quarter of 2007. The contribution of net interest-free funds to net interest margin for the first half of the year was .60% in 2007 and .57% in 2006. The increase in the contribution to net interest margin ascribed to net interest-free funds in the six-month period ended June 30, 2007 as compared with the similar 2006 period resulted largely from the impact of higher interest rates on interest-bearing liabilities used to value such contribution.</w:t>
      </w:r>
    </w:p>
    <w:p>
      <w:pPr>
        <w:spacing w:after="0" w:line="63"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 was 3.67% in the recent quarter, up slightly from 3.66% in the corresponding quarter of 2006 and 3 basis points higher than 3.64% in the first quarter of 2007. During the first six months of 2007 and 2006, the net interest margin was 3.66% and 3.70%,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6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$902 million at June 30, 2007, $787 million at June 30, 2006, and approximately $1 billion at each of March 31, 2007 and December 31, 2006. Under the terms of these swap agreements, the Company receives payments based on the outstanding notional amount of the swap agreements at fixed rates and makes payments at variable rates.</w:t>
      </w:r>
    </w:p>
    <w:p>
      <w:pPr>
        <w:spacing w:after="0" w:line="70" w:lineRule="exact"/>
        <w:rPr>
          <w:sz w:val="20"/>
          <w:szCs w:val="20"/>
          <w:color w:val="auto"/>
        </w:rPr>
      </w:pPr>
    </w:p>
    <w:p>
      <w:pPr>
        <w:ind w:firstLine="215"/>
        <w:spacing w:after="0" w:line="287" w:lineRule="auto"/>
        <w:rPr>
          <w:sz w:val="20"/>
          <w:szCs w:val="20"/>
          <w:color w:val="auto"/>
        </w:rPr>
      </w:pPr>
      <w:r>
        <w:rPr>
          <w:rFonts w:ascii="Arial" w:cs="Arial" w:eastAsia="Arial" w:hAnsi="Arial"/>
          <w:sz w:val="16"/>
          <w:szCs w:val="16"/>
          <w:color w:val="auto"/>
        </w:rPr>
        <w:t>As of June 30, 2007, all of the Company’s interest rate swap agreements entered into for risk management purposes had been designated as fair value hedges.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three- and six-month periods ended June 30, 2007 and 2006 were not material to the Company’s results of operations. The estimated aggregate fair value of interest rate swap agreements designated as fair value hedges represented losses of approximately $32 million and $16 million at June 30, 2007 and 2006, respectively, and $15 million at December 31, 2006. The fair values of such swap agreements were substantially offset by changes in the fair values of the hedged items. The changes in the fair values of the interest rate swap agreements and the hedged items result from the effects of changing interest rates.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5.67% and 6.27%, respectively, at June 30, 2007. The average notional amounts of interest rate swap agreements and the related effect on net interest income and margin, and the weighted-average interest rates paid or received on those swap agreements are presented in the accompanying table.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w w:val="96"/>
              </w:rPr>
              <w:t>2006</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700"/>
              <w:spacing w:after="0" w:line="142" w:lineRule="exact"/>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2"/>
                <w:szCs w:val="12"/>
                <w:color w:val="auto"/>
              </w:rPr>
            </w:pPr>
          </w:p>
        </w:tc>
        <w:tc>
          <w:tcPr>
            <w:tcW w:w="660" w:type="dxa"/>
            <w:vAlign w:val="bottom"/>
          </w:tcPr>
          <w:p>
            <w:pPr>
              <w:jc w:val="right"/>
              <w:ind w:right="102"/>
              <w:spacing w:after="0" w:line="142" w:lineRule="exact"/>
              <w:rPr>
                <w:sz w:val="20"/>
                <w:szCs w:val="20"/>
                <w:color w:val="auto"/>
              </w:rPr>
            </w:pPr>
            <w:r>
              <w:rPr>
                <w:rFonts w:ascii="Arial" w:cs="Arial" w:eastAsia="Arial" w:hAnsi="Arial"/>
                <w:sz w:val="14"/>
                <w:szCs w:val="14"/>
                <w:color w:val="auto"/>
              </w:rPr>
              <w:t>Rate*</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Arial" w:cs="Arial" w:eastAsia="Arial" w:hAnsi="Arial"/>
                <w:sz w:val="14"/>
                <w:szCs w:val="14"/>
                <w:color w:val="auto"/>
              </w:rPr>
              <w:t>Rate*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6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10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660" w:type="dxa"/>
            <w:vAlign w:val="bottom"/>
            <w:gridSpan w:val="2"/>
          </w:tcPr>
          <w:p>
            <w:pPr>
              <w:jc w:val="right"/>
              <w:ind w:right="520"/>
              <w:spacing w:after="0"/>
              <w:rPr>
                <w:sz w:val="20"/>
                <w:szCs w:val="20"/>
                <w:color w:val="auto"/>
              </w:rPr>
            </w:pPr>
            <w:r>
              <w:rPr>
                <w:rFonts w:ascii="Arial" w:cs="Arial" w:eastAsia="Arial" w:hAnsi="Arial"/>
                <w:sz w:val="16"/>
                <w:szCs w:val="16"/>
                <w:color w:val="auto"/>
                <w:w w:val="74"/>
              </w:rPr>
              <w:t>)</w:t>
            </w:r>
          </w:p>
        </w:tc>
        <w:tc>
          <w:tcPr>
            <w:tcW w:w="1440" w:type="dxa"/>
            <w:vAlign w:val="bottom"/>
            <w:gridSpan w:val="4"/>
          </w:tcPr>
          <w:p>
            <w:pPr>
              <w:jc w:val="right"/>
              <w:ind w:right="56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881,362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$ 769,988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2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4"/>
            <w:vMerge w:val="restart"/>
          </w:tcPr>
          <w:p>
            <w:pPr>
              <w:jc w:val="right"/>
              <w:ind w:right="620"/>
              <w:spacing w:after="0"/>
              <w:rPr>
                <w:sz w:val="20"/>
                <w:szCs w:val="20"/>
                <w:color w:val="auto"/>
              </w:rPr>
            </w:pPr>
            <w:r>
              <w:rPr>
                <w:rFonts w:ascii="Arial" w:cs="Arial" w:eastAsia="Arial" w:hAnsi="Arial"/>
                <w:sz w:val="18"/>
                <w:szCs w:val="18"/>
                <w:color w:val="auto"/>
              </w:rPr>
              <w:t>6.05%</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2006</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680"/>
              <w:spacing w:after="0" w:line="142" w:lineRule="exact"/>
              <w:rPr>
                <w:sz w:val="20"/>
                <w:szCs w:val="20"/>
                <w:color w:val="auto"/>
              </w:rPr>
            </w:pPr>
            <w:r>
              <w:rPr>
                <w:rFonts w:ascii="Arial" w:cs="Arial" w:eastAsia="Arial" w:hAnsi="Arial"/>
                <w:sz w:val="14"/>
                <w:szCs w:val="14"/>
                <w:color w:val="auto"/>
                <w:w w:val="99"/>
              </w:rPr>
              <w:t>Amount</w:t>
            </w:r>
          </w:p>
        </w:tc>
        <w:tc>
          <w:tcPr>
            <w:tcW w:w="20" w:type="dxa"/>
            <w:vAlign w:val="bottom"/>
          </w:tcPr>
          <w:p>
            <w:pPr>
              <w:spacing w:after="0"/>
              <w:rPr>
                <w:sz w:val="12"/>
                <w:szCs w:val="12"/>
                <w:color w:val="auto"/>
              </w:rPr>
            </w:pPr>
          </w:p>
        </w:tc>
        <w:tc>
          <w:tcPr>
            <w:tcW w:w="68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Rate*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w w:val="99"/>
              </w:rPr>
              <w:t>Amount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2,644</w:t>
            </w:r>
          </w:p>
        </w:tc>
        <w:tc>
          <w:tcPr>
            <w:tcW w:w="14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1,069</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12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(2,644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40" w:type="dxa"/>
            <w:vAlign w:val="bottom"/>
            <w:gridSpan w:val="4"/>
          </w:tcPr>
          <w:p>
            <w:pPr>
              <w:jc w:val="right"/>
              <w:ind w:right="5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938,512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730,694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4"/>
            <w:vMerge w:val="restart"/>
          </w:tcPr>
          <w:p>
            <w:pPr>
              <w:jc w:val="right"/>
              <w:ind w:right="580"/>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for other corporate purposes. Liquidity risk arises whenever the maturities of financial instruments included in assets and liabilities differ. M&amp;T’s banking subsidiaries have access to additional funding sources through borrowings from the Federal Home Loan Bank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In December 2006, M&amp;T Bank issued $500 million of subordinated notes. The notes bear a fixed rate of interest of 5.629% for ten years and a floating rate for five years thereafter, at a rate equal to the three-month London Interbank Offered Rate plus .64%. The notes are redeemable at the Company’s option after the fixed-rate period ends, subject to prior regulatory approval. As an additional source of funding, M&amp;T issued $300 million of senior notes in May 2007. Those notes bear a fixed rate of interest of 5.375% and are due on May 24, 2012. The Company also obtains funding by maintaining a $500 million revolving asset-backed structured borrowing which is collateralized by automobile loans and related assets that have been transferred to a special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purpose subsidiary of M&amp;T Bank. That subsidiary, the loans and the borrowing are included in the Company’s consolidated financial statements. As existing loans of the subsidiary pay down, monthly proceeds, after payment of certain fees and debt service costs, are used to obtain additional automobile loans from M&amp;T Bank or other subsidiaries to replenish the collateral and maintain the existing borrowing base.</w:t>
      </w:r>
    </w:p>
    <w:p>
      <w:pPr>
        <w:spacing w:after="0" w:line="73"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aggregated $2.2 billion, $4.4 billion and $2.3 billion at June 30, 2007, June 30, 2006 and December 31, 2006, respectively. In general, these borrowings were unsecured and matured on the following business day. As already noted, offshore branch deposits and brokered certificates of deposit have been used by the Company as alternatives to short-term borrowings. At June 30, 2007, brokered time deposits totaled $1.9 billion and the weighted-average remaining term to maturity of such deposits was 17 months. Certain of these brokered time deposits have provisions that allow for early redemption.</w:t>
      </w:r>
    </w:p>
    <w:p>
      <w:pPr>
        <w:spacing w:after="0" w:line="7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$14 million and $49 million at June 30, 2007 and 2006, respectively, and $6 million at December 31, 2006. The total amount of VRDBs outstanding backed by M&amp;T Bank letters of credit was $1.7 billion at each of June 30, 2007, June 30, 2006 and December 31, 2006. M&amp;T Bank also serves as remarketing agent for most of those bonds.</w:t>
      </w:r>
    </w:p>
    <w:p>
      <w:pPr>
        <w:spacing w:after="0" w:line="81"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6 of Notes to Financial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2007 approximately $245 million was available for payment of dividends to M&amp;T from banking subsidiaries without prior regulatory approval. These historic sources of cash flow have been augmented in the past by the issuance of trust preferred securities and in the second quarter of 2007 by the issuance of $300 million of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June 30, 2007 or at December 31, 2006.</w:t>
      </w:r>
    </w:p>
    <w:p>
      <w:pPr>
        <w:spacing w:after="0" w:line="8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9"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accompanying table as of June 30, 2007 and December 31, 2006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920" w:type="dxa"/>
            <w:vAlign w:val="bottom"/>
            <w:gridSpan w:val="4"/>
          </w:tcPr>
          <w:p>
            <w:pPr>
              <w:jc w:val="center"/>
              <w:ind w:right="6200"/>
              <w:spacing w:after="0"/>
              <w:rPr>
                <w:sz w:val="20"/>
                <w:szCs w:val="20"/>
                <w:color w:val="auto"/>
              </w:rPr>
            </w:pPr>
            <w:r>
              <w:rPr>
                <w:rFonts w:ascii="Arial" w:cs="Arial" w:eastAsia="Arial" w:hAnsi="Arial"/>
                <w:sz w:val="14"/>
                <w:szCs w:val="14"/>
                <w:color w:val="auto"/>
                <w:w w:val="90"/>
              </w:rPr>
              <w:t>Calculated increase (decrease)</w:t>
            </w: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920" w:type="dxa"/>
            <w:vAlign w:val="bottom"/>
            <w:gridSpan w:val="4"/>
          </w:tcPr>
          <w:p>
            <w:pPr>
              <w:jc w:val="center"/>
              <w:ind w:right="6180"/>
              <w:spacing w:after="0" w:line="149" w:lineRule="exact"/>
              <w:rPr>
                <w:sz w:val="20"/>
                <w:szCs w:val="20"/>
                <w:color w:val="auto"/>
              </w:rPr>
            </w:pPr>
            <w:r>
              <w:rPr>
                <w:rFonts w:ascii="Arial" w:cs="Arial" w:eastAsia="Arial" w:hAnsi="Arial"/>
                <w:sz w:val="14"/>
                <w:szCs w:val="14"/>
                <w:color w:val="auto"/>
                <w:w w:val="93"/>
              </w:rPr>
              <w:t>in projected net interest income</w:t>
            </w: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440" w:type="dxa"/>
            <w:vAlign w:val="bottom"/>
          </w:tcPr>
          <w:p>
            <w:pPr>
              <w:spacing w:after="0"/>
              <w:rPr>
                <w:sz w:val="14"/>
                <w:szCs w:val="14"/>
                <w:color w:val="auto"/>
              </w:rPr>
            </w:pPr>
          </w:p>
        </w:tc>
        <w:tc>
          <w:tcPr>
            <w:tcW w:w="1140" w:type="dxa"/>
            <w:vAlign w:val="bottom"/>
          </w:tcPr>
          <w:p>
            <w:pPr>
              <w:jc w:val="right"/>
              <w:ind w:right="84"/>
              <w:spacing w:after="0"/>
              <w:rPr>
                <w:sz w:val="20"/>
                <w:szCs w:val="20"/>
                <w:color w:val="auto"/>
              </w:rPr>
            </w:pPr>
            <w:r>
              <w:rPr>
                <w:rFonts w:ascii="Arial" w:cs="Arial" w:eastAsia="Arial" w:hAnsi="Arial"/>
                <w:sz w:val="14"/>
                <w:szCs w:val="14"/>
                <w:color w:val="auto"/>
              </w:rPr>
              <w:t>June 30, 2007</w:t>
            </w:r>
          </w:p>
        </w:tc>
        <w:tc>
          <w:tcPr>
            <w:tcW w:w="440" w:type="dxa"/>
            <w:vAlign w:val="bottom"/>
          </w:tcPr>
          <w:p>
            <w:pPr>
              <w:spacing w:after="0"/>
              <w:rPr>
                <w:sz w:val="14"/>
                <w:szCs w:val="14"/>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December 31, 2006</w:t>
            </w: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4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 (21,949)</w:t>
            </w:r>
          </w:p>
        </w:tc>
        <w:tc>
          <w:tcPr>
            <w:tcW w:w="4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15,098</w:t>
            </w:r>
          </w:p>
        </w:tc>
        <w:tc>
          <w:tcPr>
            <w:tcW w:w="6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+100 basis points</w:t>
            </w:r>
          </w:p>
        </w:tc>
        <w:tc>
          <w:tcPr>
            <w:tcW w:w="1580" w:type="dxa"/>
            <w:vAlign w:val="bottom"/>
            <w:gridSpan w:val="2"/>
          </w:tcPr>
          <w:p>
            <w:pPr>
              <w:jc w:val="right"/>
              <w:ind w:right="84"/>
              <w:spacing w:after="0"/>
              <w:rPr>
                <w:sz w:val="20"/>
                <w:szCs w:val="20"/>
                <w:color w:val="auto"/>
              </w:rPr>
            </w:pPr>
            <w:r>
              <w:rPr>
                <w:rFonts w:ascii="Arial" w:cs="Arial" w:eastAsia="Arial" w:hAnsi="Arial"/>
                <w:sz w:val="18"/>
                <w:szCs w:val="18"/>
                <w:color w:val="auto"/>
              </w:rPr>
              <w:t>(4,435)</w:t>
            </w:r>
          </w:p>
        </w:tc>
        <w:tc>
          <w:tcPr>
            <w:tcW w:w="1580" w:type="dxa"/>
            <w:vAlign w:val="bottom"/>
            <w:gridSpan w:val="2"/>
          </w:tcPr>
          <w:p>
            <w:pPr>
              <w:jc w:val="right"/>
              <w:ind w:right="239"/>
              <w:spacing w:after="0"/>
              <w:rPr>
                <w:sz w:val="20"/>
                <w:szCs w:val="20"/>
                <w:color w:val="auto"/>
              </w:rPr>
            </w:pPr>
            <w:r>
              <w:rPr>
                <w:rFonts w:ascii="Arial" w:cs="Arial" w:eastAsia="Arial" w:hAnsi="Arial"/>
                <w:sz w:val="18"/>
                <w:szCs w:val="18"/>
                <w:color w:val="auto"/>
              </w:rPr>
              <w:t>13,260</w:t>
            </w:r>
          </w:p>
        </w:tc>
        <w:tc>
          <w:tcPr>
            <w:tcW w:w="6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5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6,764</w:t>
            </w:r>
          </w:p>
        </w:tc>
        <w:tc>
          <w:tcPr>
            <w:tcW w:w="15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(12,759)</w:t>
            </w:r>
          </w:p>
        </w:tc>
        <w:tc>
          <w:tcPr>
            <w:tcW w:w="6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 basis points</w:t>
            </w:r>
          </w:p>
        </w:tc>
        <w:tc>
          <w:tcPr>
            <w:tcW w:w="1580" w:type="dxa"/>
            <w:vAlign w:val="bottom"/>
            <w:gridSpan w:val="2"/>
          </w:tcPr>
          <w:p>
            <w:pPr>
              <w:jc w:val="right"/>
              <w:ind w:right="144"/>
              <w:spacing w:after="0"/>
              <w:rPr>
                <w:sz w:val="20"/>
                <w:szCs w:val="20"/>
                <w:color w:val="auto"/>
              </w:rPr>
            </w:pPr>
            <w:r>
              <w:rPr>
                <w:rFonts w:ascii="Arial" w:cs="Arial" w:eastAsia="Arial" w:hAnsi="Arial"/>
                <w:sz w:val="18"/>
                <w:szCs w:val="18"/>
                <w:color w:val="auto"/>
              </w:rPr>
              <w:t>5,053</w:t>
            </w:r>
          </w:p>
        </w:tc>
        <w:tc>
          <w:tcPr>
            <w:tcW w:w="1580" w:type="dxa"/>
            <w:vAlign w:val="bottom"/>
            <w:gridSpan w:val="2"/>
          </w:tcPr>
          <w:p>
            <w:pPr>
              <w:jc w:val="right"/>
              <w:ind w:right="179"/>
              <w:spacing w:after="0"/>
              <w:rPr>
                <w:sz w:val="20"/>
                <w:szCs w:val="20"/>
                <w:color w:val="auto"/>
              </w:rPr>
            </w:pPr>
            <w:r>
              <w:rPr>
                <w:rFonts w:ascii="Arial" w:cs="Arial" w:eastAsia="Arial" w:hAnsi="Arial"/>
                <w:sz w:val="18"/>
                <w:szCs w:val="18"/>
                <w:color w:val="auto"/>
              </w:rPr>
              <w:t>(26,546)</w:t>
            </w:r>
          </w:p>
        </w:tc>
        <w:tc>
          <w:tcPr>
            <w:tcW w:w="6200" w:type="dxa"/>
            <w:vAlign w:val="bottom"/>
          </w:tcPr>
          <w:p>
            <w:pPr>
              <w:spacing w:after="0"/>
              <w:rPr>
                <w:sz w:val="20"/>
                <w:szCs w:val="20"/>
                <w:color w:val="auto"/>
              </w:rPr>
            </w:pPr>
          </w:p>
        </w:tc>
      </w:tr>
    </w:tbl>
    <w:p>
      <w:pPr>
        <w:spacing w:after="0" w:line="79"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 The directional changes to projected net interest income resulting from changing interest rates from December 31, 2006 to June 30, 2007 were largely due to higher projected balances of fixed rate assets and a higher level of interest rates in the current projection as compared with the earlier projection.</w:t>
      </w:r>
    </w:p>
    <w:p>
      <w:pPr>
        <w:spacing w:after="0" w:line="61"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have included forward and futures contracts related to foreign currencies and mortgage-backed securities, U.S. Treasury and other government securities, mortgage-backed securities, mutual funds and interest rate contracts, such as swap agreements. The Company generally mitigates the foreign currency and interest rate risk associated with trading activities by entering into offsetting trading positions. The amounts of gross and net trading positions,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notional amounts of interest rate contracts entered into for trading purposes totaled $8.4 billion at June 30, 2007, compared with $7.2 billion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$7.6 billion at June 30, 2006 and December 31, 2006, respectively. The notional amounts of foreign currency and other option and futures contracts entered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for trading purposes were $798 million, $578 million and $613 million at June 30, 2007, June 30, 2006 and December 31, 2006, respectively.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notional amounts of these trading contracts are not recorded in the consolidated balance sheet, the fair values of all financial instruments used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are recorded in the consolidated balance sheet. The fair values of all trading account assets and liabilities totaled $152 million and $71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June 30, 2007, $208 million and $99 million, respectively, at June 30, 2006, and $137 million and $65 million, respectively,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Included in trading account assets were assets related to deferred compensation plans totaling $47 million at June 30, 2007, $43 million at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and $45 million at December 31, 2006. Changes in the fair value of such assets are recorded as trading account and foreign exchange gains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income. Included in other liabilities in the consolidated balance sheet at June 30, 2007 and at December 31, 2006 were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$49 million, respectively, of liabilities related to deferred compensation plans, while at June 30, 2006, $48 million of such liabilities related to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plans. Changes in the balances of such liabilities due to the valuation of allocated investment options to which the liabilities are indexed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in “other costs of operations” in the consolidated statement of income.</w:t>
      </w:r>
    </w:p>
    <w:p>
      <w:pPr>
        <w:spacing w:after="0" w:line="103" w:lineRule="exact"/>
        <w:rPr>
          <w:sz w:val="20"/>
          <w:szCs w:val="20"/>
          <w:color w:val="auto"/>
        </w:rPr>
      </w:pPr>
    </w:p>
    <w:p>
      <w:pPr>
        <w:jc w:val="both"/>
        <w:ind w:right="40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2007 was $30 million, compared with $17 million in the year-earlier quarter and $27 million in the first quarter of 2007. Net loan charge-offs were $22 million in the recent quarter, compared with $10 million in the second quarter of 2006 and $17 million in the initial 2007 quarter. Net charge-offs as an annualized percentage of average loans and leases were .20% in the recently completed quarter, compared with .10% and .16% in the quarters ended June 30, 2006 and March 31, 2007, respectively. For the six-month periods ended June 30, 2007 and 2006, the provision for credit losses was $57 million and</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$35 million, respectively. Net charge-offs through June 30 aggregated $39 million in 2007 and $27 million in 2006, representing .18% and .13%, respectively, of average loans and leases. A summary of net charge–offs by loan type follows.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r>
        <w:trPr>
          <w:trHeight w:val="123"/>
        </w:trPr>
        <w:tc>
          <w:tcPr>
            <w:tcW w:w="3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2680" w:type="dxa"/>
            <w:vAlign w:val="bottom"/>
          </w:tcPr>
          <w:p>
            <w:pPr>
              <w:spacing w:after="0"/>
              <w:rPr>
                <w:sz w:val="10"/>
                <w:szCs w:val="10"/>
                <w:color w:val="auto"/>
              </w:rPr>
            </w:pPr>
          </w:p>
        </w:tc>
      </w:tr>
      <w:tr>
        <w:trPr>
          <w:trHeight w:val="167"/>
        </w:trPr>
        <w:tc>
          <w:tcPr>
            <w:tcW w:w="33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1st Qtr.</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2nd Qtr.</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268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2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11,926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1,692</w:t>
            </w: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4300" w:type="dxa"/>
            <w:vAlign w:val="bottom"/>
            <w:gridSpan w:val="2"/>
          </w:tcPr>
          <w:p>
            <w:pPr>
              <w:jc w:val="right"/>
              <w:ind w:right="2680"/>
              <w:spacing w:after="0"/>
              <w:rPr>
                <w:sz w:val="20"/>
                <w:szCs w:val="20"/>
                <w:color w:val="auto"/>
              </w:rPr>
            </w:pPr>
            <w:r>
              <w:rPr>
                <w:rFonts w:ascii="Arial" w:cs="Arial" w:eastAsia="Arial" w:hAnsi="Arial"/>
                <w:sz w:val="18"/>
                <w:szCs w:val="18"/>
                <w:color w:val="auto"/>
              </w:rPr>
              <w:t>3,852</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10,618</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10,722</w:t>
            </w: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21,340</w:t>
            </w:r>
          </w:p>
        </w:tc>
      </w:tr>
      <w:tr>
        <w:trPr>
          <w:trHeight w:val="223"/>
        </w:trPr>
        <w:tc>
          <w:tcPr>
            <w:tcW w:w="3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21,619</w:t>
            </w:r>
          </w:p>
        </w:tc>
        <w:tc>
          <w:tcPr>
            <w:tcW w:w="2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38,810</w:t>
            </w:r>
          </w:p>
        </w:tc>
        <w:tc>
          <w:tcPr>
            <w:tcW w:w="26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4"/>
        </w:trPr>
        <w:tc>
          <w:tcPr>
            <w:tcW w:w="336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2006</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680" w:type="dxa"/>
            <w:vAlign w:val="bottom"/>
          </w:tcPr>
          <w:p>
            <w:pPr>
              <w:spacing w:after="0"/>
              <w:rPr>
                <w:sz w:val="22"/>
                <w:szCs w:val="22"/>
                <w:color w:val="auto"/>
              </w:rPr>
            </w:pPr>
          </w:p>
        </w:tc>
      </w:tr>
      <w:tr>
        <w:trPr>
          <w:trHeight w:val="123"/>
        </w:trPr>
        <w:tc>
          <w:tcPr>
            <w:tcW w:w="3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2680" w:type="dxa"/>
            <w:vAlign w:val="bottom"/>
          </w:tcPr>
          <w:p>
            <w:pPr>
              <w:spacing w:after="0"/>
              <w:rPr>
                <w:sz w:val="10"/>
                <w:szCs w:val="10"/>
                <w:color w:val="auto"/>
              </w:rPr>
            </w:pPr>
          </w:p>
        </w:tc>
      </w:tr>
      <w:tr>
        <w:trPr>
          <w:trHeight w:val="167"/>
        </w:trPr>
        <w:tc>
          <w:tcPr>
            <w:tcW w:w="33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1st Qtr.</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2nd Qtr.</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268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w:t>
            </w: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8,204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335</w:t>
            </w: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4300" w:type="dxa"/>
            <w:vAlign w:val="bottom"/>
            <w:gridSpan w:val="2"/>
          </w:tcPr>
          <w:p>
            <w:pPr>
              <w:jc w:val="right"/>
              <w:ind w:right="2680"/>
              <w:spacing w:after="0"/>
              <w:rPr>
                <w:sz w:val="20"/>
                <w:szCs w:val="20"/>
                <w:color w:val="auto"/>
              </w:rPr>
            </w:pPr>
            <w:r>
              <w:rPr>
                <w:rFonts w:ascii="Arial" w:cs="Arial" w:eastAsia="Arial" w:hAnsi="Arial"/>
                <w:sz w:val="18"/>
                <w:szCs w:val="18"/>
                <w:color w:val="auto"/>
              </w:rPr>
              <w:t>1,169</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10,188</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2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17,104</w:t>
            </w:r>
          </w:p>
        </w:tc>
      </w:tr>
      <w:tr>
        <w:trPr>
          <w:trHeight w:val="223"/>
        </w:trPr>
        <w:tc>
          <w:tcPr>
            <w:tcW w:w="3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16,832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w:t>
            </w:r>
          </w:p>
        </w:tc>
        <w:tc>
          <w:tcPr>
            <w:tcW w:w="2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26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Loans classified as nonperforming, which consist of nonaccrual and restructured loans, increased to $296 million or .68% of total loans and leases outstanding at June 30, 2007, compared with $156 million or .38% at June 30, 2006, $224 million or .52% at December 31, 2006, and $273 million or .63% at March 31, 2007. The increase in such loans from the end of the second quarter of 2006 was due in part to the net addition of $26 million of loans to automobile dealers, most of which were classified as commercial loans. Also contributing to the nonperforming loan increases from June 30 and December 31, 2006 to June 30, 2007 were: the recent quarter addition of a $34 million loan to a residential home builder and developer in the Mid-Atlantic Region; a first quarter 2007 addition of a $22 million relationship with a manufacturer of residential heating equipment; and several other additions of loans having outstanding balances of less than $7 million. The $34 million loan noted above, less repayments and charge-offs on other loans, was the primary contributor to the rise in nonperforming loans from March 31 to June 30, 2007.</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Accruing loans past due 90 days or more totaled $135 million or .31% of total loans and leases at June 30, 2007, compared with $101 million or .24%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earlier, $111 million or .26% at December 31, 2006 and $118 million or .27% at March 31, 2007. Those loans included $70 million, $79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$77 million and $71 million at June 30, 2007, June 30, 2006, December 31, 2006 and March 31, 2007, respectively, of loans guaranteed by government-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entities. Such guaranteed loans included one-to-four family residential mortgage loans serviced by the Company that were repurchased to reduce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servicing costs, including a requirement to advance principal and interest payments that had not been received from individual mortgagors, totaling</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$58 million at each of June 30, 2007 and 2006, $65 million at December 31, 2006 and $61 million at March 31, 2007. Loans past due 90 days or more and accruing interest that were guaranteed by government-related entities also included foreign commercial and industrial loans supported by the Export-Import Bank of the United States totaling $12 million at June 30, 2007, compared with $21 million a year earlier, $11 million at December 31, 2006 and $10 million at March 31, 2007. The rise in accruing loans past due 90 days or more from the prior dates noted to June 30, 2007 was largely due to increases in non-guaranteed residential mortgage loans.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Nonperforming commercial loans and leases totaled $115 million at June 30, 2007, $47 million at June 30, 2006, $79 million at December 31, 2006 and $113 million at March 31, 2007. The rise in such loans from June 2006 was due, in part, to the previously discussed loans to automobile dealers, which increased this category by $26 million. The continuing slump in domestic automobile sales has resulted in a difficult operating environment for certain automobile dealers, leading to poor financial results. Also contributing to that rise as well as the increase in nonperforming commercial loans from December 31, 2006 was the first quarter 2007 addition of outstanding commercial loans to the relationship with the manufacturer of residential heating equipment already noted.</w:t>
      </w:r>
    </w:p>
    <w:p>
      <w:pPr>
        <w:spacing w:after="0" w:line="85"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Commercial real estate loans classified as nonperforming totaled $72 million at June 30, 2007, $37 million at June 30, 2006, $57 million at December 31, 2006 and $64 million at March 31, 2007. The increase in such loans from the end of 2006’s second quarter was partially the result of the recent quarter addition of $34 million of commercial real estate loans to the residential home builder and developer already discussed.</w:t>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Nonperforming residential real estate loans totaled $61 million at June 30, 2007, $32 million at June 30, 2006, $42 million at December 31, 2006 and</w:t>
      </w:r>
    </w:p>
    <w:p>
      <w:pPr>
        <w:spacing w:after="0" w:line="3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$50 million at March 31, 2007. Residential real estate loans past due 90 days or more and accruing interest totaled $110 million at June 30, 2007, compared with $71 million a year-earlier, and $92 million and $96 million at December 31, 2006 and March 31, 2007, respectively. As already noted, a significant portion of such amounts relate to guaranteed loans repurchased from government-related entities. However, due to higher delinquencies in the Company’s residential real estate loan portfolio, the level of unguaranteed loans in this category has increased.</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Consumer loans and leases classified as nonperforming totaled $48 million at the recent quarter-end, compared with $40 million a year earlier and</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$46 million at each of December 31, 2006 and March 31, 2007. As a percentage of consumer loan balances outstanding, nonperforming consumer loans and leases were .47% and .40% at June 30, 2007 and 2006, respectively, .46% at December 31, 2006 and .47% at March 31, 2007.</w:t>
      </w:r>
    </w:p>
    <w:p>
      <w:pPr>
        <w:spacing w:after="0" w:line="53"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Assets acquired in settlement of defaulted loans were $18 million at June 30, 2007, compared with $14 million a year earlier, $12 million at December 31, 2006 and $15 million at March 31, 2007.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540"/>
              <w:spacing w:after="0"/>
              <w:rPr>
                <w:sz w:val="20"/>
                <w:szCs w:val="20"/>
                <w:color w:val="auto"/>
              </w:rPr>
            </w:pPr>
            <w:r>
              <w:rPr>
                <w:rFonts w:ascii="Arial" w:cs="Arial" w:eastAsia="Arial" w:hAnsi="Arial"/>
                <w:sz w:val="14"/>
                <w:szCs w:val="14"/>
                <w:color w:val="auto"/>
                <w:w w:val="93"/>
              </w:rPr>
              <w:t>2007 Quarters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ind w:left="320"/>
              <w:spacing w:after="0"/>
              <w:rPr>
                <w:sz w:val="20"/>
                <w:szCs w:val="20"/>
                <w:color w:val="auto"/>
              </w:rPr>
            </w:pPr>
            <w:r>
              <w:rPr>
                <w:rFonts w:ascii="Arial" w:cs="Arial" w:eastAsia="Arial" w:hAnsi="Arial"/>
                <w:sz w:val="14"/>
                <w:szCs w:val="14"/>
                <w:color w:val="auto"/>
              </w:rPr>
              <w:t>2006 Quarters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Second</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First</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Fourth</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Third</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282,133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259,015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209,272</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162,933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Renegotiated loans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13,706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14,210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14,956</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16,579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295,839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273,225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224,228</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179,512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15,095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12,141</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13,920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313,676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288,320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236,369</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193,432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169,830</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134,906</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118,094</w:t>
            </w:r>
          </w:p>
        </w:tc>
        <w:tc>
          <w:tcPr>
            <w:tcW w:w="7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112,090</w:t>
            </w:r>
          </w:p>
        </w:tc>
        <w:tc>
          <w:tcPr>
            <w:tcW w:w="7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16,717</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18,007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17,586</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13,655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69,563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70,626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76,622</w:t>
            </w: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76,050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Nonperforming loans to total loans and leases, net of</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.52%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 and other assets owned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leases, net of 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4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Predominantly residential mortgage loans.</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considering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2007 in light of (i) the sluggish pace of economic growth in many of the markets served by the Company; (ii) continued weakness in industrial employment in upstate New York and central Pennsylvania; and</w:t>
      </w:r>
    </w:p>
    <w:p>
      <w:pPr>
        <w:ind w:firstLine="8"/>
        <w:spacing w:after="0" w:line="270"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significant subjectivity involved in commercial real estate valuations for properties located in areas with stagnant or low growth economies. Although the national economy experienced moderate growth in 2006 and 2007 with inflation being reasonably well contained, concerns exist about the level and volatility of energy prices; a weakening housing market, particularly concerns about possible over-valued real estate; Federal Reserve positioning of monetary policy; the underlying impact on businesses’ operations and abilities to repay loans resulting from a higher level of interest rates; sluggish job creation, which could cause consumer spending to slow; continued stagnant population growth in the upstate New York and central Pennsylvania regions; continued slowing of domestic automobile sales; and modest loan demand in many market areas served by the Company.</w:t>
      </w:r>
    </w:p>
    <w:p>
      <w:pPr>
        <w:spacing w:after="0" w:line="7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such as those described above, but also real estate valuations, in particular, given the size of the commercial real estate loan portfolio.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w:t>
      </w:r>
    </w:p>
    <w:p>
      <w:pPr>
        <w:spacing w:after="0" w:line="8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Management believes that the allowance for credit losses at June 30, 2007 was adequate to absorb credit losses inherent in the portfolio as of that date. The allowance for credit losses was $668 million, or 1.53% of total loans and leases at June 30, 2007, compared with $646 million or 1.55% a year earlier,</w:t>
      </w:r>
    </w:p>
    <w:p>
      <w:pPr>
        <w:spacing w:after="0" w:line="268" w:lineRule="auto"/>
        <w:rPr>
          <w:sz w:val="20"/>
          <w:szCs w:val="20"/>
          <w:color w:val="auto"/>
        </w:rPr>
      </w:pPr>
      <w:r>
        <w:rPr>
          <w:rFonts w:ascii="Arial" w:cs="Arial" w:eastAsia="Arial" w:hAnsi="Arial"/>
          <w:sz w:val="17"/>
          <w:szCs w:val="17"/>
          <w:color w:val="auto"/>
        </w:rPr>
        <w:t>$650 million or 1.51% at December 31, 2006 and $660 million or 1.52% at March 31, 2007. The decline in the level of the allowance as a percentage of outstanding loans and leases from June 30, 2006 to the recent quarter-end reflects management’s evaluation of the loan and lease portfolio as described herein, including increased holdings of residential real estate loans in the loan portfolio. In general, the Company experiences lower charge-off rates on residential real estate loans than on most other loan types.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nonperforming loans was 226% at June 30, 2007 compared with 414% a year earlier, 290% at December 31, 2006 and 241% at March 31, 2007. The level of the allowance reflects management’s evaluation of the loan and lease portfolio as of each respective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totaled $283 million in the second quarter of 2007, up 8% from $263 million in the corresponding quarter of 2006 and 20% higher than</w:t>
      </w:r>
    </w:p>
    <w:p>
      <w:pPr>
        <w:spacing w:after="0" w:line="35"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$236 million in the first quarter of 2007. The increase in the recent quarter as compared with the second quarter of 2006 was due largely to higher deposit account service charges, revenues from providing brokerage, trust and corporate advisory services, and $8 million related to M&amp;T’s pro-rata portion of the operating results of BLG. Partially offsetting those increases was a decline in mortgage banking revenues. The rise in other income from the first quarter of 2007 to the recently completed quarter was predominantly the result of higher mortgage banking revenues, deposit account service charges, revenues from providing corporate advisory services and income from M&amp;T’s investment in BLG.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Mortgage banking revenues were $36 million in the recent quarter, down 14% from $42 million in the similar quarter of 2006, but significantly above $14 million in the initial quarter of 2007. Mortgage banking revenues are comprised of both residential and commercial mortgage banking activities.</w:t>
      </w:r>
    </w:p>
    <w:p>
      <w:pPr>
        <w:spacing w:after="0" w:line="16"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totaled $28 million in the recent quarter, compared with $35 million in the year-earlier period and $7 million in the first quarter of 2007. The decline in residential mortgage banking revenues in the second quarter of 2007 as compared with the similar 2006 quarter was largely due to lower realized gains from sales of residential mortgage loans and loan servicing rights. Changes in market conditions have resulted in slimmer margins being realized by the Company on the sale of residential mortgage loans. In addition, both origination and sold volumes decreased in the recent quarter as compared with the year-earlier quarter. The significant increase in residential mortgage banking revenues from the first quarter of 2007 to the second quarter was due to an $18 million reduction of such revenues in 2007’s initial quarter as a result of unfavorable market conditions related to the Company’s Alt-A residential mortgage lending business. Those unfavorable market conditions and a lack of market liquidity impacted the Company’s willingness to sell Alt-A mortgage loans during the first quarter of 2007. As a result, the Company reclassified $883 million of Alt-A loans previously held for sale (including $808 million of first mortgage loans and $75 million of second mortgage loans) to its held-for-investment portfolio during 2007’s first quarter. In accordance with GAAP, loans held for sale must be recorded at the lower of cost or market value. Accordingly, prior to reclassifying the $883 million of Alt-A mortgage loans to held for investment, the carrying value of such loans was reduced by $12 million to reflect estimated market value. The loans were reclassified to the held-for-investment portfolio because the Company’s management believed that the economic value of those Alt-A mortgage loans was greater than the market value implied by the few bidders for such loans during the first quarter of 2007. 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w:t>
      </w:r>
    </w:p>
    <w:p>
      <w:pPr>
        <w:spacing w:after="0" w:line="65"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Residential mortgage loans originated for sale to other investors were approximately $1.4 billion during each of the first two quarters of 2007, compared with $1.9 billion in the second 2006 quarter. Included in such amounts during the first quarter of 2007 were $326 million of Alt-A mortgage loans that were transferred to the Company’s held-for-investment portfolio in March 2007. Residential mortgage loans sold to investors totaled $1.3 billion in the second quarter of 2007, compared with $1.5 billion and $1.4 billion in the second quarter of 2006 and first quarter of 2007, respectively. Realized gains from sales of residential mortgage loans and loan servicing rights and recognized net unrealized gains and losses attributable to residential mortgage loans held for sale, commitments to originate loans for sale and commitments to sell loans aggregated $8 million in the recent quarter, compared with gains of $16 million in the second quarter of 2006 and losses of $13 million in the first quarter of 2007 (including the $18 million of losses described above).</w:t>
      </w:r>
    </w:p>
    <w:p>
      <w:pPr>
        <w:spacing w:after="0" w:line="59"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Revenues from servicing residential mortgage loans for others were $18 million in the two most recent quarters, compared with $16 million in the second quarter of 2006. Included in such servicing revenues were amounts related to purchased servicing rights associated with small balance commercial mortgage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loans which totaled $5 million in the first two quarters of 2007 and $4 million in the second quarter of 2006. Residential mortgage loans serviced for others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totaled $17.1 billion at June 30, 2007, compared with $16.1 billion at June 30, 2006 and $16.7 billion at December 31, 2006, including the small balance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commercial real estate loans noted above of approximately $3.4 billion and $2.9 billion at June 30, 2007 and 2006, respectively, and $3.3 billion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2006. Capitalized residential mortgage servicing assets, net of a valuation allowance for impairment, were $161 million at June 30, 2007,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with $156 million a year earlier and $153 million at December 31, 2006. Included in capitalized residential mortgage servicing assets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 million at June 30, 2007, $29 million at June 30, 2006 and $36 million at December 31, 2006 of purchased servicing rights associated with the small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commercial mortgage loans noted above.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Loans held for sale that were secured by residential real estate totaled approximately $1.0 billion at June 30, 2007, $1.7 billion at June 30, 2006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 billion at December 31, 2006. Commitments to sell loans and commitments to originate loans for sale at pre-determined rates were $1.0 billion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$549 million, respectively, at June 30, 2007, $1.7 billion and $648 million, respectively, at June 30, 2006, and $1.8 billion and $680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Net unrealized losses on residential mortgage loans held for sale, commitments to sell loans, and commitments to originate loans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approximately $3 million at June 30, 2007 and $194 thousand at June 30, 2006, compared with net unrealized gains of $4 million at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such net unrealized gains and losses are recorded in mortgage banking revenues and resulted in net decreases in revenues of $2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 quarter and $3 million in each of the second quarter of 2006 and the first quarter of 2007. The $3 million unrealized loss for the first quarter of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any portion of the $18 million of losses related to Alt-A mortgage loans described above.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mortgage banking revenues were $7 million in each of the second quarters of 2007 and 2006 and in the first quarter of 2007. Included in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were revenues from commercial mortgage loan origination and sales activities of $4 million in each of the second quarters of 2007 and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million in the initial 2007 quarter. Commercial mortgage loan servicing revenues were $3 million in each of the second quarters of 2007 and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million in the first quarter of 2007. Capitalized commercial mortgage servicing assets totaled $21 million at each of June 30, 2007 and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 million at June 30, 2006. Commercial mortgage loans held for sale at June 30, 2007 and 2006 were $30 million and $51 million,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$49 million at December 31, 2006.</w:t>
      </w:r>
    </w:p>
    <w:p>
      <w:pPr>
        <w:spacing w:after="0" w:line="103"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Service charges on deposit accounts rose 9% to $105 million in the second quarter of 2007 from $96 million in the similar 2006 quarter and were 11% higher than $95 million in the first quarter of 2007. The increase from the immediately preceding quarter related to consumer deposit service charges and was due, in part, to lower seasonal volume levels typically experienced in the first quarter of each year. The rise from the year-earlier quarter also resulted from increased consumer service charges, largely from higher overdraft fees and debit card transaction volumes. Trust income totaled $38 million in the recent quarter, up 8% from $35 million in last year’s second quarter and 2% above $37 million in the initial quarter of 2007. Brokerage services income, which includes revenues from the sale of mutual funds and annuities and securities brokerage fees, totaled $17 million in the second quarter of 2007, up from</w:t>
      </w:r>
    </w:p>
    <w:p>
      <w:pPr>
        <w:spacing w:after="0" w:line="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$14 million and $15 million in the second quarter of 2006 and the first quarter of 2007, respectively. Trading account and foreign exchange activity resulted in gains of $7 million during the second quarter of 2007 and $6 million in each of the second 2006 quarter and the initial 2007 quarter. As already discussed, M&amp;T’s pro-rata share of the operating income or loss of BLG in the recent quarter was income of $8 million, compared with a loss of $2 million in the first quarter of 2007.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Other revenues from operations were $73 million in the recent quarter, up from $70 million in the second quarter of 2006 and $71 million in the first quarter of 2007. The increase in such revenues in the recent quarter as compared with the second quarter of 2006 reflects higher corporate advisory and credit-related fee income, partially offset by a decline in income from bank owned life insurance. The rise in other revenues from operations from the initial 2007 quarter to the recent quarter was largely due to increased corporate advisory fees. Included in other revenues from operations were the following significant components. Letter of credit and other credit-related fees totaled $22 million and $20 million in the second quarter of 2007 and 2006, respectively, and $21 million in the first quarter of 2007. Tax-exempt income from bank owned life insurance, which includes increases in the cash surrender value of life insurance policies and benefits received, aggregated $11 million in the two most recent quarters, compared with $14 million in the second quarter of 2006. Revenues from merchant discount and credit card fees were $9 million in the recent quarter, up from $8 million in each of the quarters ended June 30, 2006 and March 31, 2007. Insurance-related sales commissions and other revenues aggregated $8 million in each of the second quarters of 2007 and 2006 and in 2007’s first quarter.</w:t>
      </w:r>
    </w:p>
    <w:p>
      <w:pPr>
        <w:spacing w:after="0" w:line="7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income increased 1% to $520 million in the first half of 2007 from $516 million in the similar period in 2006. Increased service charges on deposit accounts, income from M&amp;T’s investment in BLG and higher revenues from providing trust, corporate advisory and brokerage services were largely offset by lower mortgage banking revenues.</w:t>
      </w:r>
    </w:p>
    <w:p>
      <w:pPr>
        <w:spacing w:after="0" w:line="73"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Mortgage banking revenues were $49 million for the six-month period ended June 30, 2007, 35% below $76 million in the year-earlier period. Residential mortgage banking revenues declined to $35 million in the first half of 2007 from $63 million in the similar period of 2006. Residential mortgage loans originated for sale to other investors during the first half of 2007 were $2.9 billion, compared with $3.3 billion in 2006’s first six months. Realized gains from sales of residential mortgage loans and loan servicing rights and recognized unrealized gains and losses on residential mortgage loans held for sale, commitments to originate loans for sale and commitments to sell loans totaled to a loss of $5 million during the six-month period ended June 30, 2007, compared with income of $28 million during the first six months of 2006. Included in the 2007 loss was the $18 million of previously described losses related to Alt-A residential mortgage loans that were recognized during the first quarter of 2007. Revenues from servicing residential mortgage loans for others were $35 million and $32 million for the first half of 2007 and 2006, respectively. Included in such amounts were revenues related to purchased servicing rights associated with the previously noted small balance commercial mortgage loans of $9 million and $7 million for the first six months of 2007 and 2006, respectively. Commercial mortgage banking revenues totaled $14 million during the first half of 2007 and $13 million in the similar 2006 period.</w:t>
      </w:r>
    </w:p>
    <w:p>
      <w:pPr>
        <w:spacing w:after="0" w:line="6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Service charges on deposit accounts rose 8% to $199 million during the first half of 2007 from $184 million in the similar 2006 period, largely due to consumer service charges related to overdrafts and debit card usage. Trust income increased 9% to $75 million from $69 million a year earlier. Brokerage services income also increased 9% to $32 million during the first six months of 2007 from $29 million in the corresponding 2006 period. Trading account and foreign exchange activity resulted in gains of $13 million for each of the six-month periods ended June 30, 2007 and 2006. M&amp;T’s February 2007 investment in BLG resulted in income of $6 million for the six months ended June 30, 2007. Other revenues from operations were $144 million in each of the first six months of 2007 and 2006. Included in other revenues from operations during the six-month periods ended June 30, 2007 and 2006 were letter of credit and other credit-related fees of $43 million and $39 million, respectively, and income from bank owned life insurance totaling $22 million and $27 million,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respectively. Merchant discount and credit card fees were $17 million and $15 million, respectively, and insurance-related sales commissions and other revenues totaled $16 million and $15 million, respectively, during the six-month periods ended June 30, 2007 and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expense totaled $393 million in the recent quarter, up 4% from $377 million in the second quarter of 2006, but 2% below $399 million in the first 2007 quarter. Included in those amounts are expenses considered to be “nonoperating” in nature consisting of amortization of core deposit and other intangible assets of $16 million in the recent quarter, $11 million in the second quarter of 2006 and $18 million in the first quarter of 2007, and the previously noted banking office acquisition-related expenses that totaled $4 million in the second quarter of 2006. There were no similar expenses in 2007 or in the initial 2006 quarter. The increased amortization in the two most recent quarters as compared with the second quarter of 2006 reflects the June 30, 2006 banking office acquisition. Exclusive of these nonoperating expenses, noninterest operating expenses aggregated $376 million in the recent quarter, compared with</w:t>
      </w:r>
    </w:p>
    <w:p>
      <w:pPr>
        <w:spacing w:after="0" w:line="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$362 million in the year-earlier quarter and $381 million in the first quarter of 2007. The most significant factors contributing to the higher expense level in 2007’s second quarter as compared with the year-earlier quarter were an increase in costs for salaries and a lower reversal of a portion of the valuation allowance for the impairment of capitalized residential mortgage servicing rights. As compared with the first quarter of 2007, the decline in noninterest operating expenses was largely the result of lower salaries and employee benefits expense and a higher reversal of a portion of the valuation allowance for the impairment of capitalized residential mortgage servicing rights, partially offset by higher costs for professional services and advertising.</w:t>
      </w:r>
    </w:p>
    <w:p>
      <w:pPr>
        <w:spacing w:after="0" w:line="5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Other expense for the first two quarters of 2007 totaled $792 million, up 4% from $759 million in the corresponding period of 2006. Included in those amounts are expenses considered to be “nonoperating” in nature consisting of amortization of core deposit and other intangible assets of $35 million in the first six months of 2007 and $24 million in the similar 2006 period, and the branch acquisition-related expenses of $4 million in the first six months of 2006. Exclusive of these nonoperating expenses, noninterest operating expenses for the six-month period ended June 30, 2007 increased 4% to $757 million from $731 million in the corresponding 2006 period. The most significant contributor to the higher expense levels in 2007 as compared with 2006 were higher expenses for salaries and employee benefits, including incentive compensation. Table 2 provides a reconciliation of other expense to noninterest operating expense.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$225 million in the recent quarter, compared with $217 million in the second quarter of 2006 and</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$237 million in the initial quarter of 2007. The higher expense level in the recent quarter as compared with the year-earlier quarter was largely due to salaries-related costs, including the impact of merit pay increases and incentive compensation awarded to employees. The decline in salaries and benefits expense in the second quarter of 2007 as compared with the immediately preceding quarter was largely due to lower stock-based incentive compensation, payroll-related taxes and Company contributions for retirement savings plan benefits related to incentive compensation payments made in 2007’s first quarter, partially offset by higher salaries expenses, reflecting the impact of annual merit adjustments. For the first six months of 2007, salaries and employee benefits expense rose 5% to $461 million from $441 million in the similar 2006 period. The largest factor leading to the increase was higher salaries-related costs, including the impact of merit increases and higher incentive compensation costs. Stock-based compensation expense totaled $11 million in each of the second quarters of 2007 and 2006,</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$19 million in the quarter ended March 31, 2007, and $30 million and $29 million in the six-month periods ended June 30, 2007 and 2006, respectively. The higher level of stock-based compensation in the first quarter of 2007 was the result of the Company accounting for such compensation in accordance with Statement of Financial Accounting Standards (“SFAS”) No. 123 (revised 2004), “Share-Based Payment,” (“SFAS No. 123R”). As required, the Company accelerated the recognition of compensation costs for stock-based awards granted to retirement-eligible employees and employees who will become retirement-eligible prior to full vesting of the award. As a result, stock-based compensation expense during the first quarter of 2007 included $8 million that would otherwise have been recognized over the normal four year vesting period if not for the accelerated expense recognition provisions of SFAS No. 123R. That acceleration had no effect on the value of stock-based compensation awarded to employees. The number of full-time equivalent employees was 12,701 at June 30, 2007, 12,932 at June 30, 2006, 12,721 at December 31, 2006 and 12,628 at March 31, 2007.</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Excluding the nonoperating expense items previously noted, nonpersonnel expense totaled $151 million in the most recent quarter,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$145 million in the second quarter of 2006 and $144 million in 2007’s initial quarter. On the same basis, such expenses were $295 million during the first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2007 and $290 million during the first half of 2006. The increase in nonpersonnel operating expenses in 2007’s second quarter from the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2006 was due, in part, to a lower reversal of a portion of the valuation allowance for the impairment of capitalized residential mortgage servicing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Such reversals were $5 million in the recent quarter, $8 million in the year-earlier quarter and $1 million in the first quarter of 2007. The rise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from the initial quarter of 2007 was largely due to higher costs for professional services. Contributing to the rise in nonpersonnel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 the first half of 2007 as compared with 2006 was the reversal of a portion of the valuation allowance for the impairment of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servicing rights, which totaled $6 million in 2007 and $15 million in 2006, offset, in part, by lower professional services and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03"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50.2% during the recent quarter, compared with 50.7% during the year-earlier quarter and 55.1% in the first quarter of 2007. The efficiency ratios for the six-month periods ended June 30, 2007 and 2006 were 52.5% and 51.5%, respectively. Noninterest operating expenses used in calculating the efficiency ratio do not include the acquisition-related costs and amortization of core deposit and other intangible assets noted earlier. If charges for amortization of core deposit and other intangible assets were included, the ratios for the three-month periods ended June 30, 2007, June 30, 2006 and March 31, 2007 would have been 52.4%, 52.3% and 57.8%, respectively, and for the six-month periods ended June 30, 2007 and 2006 would have been 55.0% and 53.2%,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for the second quarter of 2007 was $108 million, compared with $103 million and $85 million in the second quarter of 2006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first quarter of 2007, respectively. The effective tax rates were 33.6%, 32.6% and 32.5% for the quarters ended June 30, 2007, June 30,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2007, respectively. For the first six months of 2007 and 2006, the provision for income taxes was $193 million and $200 million,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were 33.1% and 32.5%, respectively. The effective tax rate is affected by the level of income earned that is exempt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tax and by the level of income allocated to the various state and local jurisdictions where the Company operates, because tax rates differ among such jurisdictions.</w:t>
      </w:r>
    </w:p>
    <w:p>
      <w:pPr>
        <w:spacing w:after="0" w:line="62"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The Company adopted FASB Interpretation (“FIN”) No. 48, “Accounting for Uncertainty in Income Taxes,” on January 1, 2007. That adoption did not have a material effect on the Company’s financial position or on its results of operations during the first two quarters of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Stockholders’ equity was $6.2 billion at June 30, 2007, representing 10.67% of total assets, compared with $6.0 billion or 10.62% of total assets a year earlier and $6.3 billion or 11.01% at December 31, 2006. On a per share basis, stockholders’ equity was $57.59 at June 30, 2007, up from $54.01 and $56.94 at June 30 and December 31, 2006, respectively. Tangible equity per share, which excludes goodwill and core deposit and other intangible assets and applicable deferred tax balances, was $28.66 at the end of the second quarter of 2007, compared with $25.55 a year earlier and $28.57 at December 31, 2006. A reconciliation of total stockholders’ equity and tangible equity as of each of those respective dates is presented in table 2.</w:t>
      </w:r>
    </w:p>
    <w:p>
      <w:pPr>
        <w:spacing w:after="0" w:line="64"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Company adopted SFAS No. 158, “Employers’ Accounting for Defined Benefit Pension and Other Postretirement Plans,” effective December 31, 2006. Prior to the adoption of SFAS No. 158, the Company was required to recognize additional minimum pension liability amounts pursuant to the provisions of SFAS No. 87, “Employers’ Accounting for Pensions.” Net unrealized losses on available for sale investment securities were $40 million, or $.37 per common share, at June 30, 2007, compared with unrealized losses of $98 million, or $.89 per share, at June 30, 2006 and $25 million, or $.23 per share, at December 31, 2006. Such unrealized losses are generally due to changes in interest rates and represent the difference, net of applicable income tax effect, between the estimated fair value and amortized cost of investment securities classified as available for sale. Adjustments to reflect the funded status of defined benefit pension and other postretirement plans as required under SFAS No. 158, net of applicable tax effect, reduced accumulated other comprehensive income by $29 million and $28 million at June 30, 2007 and December 31, 2006, respectively, or by $.27 and $.26 per share at those respective dates. Similar adjustments to recognize minimum pension liabilities as then required by SFAS No. 87, net of applicable tax effect, reduced stockholders’ equity by $49 million at June 30, 2006, or by $.44 per share. Also reflected in accumulated other comprehensive income is a gain of $1 million, representing the unamortized gain on the termination of an interest rate swap agreement designated as a cash flow hedge that was entered into in anticipation of the Company issuing senior notes payable in the recent quarter.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February 2007, M&amp;T announced that it had been authorized by its Board of Directors to purchase up to 5,000,000 shares of its common stock. During the quarter ended June 30, 2007, 1,978,000 shares of common stock were repurchased by M&amp;T pursuant to such plan at an average cost of $109.77 per share. During the first half of 2007, M&amp;T had repurchased 3,714,800 shares of common stock (including 1,696,300 shares that were repurchased under a previous authorization that was completed in March 2007) at an average cost of $114.41 per share.</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At June 30, 2007, core capital included $689 million of trust preferred securities described in note 4 of Notes to Financial Statements, and total capital further included $1.4 billion of subordinated capital notes.</w:t>
      </w:r>
    </w:p>
    <w:p>
      <w:pPr>
        <w:spacing w:after="0" w:line="79"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Company generates significant amounts of regulatory capital from its ongoing operations. The rate of regulatory core capital generation, or net operating income (as previously defined) less the sum of dividends paid and the after-tax effect of merger-related expenses expressed as an annualized percentage of regulatory “core capital” at the beginning of each period was 16.78% during the second quarter of 2007, compared with 17.00% in the year-earlier quarter and 12.80% in the first quarter of 2007.</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June 30, 2007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7.42%</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6.83%</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52.93%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11.35%</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10.83%</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54.18%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6.96%</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6.44%</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23.72%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73" w:lineRule="exact"/>
        <w:rPr>
          <w:sz w:val="20"/>
          <w:szCs w:val="20"/>
          <w:color w:val="auto"/>
        </w:rPr>
      </w:pPr>
    </w:p>
    <w:p>
      <w:pPr>
        <w:ind w:right="200" w:firstLine="222"/>
        <w:spacing w:after="0" w:line="272" w:lineRule="auto"/>
        <w:rPr>
          <w:sz w:val="20"/>
          <w:szCs w:val="20"/>
          <w:color w:val="auto"/>
        </w:rPr>
      </w:pPr>
      <w:r>
        <w:rPr>
          <w:rFonts w:ascii="Arial" w:cs="Arial" w:eastAsia="Arial" w:hAnsi="Arial"/>
          <w:sz w:val="17"/>
          <w:szCs w:val="17"/>
          <w:color w:val="auto"/>
        </w:rPr>
        <w:t>The Commercial Banking segment recorded net income of $58 million in the second quarter of 2007, little changed from the second quarter of 2006 and the first quarter of 2007. As compared with the year earlier quarter, higher noninterest income of $9 million, largely due to a $4 million increase in fees received for providing corporate advisory services and higher letter of credit and other credit-related fees of $2 million, was partially offset by a $6 million rise in the provision for credit losses and a $2 million increase in noninterest expense, mainly due to higher costs for salaries and benefits. In comparing the recent quarter with the first quarter of 2007, a $4 million increase in fees received from providing corporate advisory services was offset, in part, by higher expenses for professional services and other costs of operations. For the six months ended June 30, 2007, this segment’s net income totaled $115 million, compared with $114 million in the corresponding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period of 2006. That slight improvement was partially due to higher net interest income of $11 million, resulting mainly from a $940 million increase in average loan balances outstanding. Also contributing favorably was a $4 million increase in each of letter of credit and other credit-related fees and fees received from providing corporate advisory services. Partially offsetting the higher revenues was a $9 million increase in the provision for credit losses and a $7 million rise in operating expenses, primarily due to higher personnel costs.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Commercial Real Estate segment’s net income for the second quarter of 2007 was $35 million, up from $32 million in both the year-earlier quarter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first quarter of 2007. The increase from the second quarter of 2006 was due to higher net interest income of $6 million, primarily the result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$427 million increase in loan balances outstanding and a 12 basis point rise in the loan net interest margin. The improvement as compared to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2007 was the result of higher net interest income of $6 million, primarily the result of a 20 basis point increase in the loan net interest margin.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six months of 2007, net income contributed by this segment aggregated $67 million, up slightly from $66 million in the similar 2006 period.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 in net income was mainly due to higher net interest income of $2 million and a $2 million increase in commercial mortgage banking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largely offset by an increase in the provision for credit losses and higher salaries and benefits costs.</w:t>
      </w:r>
    </w:p>
    <w:p>
      <w:pPr>
        <w:spacing w:after="0" w:line="103"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Net income earned by the Discretionary Portfolio segment totaled $21 million in the recent quarter, down from $24 million in the second quarter of 2006, but improved from $19 million in 2007’s first quarter. The unfavorable performance compared with last year’s second quarter was largely due to a decline in noninterest income, largely the result of lower revenues from bank-owned life insurance. In comparison to the first quarter of 2007, higher net interest income of $5 million, predominantly the result of an $826 million increase in average loan balances outstanding, was the main factor contributing to the favorable performance. The higher average loan balances reflect a full quarter’s impact from the Alt-A mortgage loans transferred to this segment’s held-for-investment loan portfolio during the first quarter of 2007. Net contribution for this segment decreased to $40 million for the first six months of 2007 from $46 million in the year-earlier period. Factors contributing to the lower net income were decreased net interest income of $4 million, primarily the result of a narrowing of this segment’s net interest margin, lower revenues from bank owned life insurance, and a higher provision for credit losses of $2 million.</w:t>
      </w:r>
    </w:p>
    <w:p>
      <w:pPr>
        <w:spacing w:after="0" w:line="58"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Residential Mortgage Banking segment contributed net income of $10 million in the second quarter of 2007, down from $19 million in the year-earlier quarter, but improved from the $3 million net loss incurred in the first quarter of 2007. The decrease from last year’s second quarter was due to lower gains from residential mortgage loan origination and sales activities of $8 million and a $4 million decrease in net interest income. The lower net interest income resulted from a $585 million decline in average loan balances outstanding. The increase from 2007’s first quarter was due to the $18 million loss recognized on Alt-A mortgage loans due to unfavorable market conditions experienced in the first quarter of 2007. Also contributing to the favorable variance was a $5 million partial reversal of the capitalized mortgage servicing rights valuation allowance in the recent quarter, as compared with a $1 million partial reversal of such allowance in 2007’s first quarter. For the first six months of 2007, net income for this segment totaled $8 million, down from $34 million in the first half of 2006. The unfavorable variance was primarily due to the previously noted Alt-A mortgage loan losses of $18 million and lower gains from residential mortgage loan origination and sales activities of $18 million. Also contributing to the unfavorable performance was the reversal of a portion of the valuation allowance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impairment of capitalized mortgage servicing rights of $6 million in 2007 and $15 million in 2006.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income for the Retail Banking segment increased to $120 million in 2007’s second quarter from $102 million in the year-earlier quarter and</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$107 million in the first quarter of 2007. The favorable performance compared with the second quarter of 2006 was largely due to higher net interest income of $28 million, primarily the result of a 38 basis point increase in the deposit net interest margin, and a $9 million increase in deposit service charges. Partially offsetting the increase in revenues was an $8 million increase in the provision for credit losses. The increase in the recent quarter’s net income as compared with the first quarter of 2007 resulted from higher net interest income of $14 million, predominantly due to a 20 basis point widening of the deposit net interest margin, and a $9 million increase in service charges on deposit accounts. For the first six months of 2007, net income for this segment totaled</w:t>
      </w:r>
    </w:p>
    <w:p>
      <w:pPr>
        <w:spacing w:after="0" w:line="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$227 million, up 16% from $195 million in the corresponding 2006 period. The favorable performance was due to higher net interest income of $53 million, primarily the result of a 37 basis point widening of the net interest margin associated with deposit products, and a $16 million increase in deposit service charges, offset, in part, by a $10 million increase in the provision for credit losses and higher personnel costs of $5 million.</w:t>
      </w:r>
    </w:p>
    <w:p>
      <w:pPr>
        <w:spacing w:after="0" w:line="65"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resulting from acquisitions of financial institutions, M&amp;T’s equity in the earnings of BLG, merger-related expenses resulting from acquisitions and the net impact of the Company’s allocation methodologies for internal funds transfer pricing and the provision for credit losses. The various components of the “All Other” category resulted in net losses of $30 million in the second quarter of 2007, $22 million in the second quarter of 2006 and $37 million in the first quarter of 2007. For the first six months of 2007 and 2006, the “All Other” segment reported net losses of $66 million and $39 million, respectively. The higher net loss in the first half of 2007 resulted from the Company’s allocation methodologies for internal transfers for funding charges and credits associated with earning assets and interest-bearing liabilities of the Company’s reportable segments and increased amortization of core deposit and 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September 2006, the Financial Accounting Standards Board (“FASB”) issued SFAS No. 157, “Fair Value Measurements.”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 The disclosures focus on the inputs used to measure fair value and the effect of the measurements on earnings for the period. SFAS No. 157 is effective for financial statements issued for fiscal years beginning after November 15, 2007, and interim periods within those fiscal years, with early application permitted as of the beginning of a preceding fiscal year, provided that the reporting entity has not yet issued financial statements for that fiscal year. The provisions generally should be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applied prospectively as of the beginning of the fiscal year in which SFAS No. 157 is applied, with certain provisions required to be applied retrospectively. Many of the Company’s assets, liabilities and off-balance sheet positions are required to either be accounted for or disclosed using fair value as their relevant measurement attribute. The Company has not early adopted SFAS No. 157 but, rather, will adopt its provisions as required effective January 1, 2008.</w:t>
      </w:r>
    </w:p>
    <w:p>
      <w:pPr>
        <w:spacing w:after="0" w:line="39"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which permits entities to choose to measure eligible financial instruments and other items at fair value. The objective of SFAS No. 159 is to improve financial reporting by providing entities with the opportunity to mitigate volatility in reported earnings caused by measuring related assets and liabilities differently without having to apply complex hedge accounting provisions. After adopting SFAS No. 159, an entity shall report unrealized gains and losses on items for which the fair value option has been elected in earnings at each subsequent reporting date. The fair value option may generally be applied on an instrument by instrument basis and is an irrevocable election. SFAS No. 159 is effective as of the beginning of an entity’s first fiscal year that begins after November 15, 2007. Early adoption is permitted as of the beginning of a fiscal year that begins on or before November 15, 2007, provided the entity also elects to apply the provisions of SFAS No. 157. SFAS No. 159 generally permits prospective application to eligible items existing at the effective date. The Company has not early adopted SFAS No. 159 and is still evaluating to what extent it may make any fair value elections effective January 1, 2008.</w:t>
      </w:r>
    </w:p>
    <w:p>
      <w:pPr>
        <w:spacing w:after="0" w:line="59"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Emerging Issues Task Force (“EITF”) reached a final consensus on Issue 06-04, “Accounting for Deferred Compensation and Postretirement Benefit Aspects of Endorsement Split-Dollar Life Insurance Arrangements” and on Issue 06-10, “Accounting for Deferred Compensation and Postretirement Benefit Aspects of Collateral Assignment Split-Dollar Life Insurance Arrangements,” at its September 2006 and March 2007 meetings, respectively. The EITF consensus for each issue stipulates that an agreement by an employer to share a portion of the proceeds of a life insurance policy with an employee during the postretirement period is a postretirement benefit arrangement required to be accounted for under SFAS No. 106, “Employers’ Accounting for Postretirement Benefits Other Than Pensions,” or Accounting Principles Board Opinion (“APB”) No. 12, “Omnibus Opinion – 1967.” Each consensus concludes that the purchase of a split-dollar life insurance policy does not constitute a settlement under SFAS No. 106 and, therefore, a liability for the postretirement obligation must be recognized under SFAS No. 106 if the benefit is offered under an arrangement that constitutes a plan or under APB No. 12 if it is not part of a plan. Issue 06-04 and Issue 06-10 are effective for annual or interim reporting periods beginning after December 15, 2007. The provisions of both Issue 06-04 and Issue 06-10 should be applied through either a cumulative effect adjustment to retained earnings as of the beginning of the year of adoption or retrospective application. The Company has endorsement and collateral assignment split-dollar life insurance policies that it inherited through certain acquisitions that are associated with individuals who are no longer active employees. The Company does not anticipate that the adoption of the provisions of Issue 06-04 and Issue 06-10 on January 1, 2008 will have a material effect on the Company’s financial position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(“Future Factors”) which are difficult to predict. Therefore, actual outcomes and results may differ materially from what is expressed or forecasted in such forward-looking statements.</w:t>
      </w:r>
    </w:p>
    <w:p>
      <w:pPr>
        <w:spacing w:after="0" w:line="6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line="2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89"/>
              </w:rPr>
              <w:t>Table 1</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color w:val="auto"/>
              </w:rPr>
              <w:t>2007 Quarters</w:t>
            </w:r>
          </w:p>
        </w:tc>
        <w:tc>
          <w:tcPr>
            <w:tcW w:w="14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color w:val="auto"/>
              </w:rPr>
              <w:t>2006 Quarters</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color w:val="auto"/>
              </w:rPr>
              <w:t>Second</w:t>
            </w:r>
          </w:p>
        </w:tc>
        <w:tc>
          <w:tcPr>
            <w:tcW w:w="140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rPr>
              <w:t>First</w:t>
            </w:r>
          </w:p>
        </w:tc>
        <w:tc>
          <w:tcPr>
            <w:tcW w:w="142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4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color w:val="auto"/>
              </w:rPr>
              <w:t>Third</w:t>
            </w:r>
          </w:p>
        </w:tc>
        <w:tc>
          <w:tcPr>
            <w:tcW w:w="1420" w:type="dxa"/>
            <w:vAlign w:val="bottom"/>
            <w:tcBorders>
              <w:bottom w:val="single" w:sz="8" w:color="auto"/>
            </w:tcBorders>
          </w:tcPr>
          <w:p>
            <w:pPr>
              <w:jc w:val="right"/>
              <w:ind w:right="470"/>
              <w:spacing w:after="0" w:line="142" w:lineRule="exact"/>
              <w:rPr>
                <w:sz w:val="20"/>
                <w:szCs w:val="20"/>
                <w:color w:val="auto"/>
              </w:rPr>
            </w:pPr>
            <w:r>
              <w:rPr>
                <w:rFonts w:ascii="Arial" w:cs="Arial" w:eastAsia="Arial" w:hAnsi="Arial"/>
                <w:sz w:val="14"/>
                <w:szCs w:val="14"/>
                <w:color w:val="auto"/>
              </w:rPr>
              <w:t>Second</w:t>
            </w:r>
          </w:p>
        </w:tc>
        <w:tc>
          <w:tcPr>
            <w:tcW w:w="120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i w:val="1"/>
                <w:iCs w:val="1"/>
                <w:color w:val="auto"/>
                <w:w w:val="96"/>
              </w:rPr>
              <w:t>Amounts in thousands, except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(taxable-equivalent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883,148</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866,172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876,197</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858,008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817,552</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782,003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89"/>
              </w:rPr>
              <w:t>416,264</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410,622</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404,356</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395,652</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366,298</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330,246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466,884</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455,550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471,841</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462,356</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451,254</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451,757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30,000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27,000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28,000</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17,000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17,000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283,117</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236,483</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256,417</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273,902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262,602</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252,931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89"/>
              </w:rPr>
              <w:t>392,651</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399,037</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383,810</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408,941</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376,997</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382,003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327,350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265,996</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316,448</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310,317</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319,859</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304,685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w w:val="89"/>
              </w:rPr>
              <w:t>108,209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84,900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97,996</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94,775</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102,645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97,037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4,972</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5,123</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5,123</w:t>
            </w:r>
          </w:p>
        </w:tc>
        <w:tc>
          <w:tcPr>
            <w:tcW w:w="14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5,172</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4,641</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89"/>
              </w:rPr>
              <w:t>214,169</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175,973</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213,329</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210,370</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212,573</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202,917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data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1.98</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1.60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1.93</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1.89</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1.91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1.95</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1.57</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1.88</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1.85</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.60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.60</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.60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w w:val="89"/>
              </w:rPr>
              <w:t>107,939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109,694</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110,705</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111,047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111,259</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111,693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89"/>
              </w:rPr>
              <w:t>109,919</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112,187</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113,468</w:t>
            </w:r>
          </w:p>
        </w:tc>
        <w:tc>
          <w:tcPr>
            <w:tcW w:w="14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113,897</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113,968</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114,347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Performance ratios, annualized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Return 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Average assets</w:t>
            </w:r>
          </w:p>
        </w:tc>
        <w:tc>
          <w:tcPr>
            <w:tcW w:w="34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1.49%</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1.49%</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1.54%</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common stockholders’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13.92%</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11.38%</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13.55%</w:t>
            </w:r>
          </w:p>
        </w:tc>
        <w:tc>
          <w:tcPr>
            <w:tcW w:w="14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13.72%</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14.35%</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9"/>
              </w:rPr>
              <w:t>Net interest margin on average earning</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(taxable-equivalent basis)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3.67%</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3.64%</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c>
          <w:tcPr>
            <w:tcW w:w="14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3.68%</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Nonperforming loans to total loans and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leases, net of unearned discount</w:t>
            </w:r>
          </w:p>
        </w:tc>
        <w:tc>
          <w:tcPr>
            <w:tcW w:w="34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.68%</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52.37%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57.75%</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52.79%</w:t>
            </w:r>
          </w:p>
        </w:tc>
        <w:tc>
          <w:tcPr>
            <w:tcW w:w="14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55.47%</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52.29%</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thousands)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224,190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187,162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224,733</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223,228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221,838</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210,856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2.04</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1.67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1.98</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1.96</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1.95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34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1.65%</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1.67%</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1.67%</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1.69%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29.35%</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24.11%</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28.71%</w:t>
            </w:r>
          </w:p>
        </w:tc>
        <w:tc>
          <w:tcPr>
            <w:tcW w:w="14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30.22%</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30.02%</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50.18%</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55.09%</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50.22%</w:t>
            </w: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52.76%</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50.70%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57,523</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57,207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56,575</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56,158</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55,498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55,106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54,415</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54,085</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53,437</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53,004</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52,522</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52,130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50,982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50,693</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50,235</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49,849</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49,443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49,066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6,886</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7,214</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7,556</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7,898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8,314</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8,383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discount</w:t>
            </w:r>
          </w:p>
        </w:tc>
        <w:tc>
          <w:tcPr>
            <w:tcW w:w="34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43,572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43,114</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42,474</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41,710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40,980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40,544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37,048</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37,966</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38,504</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39,158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38,435</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37,569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Stockholders’ equity (c)</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6,172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6,270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6,244</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6,085</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5,940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stockholders’ equity (c)</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3,064</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3,148</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3,106</w:t>
            </w:r>
          </w:p>
        </w:tc>
        <w:tc>
          <w:tcPr>
            <w:tcW w:w="14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2,931</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2,964</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At end of quarter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57,869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57,842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57,065</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56,373</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56,507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54,767</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54,727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53,936</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53,227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53,345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52,443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51,131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51,046</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50,379</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49,950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49,628</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49,281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6,982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7,028</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7,252</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7,626</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7,903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8,294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43,744</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43,507</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42,947</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42,098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41,599</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40,859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39,419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38,938</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39,911</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39,079</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38,514</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38,171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 (c)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6,175</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6,253</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6,281</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6,151</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6,000</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Tangible stockholders’ equity (c)</w:t>
            </w:r>
          </w:p>
        </w:tc>
        <w:tc>
          <w:tcPr>
            <w:tcW w:w="34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3,073</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3,138</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3,152</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3,005</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2,838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per common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57.59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57.32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56.94</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55.58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54.01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53.11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Tangible equity per common share</w:t>
            </w:r>
          </w:p>
        </w:tc>
        <w:tc>
          <w:tcPr>
            <w:tcW w:w="34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28.66</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28.77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28.57</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27.15</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25.55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Market price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62" w:orient="portrait"/>
          <w:cols w:equalWidth="0" w:num="1">
            <w:col w:w="11420"/>
          </w:cols>
          <w:pgMar w:left="240" w:top="419" w:right="2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080" w:type="dxa"/>
            <w:vAlign w:val="bottom"/>
          </w:tcPr>
          <w:p>
            <w:pPr>
              <w:ind w:left="220"/>
              <w:spacing w:after="0"/>
              <w:rPr>
                <w:sz w:val="20"/>
                <w:szCs w:val="20"/>
                <w:color w:val="auto"/>
              </w:rPr>
            </w:pPr>
            <w:r>
              <w:rPr>
                <w:rFonts w:ascii="Arial" w:cs="Arial" w:eastAsia="Arial" w:hAnsi="Arial"/>
                <w:sz w:val="18"/>
                <w:szCs w:val="18"/>
                <w:color w:val="auto"/>
              </w:rPr>
              <w:t>High</w:t>
            </w:r>
          </w:p>
        </w:tc>
        <w:tc>
          <w:tcPr>
            <w:tcW w:w="2440" w:type="dxa"/>
            <w:vAlign w:val="bottom"/>
          </w:tcPr>
          <w:p>
            <w:pPr>
              <w:jc w:val="right"/>
              <w:ind w:right="350"/>
              <w:spacing w:after="0"/>
              <w:rPr>
                <w:sz w:val="20"/>
                <w:szCs w:val="20"/>
                <w:color w:val="auto"/>
              </w:rPr>
            </w:pPr>
            <w:r>
              <w:rPr>
                <w:rFonts w:ascii="Arial" w:cs="Arial" w:eastAsia="Arial" w:hAnsi="Arial"/>
                <w:sz w:val="18"/>
                <w:szCs w:val="18"/>
                <w:color w:val="auto"/>
              </w:rPr>
              <w:t>$ 114.33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125.13</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124.98</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124.94</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119.93</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117.39</w:t>
            </w: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2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104.00</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112.05</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117.31</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116.00</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112.90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105.72</w:t>
            </w:r>
          </w:p>
        </w:tc>
      </w:tr>
      <w:tr>
        <w:trPr>
          <w:trHeight w:val="216"/>
        </w:trPr>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Closing</w:t>
            </w:r>
          </w:p>
        </w:tc>
        <w:tc>
          <w:tcPr>
            <w:tcW w:w="2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106.90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115.83</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122.16</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119.96</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117.92</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114.14</w:t>
            </w:r>
          </w:p>
        </w:tc>
      </w:tr>
    </w:tbl>
    <w:p>
      <w:pPr>
        <w:spacing w:after="0" w:line="36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76" w:lineRule="exact"/>
        <w:rPr>
          <w:rFonts w:ascii="Arial" w:cs="Arial" w:eastAsia="Arial" w:hAnsi="Arial"/>
          <w:sz w:val="18"/>
          <w:szCs w:val="18"/>
          <w:color w:val="auto"/>
        </w:rPr>
      </w:pPr>
    </w:p>
    <w:p>
      <w:pPr>
        <w:jc w:val="both"/>
        <w:ind w:left="460" w:right="1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60" w:right="48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89"/>
              </w:rPr>
              <w:t>Table 2</w:t>
            </w:r>
          </w:p>
        </w:tc>
      </w:tr>
      <w:tr>
        <w:trPr>
          <w:trHeight w:val="432"/>
        </w:trPr>
        <w:tc>
          <w:tcPr>
            <w:tcW w:w="5900" w:type="dxa"/>
            <w:vAlign w:val="bottom"/>
            <w:gridSpan w:val="5"/>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 Quarters</w:t>
            </w: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71"/>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770"/>
              <w:spacing w:after="0" w:line="142" w:lineRule="exact"/>
              <w:rPr>
                <w:sz w:val="20"/>
                <w:szCs w:val="20"/>
                <w:color w:val="auto"/>
              </w:rPr>
            </w:pPr>
            <w:r>
              <w:rPr>
                <w:rFonts w:ascii="Arial" w:cs="Arial" w:eastAsia="Arial" w:hAnsi="Arial"/>
                <w:sz w:val="14"/>
                <w:szCs w:val="14"/>
                <w:color w:val="auto"/>
              </w:rPr>
              <w:t>First</w:t>
            </w:r>
          </w:p>
        </w:tc>
        <w:tc>
          <w:tcPr>
            <w:tcW w:w="128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880" w:type="dxa"/>
            <w:vAlign w:val="bottom"/>
            <w:tcBorders>
              <w:bottom w:val="single" w:sz="8" w:color="auto"/>
            </w:tcBorders>
          </w:tcPr>
          <w:p>
            <w:pPr>
              <w:jc w:val="right"/>
              <w:ind w:right="931"/>
              <w:spacing w:after="0" w:line="142" w:lineRule="exact"/>
              <w:rPr>
                <w:sz w:val="20"/>
                <w:szCs w:val="20"/>
                <w:color w:val="auto"/>
              </w:rPr>
            </w:pPr>
            <w:r>
              <w:rPr>
                <w:rFonts w:ascii="Arial" w:cs="Arial" w:eastAsia="Arial" w:hAnsi="Arial"/>
                <w:sz w:val="14"/>
                <w:szCs w:val="14"/>
                <w:color w:val="auto"/>
              </w:rPr>
              <w:t>Third</w:t>
            </w:r>
          </w:p>
        </w:tc>
        <w:tc>
          <w:tcPr>
            <w:tcW w:w="110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214,169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175,973</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213,329</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210,370</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212,573</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202,917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10,021</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11,189</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11,404</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12,154</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6,921</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7,939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704</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2,344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224,190</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187,162</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224,733</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223,228</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221,838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210,856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common</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1.95</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1.57</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1.88</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1.85</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tcPr>
          <w:p>
            <w:pPr>
              <w:spacing w:after="0"/>
              <w:rPr>
                <w:sz w:val="20"/>
                <w:szCs w:val="20"/>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.09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Diluted net operating earnings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per share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2.04</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1.67</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1.98</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1.96</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392,651</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399,037</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383,810</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408,941</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376,997</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382,003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5"/>
              </w:rPr>
              <w:t>(16,457)</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5"/>
              </w:rPr>
              <w:t>(18,356)</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(18,687)</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(19,936)</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5"/>
              </w:rPr>
              <w:t>(11,357)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(13,028)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(1,155)</w:t>
            </w: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(3,842)</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376,194</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380,681</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365,123</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387,850</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361,798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368,975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305</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510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212</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141</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697</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3,106</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1,155</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3,842</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57,523</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57,207</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56,575</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56,158</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55,498</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(2,909)</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(2,909)</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(2,909)</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(223)</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(241)</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(281)</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28</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32</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54,415</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54,085</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53,437</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53,004</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52,522</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52,130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6,172</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6,270</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6,244</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6,085</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5,940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(2,909)</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(2,909)</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(2,909)</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(223)</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(241)</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(281)</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28</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32</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3,064</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3,148</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3,106</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2,931</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2,964</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57,869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57,842</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57,065</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56,373</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56,507</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55,420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(2,909)</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(2,909)</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(2,909)</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(232)</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(250)</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(271)</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(291)</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54,767</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54,727</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53,936</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53,227</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53,345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52,443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6,175</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6,253</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6,281</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6,151</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6,000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5,919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(2,909)</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(2,909)</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(2,909)</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(232)</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(250)</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(271)</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(291)</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3,073</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3,138</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3,152</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3,005</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2,838</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6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 any related tax effect.</w:t>
      </w:r>
    </w:p>
    <w:p>
      <w:pPr>
        <w:sectPr>
          <w:pgSz w:w="11900" w:h="16838" w:orient="portrait"/>
          <w:cols w:equalWidth="0" w:num="1">
            <w:col w:w="11420"/>
          </w:cols>
          <w:pgMar w:left="240" w:top="419" w:right="239" w:bottom="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50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1"/>
                <w:szCs w:val="11"/>
                <w:color w:val="auto"/>
              </w:rPr>
              <w:t>Average</w:t>
            </w:r>
          </w:p>
        </w:tc>
        <w:tc>
          <w:tcPr>
            <w:tcW w:w="1260" w:type="dxa"/>
            <w:vAlign w:val="bottom"/>
          </w:tcPr>
          <w:p>
            <w:pPr>
              <w:jc w:val="right"/>
              <w:ind w:right="113"/>
              <w:spacing w:after="0"/>
              <w:rPr>
                <w:sz w:val="20"/>
                <w:szCs w:val="20"/>
                <w:color w:val="auto"/>
              </w:rPr>
            </w:pPr>
            <w:r>
              <w:rPr>
                <w:rFonts w:ascii="Arial" w:cs="Arial" w:eastAsia="Arial" w:hAnsi="Arial"/>
                <w:sz w:val="11"/>
                <w:szCs w:val="11"/>
                <w:color w:val="auto"/>
                <w:w w:val="98"/>
              </w:rPr>
              <w:t>2007 Second Quarter</w:t>
            </w:r>
          </w:p>
        </w:tc>
        <w:tc>
          <w:tcPr>
            <w:tcW w:w="880" w:type="dxa"/>
            <w:vAlign w:val="bottom"/>
            <w:vMerge w:val="restart"/>
          </w:tcPr>
          <w:p>
            <w:pPr>
              <w:jc w:val="right"/>
              <w:ind w:right="193"/>
              <w:spacing w:after="0"/>
              <w:rPr>
                <w:sz w:val="20"/>
                <w:szCs w:val="20"/>
                <w:color w:val="auto"/>
              </w:rPr>
            </w:pPr>
            <w:r>
              <w:rPr>
                <w:rFonts w:ascii="Arial" w:cs="Arial" w:eastAsia="Arial" w:hAnsi="Arial"/>
                <w:sz w:val="11"/>
                <w:szCs w:val="11"/>
                <w:color w:val="auto"/>
              </w:rPr>
              <w:t>Average</w:t>
            </w:r>
          </w:p>
        </w:tc>
        <w:tc>
          <w:tcPr>
            <w:tcW w:w="960" w:type="dxa"/>
            <w:vAlign w:val="bottom"/>
            <w:vMerge w:val="restart"/>
          </w:tcPr>
          <w:p>
            <w:pPr>
              <w:jc w:val="right"/>
              <w:ind w:right="192"/>
              <w:spacing w:after="0"/>
              <w:rPr>
                <w:sz w:val="20"/>
                <w:szCs w:val="20"/>
                <w:color w:val="auto"/>
              </w:rPr>
            </w:pPr>
            <w:r>
              <w:rPr>
                <w:rFonts w:ascii="Arial" w:cs="Arial" w:eastAsia="Arial" w:hAnsi="Arial"/>
                <w:sz w:val="11"/>
                <w:szCs w:val="11"/>
                <w:color w:val="auto"/>
              </w:rPr>
              <w:t>Average</w:t>
            </w:r>
          </w:p>
        </w:tc>
        <w:tc>
          <w:tcPr>
            <w:tcW w:w="1200" w:type="dxa"/>
            <w:vAlign w:val="bottom"/>
          </w:tcPr>
          <w:p>
            <w:pPr>
              <w:jc w:val="right"/>
              <w:ind w:right="153"/>
              <w:spacing w:after="0"/>
              <w:rPr>
                <w:sz w:val="20"/>
                <w:szCs w:val="20"/>
                <w:color w:val="auto"/>
              </w:rPr>
            </w:pPr>
            <w:r>
              <w:rPr>
                <w:rFonts w:ascii="Arial" w:cs="Arial" w:eastAsia="Arial" w:hAnsi="Arial"/>
                <w:sz w:val="11"/>
                <w:szCs w:val="11"/>
                <w:color w:val="auto"/>
              </w:rPr>
              <w:t>2007 First Quarter</w:t>
            </w:r>
          </w:p>
        </w:tc>
        <w:tc>
          <w:tcPr>
            <w:tcW w:w="940" w:type="dxa"/>
            <w:vAlign w:val="bottom"/>
            <w:vMerge w:val="restart"/>
          </w:tcPr>
          <w:p>
            <w:pPr>
              <w:jc w:val="right"/>
              <w:ind w:right="213"/>
              <w:spacing w:after="0"/>
              <w:rPr>
                <w:sz w:val="20"/>
                <w:szCs w:val="20"/>
                <w:color w:val="auto"/>
              </w:rPr>
            </w:pPr>
            <w:r>
              <w:rPr>
                <w:rFonts w:ascii="Arial" w:cs="Arial" w:eastAsia="Arial" w:hAnsi="Arial"/>
                <w:sz w:val="11"/>
                <w:szCs w:val="11"/>
                <w:color w:val="auto"/>
              </w:rPr>
              <w:t>Average</w:t>
            </w:r>
          </w:p>
        </w:tc>
        <w:tc>
          <w:tcPr>
            <w:tcW w:w="920" w:type="dxa"/>
            <w:vAlign w:val="bottom"/>
            <w:vMerge w:val="restart"/>
          </w:tcPr>
          <w:p>
            <w:pPr>
              <w:jc w:val="right"/>
              <w:ind w:right="152"/>
              <w:spacing w:after="0"/>
              <w:rPr>
                <w:sz w:val="20"/>
                <w:szCs w:val="20"/>
                <w:color w:val="auto"/>
              </w:rPr>
            </w:pPr>
            <w:r>
              <w:rPr>
                <w:rFonts w:ascii="Arial" w:cs="Arial" w:eastAsia="Arial" w:hAnsi="Arial"/>
                <w:sz w:val="11"/>
                <w:szCs w:val="11"/>
                <w:color w:val="auto"/>
              </w:rPr>
              <w:t>Average</w:t>
            </w:r>
          </w:p>
        </w:tc>
        <w:tc>
          <w:tcPr>
            <w:tcW w:w="1280" w:type="dxa"/>
            <w:vAlign w:val="bottom"/>
          </w:tcPr>
          <w:p>
            <w:pPr>
              <w:jc w:val="right"/>
              <w:ind w:right="133"/>
              <w:spacing w:after="0"/>
              <w:rPr>
                <w:sz w:val="20"/>
                <w:szCs w:val="20"/>
                <w:color w:val="auto"/>
              </w:rPr>
            </w:pPr>
            <w:r>
              <w:rPr>
                <w:rFonts w:ascii="Arial" w:cs="Arial" w:eastAsia="Arial" w:hAnsi="Arial"/>
                <w:sz w:val="11"/>
                <w:szCs w:val="11"/>
                <w:color w:val="auto"/>
              </w:rPr>
              <w:t>2006 Fourth Quarter</w:t>
            </w:r>
          </w:p>
        </w:tc>
        <w:tc>
          <w:tcPr>
            <w:tcW w:w="780" w:type="dxa"/>
            <w:vAlign w:val="bottom"/>
            <w:vMerge w:val="restart"/>
          </w:tcPr>
          <w:p>
            <w:pPr>
              <w:jc w:val="right"/>
              <w:ind w:right="93"/>
              <w:spacing w:after="0"/>
              <w:rPr>
                <w:sz w:val="20"/>
                <w:szCs w:val="20"/>
                <w:color w:val="auto"/>
              </w:rPr>
            </w:pPr>
            <w:r>
              <w:rPr>
                <w:rFonts w:ascii="Arial" w:cs="Arial" w:eastAsia="Arial" w:hAnsi="Arial"/>
                <w:sz w:val="11"/>
                <w:szCs w:val="11"/>
                <w:color w:val="auto"/>
              </w:rPr>
              <w:t>Average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300" w:type="dxa"/>
            <w:vAlign w:val="bottom"/>
            <w:gridSpan w:val="2"/>
          </w:tcPr>
          <w:p>
            <w:pPr>
              <w:spacing w:after="0"/>
              <w:rPr>
                <w:sz w:val="20"/>
                <w:szCs w:val="20"/>
                <w:color w:val="auto"/>
              </w:rPr>
            </w:pPr>
            <w:r>
              <w:rPr>
                <w:rFonts w:ascii="Arial" w:cs="Arial" w:eastAsia="Arial" w:hAnsi="Arial"/>
                <w:sz w:val="11"/>
                <w:szCs w:val="11"/>
                <w:i w:val="1"/>
                <w:iCs w:val="1"/>
                <w:color w:val="auto"/>
                <w:w w:val="94"/>
              </w:rPr>
              <w:t>Average balance in millions; interest in thousands</w:t>
            </w:r>
          </w:p>
        </w:tc>
        <w:tc>
          <w:tcPr>
            <w:tcW w:w="200" w:type="dxa"/>
            <w:vAlign w:val="bottom"/>
          </w:tcPr>
          <w:p>
            <w:pPr>
              <w:spacing w:after="0"/>
              <w:rPr>
                <w:sz w:val="12"/>
                <w:szCs w:val="12"/>
                <w:color w:val="auto"/>
              </w:rPr>
            </w:pPr>
          </w:p>
        </w:tc>
        <w:tc>
          <w:tcPr>
            <w:tcW w:w="700" w:type="dxa"/>
            <w:vAlign w:val="bottom"/>
          </w:tcPr>
          <w:p>
            <w:pPr>
              <w:jc w:val="right"/>
              <w:ind w:right="172"/>
              <w:spacing w:after="0"/>
              <w:rPr>
                <w:sz w:val="20"/>
                <w:szCs w:val="20"/>
                <w:color w:val="auto"/>
              </w:rPr>
            </w:pPr>
            <w:r>
              <w:rPr>
                <w:rFonts w:ascii="Arial" w:cs="Arial" w:eastAsia="Arial" w:hAnsi="Arial"/>
                <w:sz w:val="11"/>
                <w:szCs w:val="11"/>
                <w:color w:val="auto"/>
              </w:rPr>
              <w:t>balance</w:t>
            </w:r>
          </w:p>
        </w:tc>
        <w:tc>
          <w:tcPr>
            <w:tcW w:w="1260" w:type="dxa"/>
            <w:vAlign w:val="bottom"/>
          </w:tcPr>
          <w:p>
            <w:pPr>
              <w:jc w:val="right"/>
              <w:ind w:right="353"/>
              <w:spacing w:after="0"/>
              <w:rPr>
                <w:sz w:val="20"/>
                <w:szCs w:val="20"/>
                <w:color w:val="auto"/>
              </w:rPr>
            </w:pPr>
            <w:r>
              <w:rPr>
                <w:rFonts w:ascii="Arial" w:cs="Arial" w:eastAsia="Arial" w:hAnsi="Arial"/>
                <w:sz w:val="11"/>
                <w:szCs w:val="11"/>
                <w:color w:val="auto"/>
              </w:rPr>
              <w:t>Interest</w:t>
            </w:r>
          </w:p>
        </w:tc>
        <w:tc>
          <w:tcPr>
            <w:tcW w:w="880" w:type="dxa"/>
            <w:vAlign w:val="bottom"/>
          </w:tcPr>
          <w:p>
            <w:pPr>
              <w:jc w:val="right"/>
              <w:ind w:right="273"/>
              <w:spacing w:after="0"/>
              <w:rPr>
                <w:sz w:val="20"/>
                <w:szCs w:val="20"/>
                <w:color w:val="auto"/>
              </w:rPr>
            </w:pPr>
            <w:r>
              <w:rPr>
                <w:rFonts w:ascii="Arial" w:cs="Arial" w:eastAsia="Arial" w:hAnsi="Arial"/>
                <w:sz w:val="11"/>
                <w:szCs w:val="11"/>
                <w:color w:val="auto"/>
              </w:rPr>
              <w:t>Rate</w:t>
            </w:r>
          </w:p>
        </w:tc>
        <w:tc>
          <w:tcPr>
            <w:tcW w:w="960" w:type="dxa"/>
            <w:vAlign w:val="bottom"/>
          </w:tcPr>
          <w:p>
            <w:pPr>
              <w:jc w:val="right"/>
              <w:ind w:right="212"/>
              <w:spacing w:after="0"/>
              <w:rPr>
                <w:sz w:val="20"/>
                <w:szCs w:val="20"/>
                <w:color w:val="auto"/>
              </w:rPr>
            </w:pPr>
            <w:r>
              <w:rPr>
                <w:rFonts w:ascii="Arial" w:cs="Arial" w:eastAsia="Arial" w:hAnsi="Arial"/>
                <w:sz w:val="11"/>
                <w:szCs w:val="11"/>
                <w:color w:val="auto"/>
              </w:rPr>
              <w:t>balance</w:t>
            </w:r>
          </w:p>
        </w:tc>
        <w:tc>
          <w:tcPr>
            <w:tcW w:w="1200" w:type="dxa"/>
            <w:vAlign w:val="bottom"/>
          </w:tcPr>
          <w:p>
            <w:pPr>
              <w:jc w:val="right"/>
              <w:ind w:right="313"/>
              <w:spacing w:after="0"/>
              <w:rPr>
                <w:sz w:val="20"/>
                <w:szCs w:val="20"/>
                <w:color w:val="auto"/>
              </w:rPr>
            </w:pPr>
            <w:r>
              <w:rPr>
                <w:rFonts w:ascii="Arial" w:cs="Arial" w:eastAsia="Arial" w:hAnsi="Arial"/>
                <w:sz w:val="11"/>
                <w:szCs w:val="11"/>
                <w:color w:val="auto"/>
              </w:rPr>
              <w:t>Interest</w:t>
            </w:r>
          </w:p>
        </w:tc>
        <w:tc>
          <w:tcPr>
            <w:tcW w:w="940" w:type="dxa"/>
            <w:vAlign w:val="bottom"/>
          </w:tcPr>
          <w:p>
            <w:pPr>
              <w:jc w:val="right"/>
              <w:ind w:right="293"/>
              <w:spacing w:after="0"/>
              <w:rPr>
                <w:sz w:val="20"/>
                <w:szCs w:val="20"/>
                <w:color w:val="auto"/>
              </w:rPr>
            </w:pPr>
            <w:r>
              <w:rPr>
                <w:rFonts w:ascii="Arial" w:cs="Arial" w:eastAsia="Arial" w:hAnsi="Arial"/>
                <w:sz w:val="11"/>
                <w:szCs w:val="11"/>
                <w:color w:val="auto"/>
              </w:rPr>
              <w:t>Rate</w:t>
            </w:r>
          </w:p>
        </w:tc>
        <w:tc>
          <w:tcPr>
            <w:tcW w:w="920" w:type="dxa"/>
            <w:vAlign w:val="bottom"/>
          </w:tcPr>
          <w:p>
            <w:pPr>
              <w:jc w:val="right"/>
              <w:ind w:right="172"/>
              <w:spacing w:after="0"/>
              <w:rPr>
                <w:sz w:val="20"/>
                <w:szCs w:val="20"/>
                <w:color w:val="auto"/>
              </w:rPr>
            </w:pPr>
            <w:r>
              <w:rPr>
                <w:rFonts w:ascii="Arial" w:cs="Arial" w:eastAsia="Arial" w:hAnsi="Arial"/>
                <w:sz w:val="11"/>
                <w:szCs w:val="11"/>
                <w:color w:val="auto"/>
              </w:rPr>
              <w:t>balance</w:t>
            </w:r>
          </w:p>
        </w:tc>
        <w:tc>
          <w:tcPr>
            <w:tcW w:w="1280" w:type="dxa"/>
            <w:vAlign w:val="bottom"/>
          </w:tcPr>
          <w:p>
            <w:pPr>
              <w:jc w:val="right"/>
              <w:ind w:right="373"/>
              <w:spacing w:after="0"/>
              <w:rPr>
                <w:sz w:val="20"/>
                <w:szCs w:val="20"/>
                <w:color w:val="auto"/>
              </w:rPr>
            </w:pPr>
            <w:r>
              <w:rPr>
                <w:rFonts w:ascii="Arial" w:cs="Arial" w:eastAsia="Arial" w:hAnsi="Arial"/>
                <w:sz w:val="11"/>
                <w:szCs w:val="11"/>
                <w:color w:val="auto"/>
              </w:rPr>
              <w:t>Interest</w:t>
            </w:r>
          </w:p>
        </w:tc>
        <w:tc>
          <w:tcPr>
            <w:tcW w:w="780" w:type="dxa"/>
            <w:vAlign w:val="bottom"/>
          </w:tcPr>
          <w:p>
            <w:pPr>
              <w:jc w:val="right"/>
              <w:ind w:right="193"/>
              <w:spacing w:after="0"/>
              <w:rPr>
                <w:sz w:val="20"/>
                <w:szCs w:val="20"/>
                <w:color w:val="auto"/>
              </w:rPr>
            </w:pPr>
            <w:r>
              <w:rPr>
                <w:rFonts w:ascii="Arial" w:cs="Arial" w:eastAsia="Arial" w:hAnsi="Arial"/>
                <w:sz w:val="11"/>
                <w:szCs w:val="1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7"/>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12,155</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$219,011</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7.23%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11,753</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210,889</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7.28%</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11,523</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212,716</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Real estate — commercial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15,578</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290,130</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7.45</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15,474</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282,322</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7.30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15,492</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291,681</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5,875</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95,327</w:t>
            </w: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6.49</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5,939</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96,136</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6.48</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5,537</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90,551</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9,964</w:t>
            </w:r>
          </w:p>
        </w:tc>
        <w:tc>
          <w:tcPr>
            <w:tcW w:w="1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185,553</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7.47</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9,948</w:t>
            </w:r>
          </w:p>
        </w:tc>
        <w:tc>
          <w:tcPr>
            <w:tcW w:w="1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182,186</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7.43</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9,922</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185,578</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loans and leases,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7"/>
              </w:rPr>
              <w:t>43,572</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790,021</w:t>
            </w: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7.27</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43,114</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771,533</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7.26</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42,474</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780,526</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Interest-bearing deposits at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67</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3.12</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66</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3.56</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68</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Federal funds sold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agreements to resell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448</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6,734</w:t>
            </w: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6.03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304</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4,801</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6.40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125</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2,327</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235</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1.40</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111</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.83</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69</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342</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U.S. Treasury and federal</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agencies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2,151</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23,238</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4.33</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2,428</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26,610</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4.45</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2,627</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28,490</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political subdivisions</w:t>
            </w:r>
          </w:p>
        </w:tc>
        <w:tc>
          <w:tcPr>
            <w:tcW w:w="20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122</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2,299</w:t>
            </w: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7.53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125</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2,234</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7.11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2,244</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4,613</w:t>
            </w:r>
          </w:p>
        </w:tc>
        <w:tc>
          <w:tcPr>
            <w:tcW w:w="1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60,554</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5.27</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4,661</w:t>
            </w:r>
          </w:p>
        </w:tc>
        <w:tc>
          <w:tcPr>
            <w:tcW w:w="1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60,817</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5.29</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4,798</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62,200</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investment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6,886</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86,091</w:t>
            </w: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5.01</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7,214</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89,661</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5.04</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7,556</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92,934</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50,982</w:t>
            </w:r>
          </w:p>
        </w:tc>
        <w:tc>
          <w:tcPr>
            <w:tcW w:w="1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883,148</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6.95</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50,693</w:t>
            </w:r>
          </w:p>
        </w:tc>
        <w:tc>
          <w:tcPr>
            <w:tcW w:w="1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866,172</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6.93</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50,235</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876,197</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(667)</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(656)</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(652)</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1,244</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1,304</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1,332</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5,964</w:t>
            </w: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5,866</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5,660</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57,523</w:t>
            </w:r>
          </w:p>
        </w:tc>
        <w:tc>
          <w:tcPr>
            <w:tcW w:w="1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57,207</w:t>
            </w:r>
          </w:p>
        </w:tc>
        <w:tc>
          <w:tcPr>
            <w:tcW w:w="1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56,575</w:t>
            </w:r>
          </w:p>
        </w:tc>
        <w:tc>
          <w:tcPr>
            <w:tcW w:w="1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b w:val="1"/>
                <w:bCs w:val="1"/>
                <w:color w:val="auto"/>
              </w:rPr>
              <w:t>Liabilities and</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453</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1,024</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.91</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437</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1,167</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1.08</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461</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1,063</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15,027</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60,953</w:t>
            </w: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1.63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14,733</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60,842</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1.67</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14,549</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58,591</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10,523</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124,020</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4.73</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11,657</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136,682</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4.76</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12,086</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141,853</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3,706</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48,001</w:t>
            </w: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5.19</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3,717</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47,649</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5.20</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3,777</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49,503</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interest-bearing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deposits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29,709</w:t>
            </w:r>
          </w:p>
        </w:tc>
        <w:tc>
          <w:tcPr>
            <w:tcW w:w="1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233,998</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3.16</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30,544</w:t>
            </w:r>
          </w:p>
        </w:tc>
        <w:tc>
          <w:tcPr>
            <w:tcW w:w="1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246,340</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3.27</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30,873</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251,010</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5,555</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73,500</w:t>
            </w: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5.31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4,852</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63,564</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5.31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4,794</w:t>
            </w: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64,173</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7,905</w:t>
            </w:r>
          </w:p>
        </w:tc>
        <w:tc>
          <w:tcPr>
            <w:tcW w:w="1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108,766</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5.52</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7,308</w:t>
            </w:r>
          </w:p>
        </w:tc>
        <w:tc>
          <w:tcPr>
            <w:tcW w:w="1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100,718</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5.59</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6,174</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89,173</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Total interest-bearing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7"/>
              </w:rPr>
              <w:t>43,169</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416,264</w:t>
            </w: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3.87</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42,704</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410,622</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3.90</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41,841</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404,356</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8"/>
              </w:rPr>
              <w:t>Noninterest-bearing deposits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7,339</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7,422</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7,631</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843</w:t>
            </w: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811</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859</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51,351</w:t>
            </w:r>
          </w:p>
        </w:tc>
        <w:tc>
          <w:tcPr>
            <w:tcW w:w="1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50,937</w:t>
            </w:r>
          </w:p>
        </w:tc>
        <w:tc>
          <w:tcPr>
            <w:tcW w:w="1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50,331</w:t>
            </w:r>
          </w:p>
        </w:tc>
        <w:tc>
          <w:tcPr>
            <w:tcW w:w="1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6,172</w:t>
            </w:r>
          </w:p>
        </w:tc>
        <w:tc>
          <w:tcPr>
            <w:tcW w:w="1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6,270</w:t>
            </w:r>
          </w:p>
        </w:tc>
        <w:tc>
          <w:tcPr>
            <w:tcW w:w="1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6,244</w:t>
            </w:r>
          </w:p>
        </w:tc>
        <w:tc>
          <w:tcPr>
            <w:tcW w:w="1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57,523</w:t>
            </w:r>
          </w:p>
        </w:tc>
        <w:tc>
          <w:tcPr>
            <w:tcW w:w="1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57,207</w:t>
            </w:r>
          </w:p>
        </w:tc>
        <w:tc>
          <w:tcPr>
            <w:tcW w:w="1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56,575</w:t>
            </w:r>
          </w:p>
        </w:tc>
        <w:tc>
          <w:tcPr>
            <w:tcW w:w="1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3.08</w:t>
            </w: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3.03</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of interest-free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funds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.59</w:t>
            </w:r>
          </w:p>
        </w:tc>
        <w:tc>
          <w:tcPr>
            <w:tcW w:w="9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.61</w:t>
            </w:r>
          </w:p>
        </w:tc>
        <w:tc>
          <w:tcPr>
            <w:tcW w:w="9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Net interest income/margin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on earning assets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$466,884</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3.67%</w:t>
            </w: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455,550</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3.64%</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471,841</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6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jc w:val="right"/>
              <w:ind w:right="231"/>
              <w:spacing w:after="0"/>
              <w:rPr>
                <w:sz w:val="20"/>
                <w:szCs w:val="20"/>
                <w:color w:val="auto"/>
              </w:rPr>
            </w:pPr>
            <w:r>
              <w:rPr>
                <w:rFonts w:ascii="Arial" w:cs="Arial" w:eastAsia="Arial" w:hAnsi="Arial"/>
                <w:sz w:val="14"/>
                <w:szCs w:val="14"/>
                <w:color w:val="auto"/>
              </w:rPr>
              <w:t>2006 Third Quarter</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2"/>
          </w:tcPr>
          <w:p>
            <w:pPr>
              <w:jc w:val="right"/>
              <w:ind w:right="1191"/>
              <w:spacing w:after="0"/>
              <w:rPr>
                <w:sz w:val="20"/>
                <w:szCs w:val="20"/>
                <w:color w:val="auto"/>
              </w:rPr>
            </w:pPr>
            <w:r>
              <w:rPr>
                <w:rFonts w:ascii="Arial" w:cs="Arial" w:eastAsia="Arial" w:hAnsi="Arial"/>
                <w:sz w:val="14"/>
                <w:szCs w:val="14"/>
                <w:color w:val="auto"/>
              </w:rPr>
              <w:t>2006 Second Quarter</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91"/>
              </w:rPr>
              <w:t>Average</w:t>
            </w:r>
          </w:p>
        </w:tc>
        <w:tc>
          <w:tcPr>
            <w:tcW w:w="1680" w:type="dxa"/>
            <w:vAlign w:val="bottom"/>
          </w:tcPr>
          <w:p>
            <w:pPr>
              <w:spacing w:after="0"/>
              <w:rPr>
                <w:sz w:val="12"/>
                <w:szCs w:val="12"/>
                <w:color w:val="auto"/>
              </w:rPr>
            </w:pPr>
          </w:p>
        </w:tc>
        <w:tc>
          <w:tcPr>
            <w:tcW w:w="1540" w:type="dxa"/>
            <w:vAlign w:val="bottom"/>
          </w:tcPr>
          <w:p>
            <w:pPr>
              <w:jc w:val="right"/>
              <w:ind w:right="631"/>
              <w:spacing w:after="0" w:line="149" w:lineRule="exact"/>
              <w:rPr>
                <w:sz w:val="20"/>
                <w:szCs w:val="20"/>
                <w:color w:val="auto"/>
              </w:rPr>
            </w:pPr>
            <w:r>
              <w:rPr>
                <w:rFonts w:ascii="Arial" w:cs="Arial" w:eastAsia="Arial" w:hAnsi="Arial"/>
                <w:sz w:val="14"/>
                <w:szCs w:val="14"/>
                <w:color w:val="auto"/>
              </w:rPr>
              <w:t>Average</w:t>
            </w:r>
          </w:p>
        </w:tc>
        <w:tc>
          <w:tcPr>
            <w:tcW w:w="92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Average</w:t>
            </w:r>
          </w:p>
        </w:tc>
        <w:tc>
          <w:tcPr>
            <w:tcW w:w="1280" w:type="dxa"/>
            <w:vAlign w:val="bottom"/>
          </w:tcPr>
          <w:p>
            <w:pPr>
              <w:spacing w:after="0"/>
              <w:rPr>
                <w:sz w:val="12"/>
                <w:szCs w:val="12"/>
                <w:color w:val="auto"/>
              </w:rPr>
            </w:pPr>
          </w:p>
        </w:tc>
        <w:tc>
          <w:tcPr>
            <w:tcW w:w="14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6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color w:val="auto"/>
                <w:w w:val="93"/>
              </w:rPr>
              <w:t>balance</w:t>
            </w:r>
          </w:p>
        </w:tc>
        <w:tc>
          <w:tcPr>
            <w:tcW w:w="1680" w:type="dxa"/>
            <w:vAlign w:val="bottom"/>
          </w:tcPr>
          <w:p>
            <w:pPr>
              <w:jc w:val="right"/>
              <w:ind w:right="491"/>
              <w:spacing w:after="0"/>
              <w:rPr>
                <w:sz w:val="20"/>
                <w:szCs w:val="20"/>
                <w:color w:val="auto"/>
              </w:rPr>
            </w:pPr>
            <w:r>
              <w:rPr>
                <w:rFonts w:ascii="Arial" w:cs="Arial" w:eastAsia="Arial" w:hAnsi="Arial"/>
                <w:sz w:val="14"/>
                <w:szCs w:val="14"/>
                <w:color w:val="auto"/>
              </w:rPr>
              <w:t>Interest</w:t>
            </w:r>
          </w:p>
        </w:tc>
        <w:tc>
          <w:tcPr>
            <w:tcW w:w="1540" w:type="dxa"/>
            <w:vAlign w:val="bottom"/>
          </w:tcPr>
          <w:p>
            <w:pPr>
              <w:jc w:val="right"/>
              <w:ind w:right="771"/>
              <w:spacing w:after="0"/>
              <w:rPr>
                <w:sz w:val="20"/>
                <w:szCs w:val="20"/>
                <w:color w:val="auto"/>
              </w:rPr>
            </w:pPr>
            <w:r>
              <w:rPr>
                <w:rFonts w:ascii="Arial" w:cs="Arial" w:eastAsia="Arial" w:hAnsi="Arial"/>
                <w:sz w:val="14"/>
                <w:szCs w:val="14"/>
                <w:color w:val="auto"/>
              </w:rPr>
              <w:t>rate</w:t>
            </w:r>
          </w:p>
        </w:tc>
        <w:tc>
          <w:tcPr>
            <w:tcW w:w="920" w:type="dxa"/>
            <w:vAlign w:val="bottom"/>
          </w:tcPr>
          <w:p>
            <w:pPr>
              <w:jc w:val="right"/>
              <w:ind w:right="2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Earning assets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11,436</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$210,733</w:t>
            </w:r>
          </w:p>
        </w:tc>
        <w:tc>
          <w:tcPr>
            <w:tcW w:w="1540" w:type="dxa"/>
            <w:vAlign w:val="bottom"/>
          </w:tcPr>
          <w:p>
            <w:pPr>
              <w:jc w:val="right"/>
              <w:ind w:right="591"/>
              <w:spacing w:after="0"/>
              <w:rPr>
                <w:sz w:val="20"/>
                <w:szCs w:val="20"/>
                <w:color w:val="auto"/>
              </w:rPr>
            </w:pPr>
            <w:r>
              <w:rPr>
                <w:rFonts w:ascii="Arial" w:cs="Arial" w:eastAsia="Arial" w:hAnsi="Arial"/>
                <w:sz w:val="18"/>
                <w:szCs w:val="18"/>
                <w:color w:val="auto"/>
              </w:rPr>
              <w:t>7.31%</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11,274</w:t>
            </w:r>
          </w:p>
        </w:tc>
        <w:tc>
          <w:tcPr>
            <w:tcW w:w="1280" w:type="dxa"/>
            <w:vAlign w:val="bottom"/>
          </w:tcPr>
          <w:p>
            <w:pPr>
              <w:jc w:val="right"/>
              <w:spacing w:after="0"/>
              <w:rPr>
                <w:sz w:val="20"/>
                <w:szCs w:val="20"/>
                <w:color w:val="auto"/>
              </w:rPr>
            </w:pPr>
            <w:r>
              <w:rPr>
                <w:rFonts w:ascii="Arial" w:cs="Arial" w:eastAsia="Arial" w:hAnsi="Arial"/>
                <w:sz w:val="18"/>
                <w:szCs w:val="18"/>
                <w:color w:val="auto"/>
              </w:rPr>
              <w:t>197,945</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7.04%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15,256</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283,197</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7.43</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14,947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269,632</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7.22</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5,053</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81,833</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6.48</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4,860</w:t>
            </w:r>
          </w:p>
        </w:tc>
        <w:tc>
          <w:tcPr>
            <w:tcW w:w="1280" w:type="dxa"/>
            <w:vAlign w:val="bottom"/>
          </w:tcPr>
          <w:p>
            <w:pPr>
              <w:jc w:val="right"/>
              <w:spacing w:after="0"/>
              <w:rPr>
                <w:sz w:val="20"/>
                <w:szCs w:val="20"/>
                <w:color w:val="auto"/>
              </w:rPr>
            </w:pPr>
            <w:r>
              <w:rPr>
                <w:rFonts w:ascii="Arial" w:cs="Arial" w:eastAsia="Arial" w:hAnsi="Arial"/>
                <w:sz w:val="18"/>
                <w:szCs w:val="18"/>
                <w:color w:val="auto"/>
              </w:rPr>
              <w:t>76,377</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6.29</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9,965</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183,041</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7.29</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9,899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172,523</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6.99</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41,710</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758,804</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7.22</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40,980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716,477</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121</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3.67</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2.85</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136</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2,487</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7.23</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30</w:t>
            </w:r>
          </w:p>
        </w:tc>
        <w:tc>
          <w:tcPr>
            <w:tcW w:w="1280" w:type="dxa"/>
            <w:vAlign w:val="bottom"/>
          </w:tcPr>
          <w:p>
            <w:pPr>
              <w:jc w:val="right"/>
              <w:spacing w:after="0"/>
              <w:rPr>
                <w:sz w:val="20"/>
                <w:szCs w:val="20"/>
                <w:color w:val="auto"/>
              </w:rPr>
            </w:pPr>
            <w:r>
              <w:rPr>
                <w:rFonts w:ascii="Arial" w:cs="Arial" w:eastAsia="Arial" w:hAnsi="Arial"/>
                <w:sz w:val="18"/>
                <w:szCs w:val="18"/>
                <w:color w:val="auto"/>
              </w:rPr>
              <w:t>405</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5.36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92</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680</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2.97</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2,826</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30,396</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4.27</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3,062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4.25</w:t>
            </w: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147</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2,434</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6.61</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171</w:t>
            </w:r>
          </w:p>
        </w:tc>
        <w:tc>
          <w:tcPr>
            <w:tcW w:w="1280" w:type="dxa"/>
            <w:vAlign w:val="bottom"/>
          </w:tcPr>
          <w:p>
            <w:pPr>
              <w:jc w:val="right"/>
              <w:spacing w:after="0"/>
              <w:rPr>
                <w:sz w:val="20"/>
                <w:szCs w:val="20"/>
                <w:color w:val="auto"/>
              </w:rPr>
            </w:pPr>
            <w:r>
              <w:rPr>
                <w:rFonts w:ascii="Arial" w:cs="Arial" w:eastAsia="Arial" w:hAnsi="Arial"/>
                <w:sz w:val="18"/>
                <w:szCs w:val="18"/>
                <w:color w:val="auto"/>
              </w:rPr>
              <w:t>2,804</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6.55</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4,925</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63,086</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5.08</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5,081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5.09</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7,898</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95,916</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4.82</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8,314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99,806</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49,849</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858,008</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6.83</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49,443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817,552</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6.63</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6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(648)</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(645)</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1,365</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1,326</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5,592</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5,374</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56,158</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55,498</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434</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960</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.88</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14,463</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51,816</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1.42</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14,254</w:t>
            </w:r>
          </w:p>
        </w:tc>
        <w:tc>
          <w:tcPr>
            <w:tcW w:w="1280" w:type="dxa"/>
            <w:vAlign w:val="bottom"/>
          </w:tcPr>
          <w:p>
            <w:pPr>
              <w:jc w:val="right"/>
              <w:spacing w:after="0"/>
              <w:rPr>
                <w:sz w:val="20"/>
                <w:szCs w:val="20"/>
                <w:color w:val="auto"/>
              </w:rPr>
            </w:pPr>
            <w:r>
              <w:rPr>
                <w:rFonts w:ascii="Arial" w:cs="Arial" w:eastAsia="Arial" w:hAnsi="Arial"/>
                <w:sz w:val="18"/>
                <w:szCs w:val="18"/>
                <w:color w:val="auto"/>
              </w:rPr>
              <w:t>47,579</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13,016</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152,571</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4.65</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12,699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139,032</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4.39</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3,674</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48,244</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5.21</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3,598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43,798</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31,587</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253,591</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3.19</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30,989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231,188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2.99</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4,441</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59,487</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5.31</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4,326</w:t>
            </w:r>
          </w:p>
        </w:tc>
        <w:tc>
          <w:tcPr>
            <w:tcW w:w="1280" w:type="dxa"/>
            <w:vAlign w:val="bottom"/>
          </w:tcPr>
          <w:p>
            <w:pPr>
              <w:jc w:val="right"/>
              <w:spacing w:after="0"/>
              <w:rPr>
                <w:sz w:val="20"/>
                <w:szCs w:val="20"/>
                <w:color w:val="auto"/>
              </w:rPr>
            </w:pPr>
            <w:r>
              <w:rPr>
                <w:rFonts w:ascii="Arial" w:cs="Arial" w:eastAsia="Arial" w:hAnsi="Arial"/>
                <w:sz w:val="18"/>
                <w:szCs w:val="18"/>
                <w:color w:val="auto"/>
              </w:rPr>
              <w:t>53,623</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5,660</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82,574</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5.79</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5,930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5.51</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41,688</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395,652</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3.77</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41,245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366,298</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7,571</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7,446</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814</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867</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50,073</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49,558</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6,085</w:t>
            </w:r>
          </w:p>
        </w:tc>
        <w:tc>
          <w:tcPr>
            <w:tcW w:w="1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5,940</w:t>
            </w: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56,158</w:t>
            </w:r>
          </w:p>
        </w:tc>
        <w:tc>
          <w:tcPr>
            <w:tcW w:w="16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55,498</w:t>
            </w:r>
          </w:p>
        </w:tc>
        <w:tc>
          <w:tcPr>
            <w:tcW w:w="1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3.06</w:t>
            </w: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.62</w:t>
            </w: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$462,356</w:t>
            </w: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3.68%</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451,254</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3.66%</w:t>
            </w: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20" w:firstLine="233"/>
        <w:spacing w:after="0" w:line="312" w:lineRule="auto"/>
        <w:tabs>
          <w:tab w:leader="none" w:pos="4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believe that M&amp;T’s disclosure controls and procedures were effective as of June 30, 2007.</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2007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2006.</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rPr>
              <w:t>(d)Maximum</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6"/>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(a)Total</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Number</w:t>
            </w: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2"/>
              </w:rPr>
              <w:t>(b)Average</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of Shares</w:t>
            </w: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3"/>
              </w:rPr>
              <w:t>Price Paid</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7"/>
              </w:rPr>
              <w:t>(or Units)</w:t>
            </w: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1"/>
              </w:rPr>
              <w:t>per Share</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r>
      <w:tr>
        <w:trPr>
          <w:trHeight w:val="167"/>
        </w:trPr>
        <w:tc>
          <w:tcPr>
            <w:tcW w:w="61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Purchased(1)</w:t>
            </w:r>
          </w:p>
        </w:tc>
        <w:tc>
          <w:tcPr>
            <w:tcW w:w="1320" w:type="dxa"/>
            <w:vAlign w:val="bottom"/>
            <w:gridSpan w:val="3"/>
          </w:tcPr>
          <w:p>
            <w:pPr>
              <w:jc w:val="center"/>
              <w:ind w:right="640"/>
              <w:spacing w:after="0"/>
              <w:rPr>
                <w:sz w:val="20"/>
                <w:szCs w:val="20"/>
                <w:color w:val="auto"/>
              </w:rPr>
            </w:pPr>
            <w:r>
              <w:rPr>
                <w:rFonts w:ascii="Arial" w:cs="Arial" w:eastAsia="Arial" w:hAnsi="Arial"/>
                <w:sz w:val="14"/>
                <w:szCs w:val="14"/>
                <w:color w:val="auto"/>
              </w:rPr>
              <w:t>(or Unit)</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88"/>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2007</w:t>
            </w:r>
          </w:p>
        </w:tc>
        <w:tc>
          <w:tcPr>
            <w:tcW w:w="148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950,089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108.08</w:t>
            </w:r>
          </w:p>
        </w:tc>
        <w:tc>
          <w:tcPr>
            <w:tcW w:w="150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950,000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May 1 - May 31, 2007</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700,053</w:t>
            </w: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112.30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700,000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3,309,500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2007</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328,055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109.25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2,981,500</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1,978,197</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109.77</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1,978,000</w:t>
            </w: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shares purchased during the periods indicated includes shares purchased as part of publicly announced programs and shares deemed to have been received from employees who exercised stock options by attesting to previously acquired shares in satisfaction of the exercise price, as is permitted under M&amp;T’s stock option plans.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February 22, 2007, M&amp;T announced that its Board of Directors had approved a program to purchase up to 5,000,000 shares of its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Information concerning the matters submitted to a vote of stockholders at M&amp;T’s Annual Meeting of Stockholders held on April 17, 2007 was previously reported in response to Item 4 of Part II of M&amp;T’s Quarterly Report on Form 10-Q for the quarter ended March 31,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08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90" w:lineRule="exact"/>
        <w:rPr>
          <w:sz w:val="20"/>
          <w:szCs w:val="20"/>
          <w:color w:val="auto"/>
        </w:rPr>
      </w:pPr>
    </w:p>
    <w:p>
      <w:pPr>
        <w:ind w:left="720" w:right="40" w:hanging="715"/>
        <w:spacing w:after="0" w:line="277"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May 24, 2007 between M&amp;T Bank Corporation and The Bank of New York. Incorporated by reference to Exhibit 4.2 to the Form 8-K dated May 24, 2007 (File No. 1-9861).</w:t>
      </w:r>
    </w:p>
    <w:p>
      <w:pPr>
        <w:spacing w:after="0" w:line="170" w:lineRule="exact"/>
        <w:rPr>
          <w:sz w:val="20"/>
          <w:szCs w:val="20"/>
          <w:color w:val="auto"/>
        </w:rPr>
      </w:pPr>
    </w:p>
    <w:p>
      <w:pPr>
        <w:ind w:left="720" w:right="40" w:hanging="715"/>
        <w:spacing w:after="0" w:line="277" w:lineRule="auto"/>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May 24, 2007 to Indenture dated as of May 24, 2007 between M&amp;T Bank Corporation and The Bank of New York. Incorporated by reference to Exhibit 4.1 to the Form 8-K dated May 24, 2007 (File No. 1-9861).</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August 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08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90"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May 24, 2007 between M&amp;T Bank Corporation and The Bank of New York. Incorporated by reference to Exhibit 4.2 to the Form 8-K dated May 24, 2007 (File No. 1-9861).</w:t>
      </w:r>
    </w:p>
    <w:p>
      <w:pPr>
        <w:spacing w:after="0" w:line="170"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May 24, 2007 to Indenture dated as of May 24, 2007 between M&amp;T Bank Corporation and The Bank of New York. Incorporated by reference to Exhibit 4.1 to the Form 8-K dated May 24, 2007 (File No. 1-9861).</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19" w:right="4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22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w:t>
      </w:r>
    </w:p>
    <w:p>
      <w:pPr>
        <w:ind w:left="460"/>
        <w:spacing w:after="0"/>
        <w:rPr>
          <w:sz w:val="20"/>
          <w:szCs w:val="20"/>
          <w:color w:val="auto"/>
        </w:rPr>
      </w:pPr>
      <w:r>
        <w:rPr>
          <w:rFonts w:ascii="Arial" w:cs="Arial" w:eastAsia="Arial" w:hAnsi="Arial"/>
          <w:sz w:val="18"/>
          <w:szCs w:val="18"/>
          <w:color w:val="auto"/>
        </w:rPr>
        <w:t>for the registrant and have:</w:t>
      </w:r>
    </w:p>
    <w:p>
      <w:pPr>
        <w:spacing w:after="0" w:line="9" w:lineRule="exact"/>
        <w:rPr>
          <w:sz w:val="20"/>
          <w:szCs w:val="20"/>
          <w:color w:val="auto"/>
        </w:rPr>
      </w:pPr>
    </w:p>
    <w:p>
      <w:pPr>
        <w:ind w:left="460" w:right="2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60" w:right="12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registrant’s auditors and the audit committee of the registrant’s board of directors (or persons performing the equivalent functions):</w:t>
      </w:r>
    </w:p>
    <w:p>
      <w:pPr>
        <w:spacing w:after="0" w:line="9" w:lineRule="exact"/>
        <w:rPr>
          <w:sz w:val="20"/>
          <w:szCs w:val="20"/>
          <w:color w:val="auto"/>
        </w:rPr>
      </w:pPr>
    </w:p>
    <w:p>
      <w:pPr>
        <w:ind w:left="460" w:right="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60" w:right="2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878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60" w:right="2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60" w:right="12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sz w:val="20"/>
          <w:szCs w:val="20"/>
          <w:color w:val="auto"/>
        </w:rPr>
      </w:pPr>
    </w:p>
    <w:p>
      <w:pPr>
        <w:ind w:left="460" w:right="180" w:hanging="452"/>
        <w:spacing w:after="0" w:line="274"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60" w:right="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60" w:right="2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8783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2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2007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2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2007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3"/>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2019-12-13T01:23:13Z</dcterms:created>
  <dcterms:modified xsi:type="dcterms:W3CDTF">2019-12-13T01:23:13Z</dcterms:modified>
</cp:coreProperties>
</file>