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spacing w:after="0"/>
              <w:rPr>
                <w:sz w:val="18"/>
                <w:szCs w:val="18"/>
                <w:color w:val="auto"/>
              </w:rPr>
            </w:pP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122" w:right="379" w:bottom="1440" w:gutter="0" w:footer="0" w:header="0"/>
        </w:sectPr>
      </w:pPr>
    </w:p>
    <w:p>
      <w:pPr>
        <w:spacing w:after="0" w:line="19" w:lineRule="exact"/>
        <w:rPr>
          <w:sz w:val="20"/>
          <w:szCs w:val="20"/>
          <w:color w:val="auto"/>
        </w:rPr>
      </w:pPr>
    </w:p>
    <w:p>
      <w:pPr>
        <w:ind w:left="1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80" w:space="720"/>
            <w:col w:w="1440" w:space="720"/>
            <w:col w:w="3400" w:space="720"/>
            <w:col w:w="2200"/>
          </w:cols>
          <w:pgMar w:left="240" w:top="122" w:right="3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July 18, 2008: 110,204,721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June 30,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60" w:type="dxa"/>
            <w:vAlign w:val="bottom"/>
            <w:tcBorders>
              <w:bottom w:val="single" w:sz="8" w:color="auto"/>
            </w:tcBorders>
            <w:gridSpan w:val="26"/>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6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Page</w:t>
            </w:r>
          </w:p>
        </w:tc>
      </w:tr>
      <w:tr>
        <w:trPr>
          <w:trHeight w:val="291"/>
        </w:trPr>
        <w:tc>
          <w:tcPr>
            <w:tcW w:w="996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600" w:type="dxa"/>
            <w:vAlign w:val="bottom"/>
            <w:tcBorders>
              <w:top w:val="single" w:sz="8" w:color="0000EE"/>
            </w:tcBorders>
            <w:gridSpan w:val="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Financial Statements.</w:t>
              </w:r>
            </w:hyperlink>
          </w:p>
        </w:tc>
        <w:tc>
          <w:tcPr>
            <w:tcW w:w="722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2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BALANCE SHEET — June 30, 2008 and December 31, 2007</w:t>
              </w:r>
            </w:hyperlink>
          </w:p>
        </w:tc>
        <w:tc>
          <w:tcPr>
            <w:tcW w:w="2900" w:type="dxa"/>
            <w:vAlign w:val="bottom"/>
            <w:gridSpan w:val="6"/>
          </w:tcPr>
          <w:p>
            <w:pPr>
              <w:spacing w:after="0"/>
              <w:rPr>
                <w:sz w:val="24"/>
                <w:szCs w:val="24"/>
                <w:color w:val="auto"/>
              </w:rPr>
            </w:pPr>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3</w:t>
            </w:r>
          </w:p>
        </w:tc>
      </w:tr>
      <w:tr>
        <w:trPr>
          <w:trHeight w:val="41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INCOME — Three and six months ended June 30, 2008 and 2007</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4</w:t>
            </w:r>
          </w:p>
        </w:tc>
      </w:tr>
      <w:tr>
        <w:trPr>
          <w:trHeight w:val="41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Borders>
              <w:top w:val="single" w:sz="8" w:color="0000EE"/>
            </w:tcBorders>
            <w:gridSpan w:val="18"/>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 OF CASH FLOWS — Six months ended June 30, 2008 and 2007</w:t>
              </w:r>
            </w:hyperlink>
          </w:p>
        </w:tc>
        <w:tc>
          <w:tcPr>
            <w:tcW w:w="1280" w:type="dxa"/>
            <w:vAlign w:val="bottom"/>
            <w:gridSpan w:val="3"/>
          </w:tcPr>
          <w:p>
            <w:pPr>
              <w:spacing w:after="0"/>
              <w:rPr>
                <w:sz w:val="24"/>
                <w:szCs w:val="24"/>
                <w:color w:val="auto"/>
              </w:rPr>
            </w:pPr>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5</w:t>
            </w: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 OF CHANGES IN STOCKHOLDERS’ EQUITY — Six months ended June 30, 2008</w:t>
              </w:r>
            </w:hyperlink>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2007</w:t>
              </w:r>
            </w:hyperlink>
          </w:p>
        </w:tc>
        <w:tc>
          <w:tcPr>
            <w:tcW w:w="120" w:type="dxa"/>
            <w:vAlign w:val="bottom"/>
          </w:tcPr>
          <w:p>
            <w:pPr>
              <w:spacing w:after="0"/>
              <w:rPr>
                <w:sz w:val="17"/>
                <w:szCs w:val="17"/>
                <w:color w:val="auto"/>
              </w:rPr>
            </w:pPr>
          </w:p>
        </w:tc>
        <w:tc>
          <w:tcPr>
            <w:tcW w:w="1460" w:type="dxa"/>
            <w:vAlign w:val="bottom"/>
            <w:gridSpan w:val="2"/>
          </w:tcPr>
          <w:p>
            <w:pPr>
              <w:jc w:val="right"/>
              <w:ind w:right="288"/>
              <w:spacing w:after="0" w:line="196" w:lineRule="exact"/>
              <w:rPr>
                <w:sz w:val="20"/>
                <w:szCs w:val="20"/>
                <w:color w:val="auto"/>
              </w:rPr>
            </w:pPr>
            <w:r>
              <w:rPr>
                <w:rFonts w:ascii="Arial" w:cs="Arial" w:eastAsia="Arial" w:hAnsi="Arial"/>
                <w:sz w:val="18"/>
                <w:szCs w:val="18"/>
                <w:color w:val="auto"/>
              </w:rPr>
              <w:t>6</w:t>
            </w: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60" w:type="dxa"/>
            <w:vAlign w:val="bottom"/>
            <w:tcBorders>
              <w:bottom w:val="single" w:sz="8" w:color="0000EE"/>
            </w:tcBorders>
            <w:gridSpan w:val="19"/>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CONSOLIDATED SUMMARY OF CHANGES IN ALLOWANCE FOR CREDIT LOSSES — Six months ended</w:t>
              </w:r>
            </w:hyperlink>
          </w:p>
        </w:tc>
        <w:tc>
          <w:tcPr>
            <w:tcW w:w="5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June 30, 2008 and 2007</w:t>
              </w:r>
            </w:hyperlink>
          </w:p>
        </w:tc>
        <w:tc>
          <w:tcPr>
            <w:tcW w:w="7100" w:type="dxa"/>
            <w:vAlign w:val="bottom"/>
            <w:gridSpan w:val="12"/>
          </w:tcPr>
          <w:p>
            <w:pPr>
              <w:spacing w:after="0"/>
              <w:rPr>
                <w:sz w:val="17"/>
                <w:szCs w:val="17"/>
                <w:color w:val="auto"/>
              </w:rPr>
            </w:pPr>
          </w:p>
        </w:tc>
        <w:tc>
          <w:tcPr>
            <w:tcW w:w="1460" w:type="dxa"/>
            <w:vAlign w:val="bottom"/>
            <w:gridSpan w:val="2"/>
          </w:tcPr>
          <w:p>
            <w:pPr>
              <w:jc w:val="right"/>
              <w:ind w:right="288"/>
              <w:spacing w:after="0" w:line="196" w:lineRule="exact"/>
              <w:rPr>
                <w:sz w:val="20"/>
                <w:szCs w:val="20"/>
                <w:color w:val="auto"/>
              </w:rPr>
            </w:pPr>
            <w:r>
              <w:rPr>
                <w:rFonts w:ascii="Arial" w:cs="Arial" w:eastAsia="Arial" w:hAnsi="Arial"/>
                <w:sz w:val="18"/>
                <w:szCs w:val="18"/>
                <w:color w:val="auto"/>
              </w:rPr>
              <w:t>6</w:t>
            </w:r>
          </w:p>
        </w:tc>
      </w:tr>
      <w:tr>
        <w:trPr>
          <w:trHeight w:val="412"/>
        </w:trPr>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5760" w:type="dxa"/>
            <w:vAlign w:val="bottom"/>
            <w:gridSpan w:val="9"/>
          </w:tcPr>
          <w:p>
            <w:pPr>
              <w:spacing w:after="0"/>
              <w:rPr>
                <w:sz w:val="24"/>
                <w:szCs w:val="24"/>
                <w:color w:val="auto"/>
              </w:rPr>
            </w:pPr>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7</w:t>
            </w: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882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26</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w:t>
              </w:r>
            </w:hyperlink>
          </w:p>
        </w:tc>
        <w:tc>
          <w:tcPr>
            <w:tcW w:w="882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64</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60" w:type="dxa"/>
            <w:vAlign w:val="bottom"/>
            <w:tcBorders>
              <w:left w:val="single" w:sz="8" w:color="0000EE"/>
            </w:tcBorders>
            <w:gridSpan w:val="7"/>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4.</w:t>
              </w:r>
            </w:hyperlink>
          </w:p>
        </w:tc>
        <w:tc>
          <w:tcPr>
            <w:tcW w:w="882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64</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68">
              <w:r>
                <w:rPr>
                  <w:rFonts w:ascii="Arial" w:cs="Arial" w:eastAsia="Arial" w:hAnsi="Arial"/>
                  <w:sz w:val="18"/>
                  <w:szCs w:val="18"/>
                  <w:color w:val="0000EE"/>
                  <w:w w:val="95"/>
                </w:rPr>
                <w:t>Part II. OTHER INFORMATION</w:t>
              </w:r>
            </w:hyperlink>
          </w:p>
        </w:tc>
        <w:tc>
          <w:tcPr>
            <w:tcW w:w="7520" w:type="dxa"/>
            <w:vAlign w:val="bottom"/>
            <w:gridSpan w:val="16"/>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w:t>
              </w:r>
            </w:hyperlink>
          </w:p>
        </w:tc>
        <w:tc>
          <w:tcPr>
            <w:tcW w:w="882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Legal Proceedings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64</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gridSpan w:val="2"/>
          </w:tcPr>
          <w:p>
            <w:pPr>
              <w:ind w:left="20"/>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1A.</w:t>
              </w:r>
            </w:hyperlink>
          </w:p>
        </w:tc>
        <w:tc>
          <w:tcPr>
            <w:tcW w:w="180" w:type="dxa"/>
            <w:vAlign w:val="bottom"/>
            <w:gridSpan w:val="2"/>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Risk Factors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64</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2.</w:t>
              </w:r>
            </w:hyperlink>
          </w:p>
        </w:tc>
        <w:tc>
          <w:tcPr>
            <w:tcW w:w="180" w:type="dxa"/>
            <w:vAlign w:val="bottom"/>
            <w:gridSpan w:val="2"/>
          </w:tcPr>
          <w:p>
            <w:pPr>
              <w:spacing w:after="0"/>
              <w:rPr>
                <w:sz w:val="24"/>
                <w:szCs w:val="24"/>
                <w:color w:val="auto"/>
              </w:rPr>
            </w:pPr>
          </w:p>
        </w:tc>
        <w:tc>
          <w:tcPr>
            <w:tcW w:w="882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65</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3.</w:t>
              </w:r>
            </w:hyperlink>
          </w:p>
        </w:tc>
        <w:tc>
          <w:tcPr>
            <w:tcW w:w="882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Defaults Upon Senior Securities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65</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w:t>
              </w:r>
            </w:hyperlink>
          </w:p>
        </w:tc>
        <w:tc>
          <w:tcPr>
            <w:tcW w:w="882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Submission of Matters to a Vote of Security Holders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65</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440" w:type="dxa"/>
            <w:vAlign w:val="bottom"/>
            <w:tcBorders>
              <w:left w:val="single" w:sz="8" w:color="0000EE"/>
            </w:tcBorders>
            <w:gridSpan w:val="7"/>
            <w:shd w:val="clear" w:color="auto" w:fill="0000EE"/>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5.</w:t>
              </w:r>
            </w:hyperlink>
          </w:p>
        </w:tc>
        <w:tc>
          <w:tcPr>
            <w:tcW w:w="882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65</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7500" w:type="dxa"/>
            <w:vAlign w:val="bottom"/>
            <w:gridSpan w:val="1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840" w:type="dxa"/>
            <w:vAlign w:val="bottom"/>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6.</w:t>
              </w:r>
            </w:hyperlink>
          </w:p>
        </w:tc>
        <w:tc>
          <w:tcPr>
            <w:tcW w:w="882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66</w:t>
            </w: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1140" w:type="dxa"/>
            <w:vAlign w:val="bottom"/>
            <w:gridSpan w:val="5"/>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SIGNATURES</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66</w:t>
            </w: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20" w:type="dxa"/>
            <w:vAlign w:val="bottom"/>
            <w:gridSpan w:val="19"/>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 INDEX</w:t>
              </w:r>
            </w:hyperlink>
          </w:p>
        </w:tc>
        <w:tc>
          <w:tcPr>
            <w:tcW w:w="8620" w:type="dxa"/>
            <w:vAlign w:val="bottom"/>
            <w:gridSpan w:val="19"/>
          </w:tcPr>
          <w:p>
            <w:pPr>
              <w:spacing w:after="0"/>
              <w:rPr>
                <w:sz w:val="24"/>
                <w:szCs w:val="24"/>
                <w:color w:val="auto"/>
              </w:rPr>
            </w:pPr>
          </w:p>
        </w:tc>
        <w:tc>
          <w:tcPr>
            <w:tcW w:w="1460" w:type="dxa"/>
            <w:vAlign w:val="bottom"/>
            <w:gridSpan w:val="2"/>
          </w:tcPr>
          <w:p>
            <w:pPr>
              <w:jc w:val="right"/>
              <w:ind w:right="288"/>
              <w:spacing w:after="0"/>
              <w:rPr>
                <w:sz w:val="20"/>
                <w:szCs w:val="20"/>
                <w:color w:val="auto"/>
              </w:rPr>
            </w:pPr>
            <w:r>
              <w:rPr>
                <w:rFonts w:ascii="Arial" w:cs="Arial" w:eastAsia="Arial" w:hAnsi="Arial"/>
                <w:sz w:val="18"/>
                <w:szCs w:val="18"/>
                <w:color w:val="auto"/>
              </w:rPr>
              <w:t>67</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right"/>
              <w:ind w:right="651"/>
              <w:spacing w:after="0"/>
              <w:rPr>
                <w:sz w:val="20"/>
                <w:szCs w:val="20"/>
                <w:color w:val="auto"/>
              </w:rPr>
            </w:pPr>
            <w:r>
              <w:rPr>
                <w:rFonts w:ascii="Arial" w:cs="Arial" w:eastAsia="Arial" w:hAnsi="Arial"/>
                <w:sz w:val="14"/>
                <w:szCs w:val="14"/>
                <w:color w:val="auto"/>
              </w:rPr>
              <w:t>June 30,</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r>
      <w:tr>
        <w:trPr>
          <w:trHeight w:val="174"/>
        </w:trPr>
        <w:tc>
          <w:tcPr>
            <w:tcW w:w="79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520" w:type="dxa"/>
            <w:vAlign w:val="bottom"/>
          </w:tcPr>
          <w:p>
            <w:pPr>
              <w:spacing w:after="0"/>
              <w:rPr>
                <w:sz w:val="15"/>
                <w:szCs w:val="15"/>
                <w:color w:val="auto"/>
              </w:rPr>
            </w:pPr>
          </w:p>
        </w:tc>
        <w:tc>
          <w:tcPr>
            <w:tcW w:w="1380" w:type="dxa"/>
            <w:vAlign w:val="bottom"/>
          </w:tcPr>
          <w:p>
            <w:pPr>
              <w:jc w:val="right"/>
              <w:ind w:right="751"/>
              <w:spacing w:after="0"/>
              <w:rPr>
                <w:sz w:val="20"/>
                <w:szCs w:val="20"/>
                <w:color w:val="auto"/>
              </w:rPr>
            </w:pPr>
            <w:r>
              <w:rPr>
                <w:rFonts w:ascii="Arial" w:cs="Arial" w:eastAsia="Arial" w:hAnsi="Arial"/>
                <w:sz w:val="14"/>
                <w:szCs w:val="14"/>
                <w:color w:val="auto"/>
              </w:rPr>
              <w:t>2008</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2007</w:t>
            </w:r>
          </w:p>
        </w:tc>
      </w:tr>
      <w:tr>
        <w:trPr>
          <w:trHeight w:val="216"/>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1,624,753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1,719,509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5,654</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18,431</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13,750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48,038</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90,000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243,050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281,244</w:t>
            </w: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Investment securities (includes pledged available for sale securities that can be sold or repledged of</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$2,037,891 at June 30, 2008; $1,988,128 at December 31,2007)</w:t>
            </w: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Available for sale (cost:$8,383,504 at June 30, 2008; $8,451,411 at December 31, 2007)</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7,980,333</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8,379,169</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 (fair value: $74,808 at June 30, 2008; $78,250 at December 31, 2007)</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73,060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76,441</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 (fair value: $605,382 at June 30, 2008; $506,388 at December 31, 2007)</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605,382</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506,388</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investment securities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8,658,775</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8,961,998</w:t>
            </w: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Loans and leases</w:t>
            </w:r>
          </w:p>
        </w:tc>
        <w:tc>
          <w:tcPr>
            <w:tcW w:w="52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88"/>
              </w:rPr>
              <w:t>49,456,691</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48,352,262</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(342,075)</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(330,700)</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Allowance for credit losses</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(774,076)</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(759,439)</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Loans and leases, net</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48,340,540</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47,262,123</w:t>
            </w: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Premises and equipment</w:t>
            </w:r>
          </w:p>
        </w:tc>
        <w:tc>
          <w:tcPr>
            <w:tcW w:w="52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368,542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370,765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3,192,128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3,196,433</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Core deposit and other intangible assets</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213,528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248,556</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Accrued interest and other assets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3,142,708</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2,768,542</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65,893,428</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64,875,639</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8,483,856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8,131,662</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991,875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1,190,161</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88"/>
              </w:rPr>
              <w:t>17,600,584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15,419,357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9,092,399</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10,668,581</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5,756,976</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5,856,427</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deposits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41,925,690</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41,266,188</w:t>
            </w: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Federal funds purchased and agreements to repurchase securities</w:t>
            </w:r>
          </w:p>
        </w:tc>
        <w:tc>
          <w:tcPr>
            <w:tcW w:w="520" w:type="dxa"/>
            <w:vAlign w:val="bottom"/>
          </w:tcPr>
          <w:p>
            <w:pPr>
              <w:spacing w:after="0"/>
              <w:rPr>
                <w:sz w:val="19"/>
                <w:szCs w:val="19"/>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1,822,339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4,351,313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short-term borrowings</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1,939,211</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1,470,584</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Accrued interest and other liabilities</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917,022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984,353</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12,770,110</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10,317,945</w:t>
            </w:r>
          </w:p>
        </w:tc>
      </w:tr>
      <w:tr>
        <w:trPr>
          <w:trHeight w:val="230"/>
        </w:trPr>
        <w:tc>
          <w:tcPr>
            <w:tcW w:w="20" w:type="dxa"/>
            <w:vAlign w:val="bottom"/>
          </w:tcPr>
          <w:p>
            <w:pPr>
              <w:spacing w:after="0"/>
              <w:rPr>
                <w:sz w:val="20"/>
                <w:szCs w:val="20"/>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59,374,372</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58,390,383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Preferred stock, $1 par, 1,000,000 shares authorized, none outstanding</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$.50 par, 250,000,000 shares authorized, 120,396,611 shares issued at June 30, 2008</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at December 31, 2007</w:t>
            </w: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60,198</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60,198</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Common stock issuable, 78,255 shares at June 30, 2008; 82,912 shares at December 31, 2007</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4,594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4,776</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2,853,649</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2,848,752</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5,023,817</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4,815,585</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 net</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(332,917)</w:t>
            </w:r>
          </w:p>
        </w:tc>
        <w:tc>
          <w:tcPr>
            <w:tcW w:w="1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(114,822)</w:t>
            </w:r>
          </w:p>
        </w:tc>
      </w:tr>
      <w:tr>
        <w:trPr>
          <w:trHeight w:val="202"/>
        </w:trPr>
        <w:tc>
          <w:tcPr>
            <w:tcW w:w="20" w:type="dxa"/>
            <w:vAlign w:val="bottom"/>
          </w:tcPr>
          <w:p>
            <w:pPr>
              <w:spacing w:after="0"/>
              <w:rPr>
                <w:sz w:val="17"/>
                <w:szCs w:val="17"/>
                <w:color w:val="auto"/>
              </w:rPr>
            </w:pPr>
          </w:p>
        </w:tc>
        <w:tc>
          <w:tcPr>
            <w:tcW w:w="788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common, at cost - 10,206,829 shares at June 30, 2008; 10,544,259 shares at</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December 31, 2007</w:t>
            </w: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3"/>
              </w:rPr>
              <w:t>(1,090,285)</w:t>
            </w: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(1,129,233)</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6,519,056</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6,485,256</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65,893,428</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64,875,639</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20" w:type="dxa"/>
            <w:vAlign w:val="bottom"/>
            <w:gridSpan w:val="2"/>
          </w:tcPr>
          <w:p>
            <w:pPr>
              <w:jc w:val="right"/>
              <w:ind w:right="710"/>
              <w:spacing w:after="0"/>
              <w:rPr>
                <w:sz w:val="20"/>
                <w:szCs w:val="20"/>
                <w:color w:val="auto"/>
              </w:rPr>
            </w:pPr>
            <w:r>
              <w:rPr>
                <w:rFonts w:ascii="Arial" w:cs="Arial" w:eastAsia="Arial" w:hAnsi="Arial"/>
                <w:sz w:val="14"/>
                <w:szCs w:val="14"/>
                <w:color w:val="auto"/>
              </w:rPr>
              <w:t>Three months ended June 30</w:t>
            </w:r>
          </w:p>
        </w:tc>
        <w:tc>
          <w:tcPr>
            <w:tcW w:w="560" w:type="dxa"/>
            <w:vAlign w:val="bottom"/>
          </w:tcPr>
          <w:p>
            <w:pPr>
              <w:spacing w:after="0"/>
              <w:rPr>
                <w:sz w:val="14"/>
                <w:szCs w:val="14"/>
                <w:color w:val="auto"/>
              </w:rPr>
            </w:pPr>
          </w:p>
        </w:tc>
        <w:tc>
          <w:tcPr>
            <w:tcW w:w="2660" w:type="dxa"/>
            <w:vAlign w:val="bottom"/>
            <w:gridSpan w:val="2"/>
          </w:tcPr>
          <w:p>
            <w:pPr>
              <w:jc w:val="right"/>
              <w:ind w:right="610"/>
              <w:spacing w:after="0"/>
              <w:rPr>
                <w:sz w:val="20"/>
                <w:szCs w:val="20"/>
                <w:color w:val="auto"/>
              </w:rPr>
            </w:pPr>
            <w:r>
              <w:rPr>
                <w:rFonts w:ascii="Arial" w:cs="Arial" w:eastAsia="Arial" w:hAnsi="Arial"/>
                <w:sz w:val="14"/>
                <w:szCs w:val="14"/>
                <w:color w:val="auto"/>
              </w:rPr>
              <w:t>Six months ended June 30</w:t>
            </w:r>
          </w:p>
        </w:tc>
      </w:tr>
      <w:tr>
        <w:trPr>
          <w:trHeight w:val="174"/>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620" w:type="dxa"/>
            <w:vAlign w:val="bottom"/>
          </w:tcPr>
          <w:p>
            <w:pPr>
              <w:spacing w:after="0"/>
              <w:rPr>
                <w:sz w:val="15"/>
                <w:szCs w:val="15"/>
                <w:color w:val="auto"/>
              </w:rPr>
            </w:pPr>
          </w:p>
        </w:tc>
        <w:tc>
          <w:tcPr>
            <w:tcW w:w="1220" w:type="dxa"/>
            <w:vAlign w:val="bottom"/>
          </w:tcPr>
          <w:p>
            <w:pPr>
              <w:jc w:val="right"/>
              <w:ind w:right="691"/>
              <w:spacing w:after="0"/>
              <w:rPr>
                <w:sz w:val="20"/>
                <w:szCs w:val="20"/>
                <w:color w:val="auto"/>
              </w:rPr>
            </w:pPr>
            <w:r>
              <w:rPr>
                <w:rFonts w:ascii="Arial" w:cs="Arial" w:eastAsia="Arial" w:hAnsi="Arial"/>
                <w:sz w:val="14"/>
                <w:szCs w:val="14"/>
                <w:color w:val="auto"/>
              </w:rPr>
              <w:t>2008</w:t>
            </w:r>
          </w:p>
        </w:tc>
        <w:tc>
          <w:tcPr>
            <w:tcW w:w="1600" w:type="dxa"/>
            <w:vAlign w:val="bottom"/>
          </w:tcPr>
          <w:p>
            <w:pPr>
              <w:jc w:val="right"/>
              <w:ind w:right="510"/>
              <w:spacing w:after="0"/>
              <w:rPr>
                <w:sz w:val="20"/>
                <w:szCs w:val="20"/>
                <w:color w:val="auto"/>
              </w:rPr>
            </w:pPr>
            <w:r>
              <w:rPr>
                <w:rFonts w:ascii="Arial" w:cs="Arial" w:eastAsia="Arial" w:hAnsi="Arial"/>
                <w:sz w:val="14"/>
                <w:szCs w:val="14"/>
                <w:color w:val="auto"/>
              </w:rPr>
              <w:t>2007</w:t>
            </w:r>
          </w:p>
        </w:tc>
        <w:tc>
          <w:tcPr>
            <w:tcW w:w="560" w:type="dxa"/>
            <w:vAlign w:val="bottom"/>
          </w:tcPr>
          <w:p>
            <w:pPr>
              <w:spacing w:after="0"/>
              <w:rPr>
                <w:sz w:val="15"/>
                <w:szCs w:val="15"/>
                <w:color w:val="auto"/>
              </w:rPr>
            </w:pPr>
          </w:p>
        </w:tc>
        <w:tc>
          <w:tcPr>
            <w:tcW w:w="1240" w:type="dxa"/>
            <w:vAlign w:val="bottom"/>
          </w:tcPr>
          <w:p>
            <w:pPr>
              <w:jc w:val="right"/>
              <w:ind w:right="651"/>
              <w:spacing w:after="0"/>
              <w:rPr>
                <w:sz w:val="20"/>
                <w:szCs w:val="20"/>
                <w:color w:val="auto"/>
              </w:rPr>
            </w:pPr>
            <w:r>
              <w:rPr>
                <w:rFonts w:ascii="Arial" w:cs="Arial" w:eastAsia="Arial" w:hAnsi="Arial"/>
                <w:sz w:val="14"/>
                <w:szCs w:val="14"/>
                <w:color w:val="auto"/>
              </w:rPr>
              <w:t>2008</w:t>
            </w:r>
          </w:p>
        </w:tc>
        <w:tc>
          <w:tcPr>
            <w:tcW w:w="1420" w:type="dxa"/>
            <w:vAlign w:val="bottom"/>
          </w:tcPr>
          <w:p>
            <w:pPr>
              <w:jc w:val="right"/>
              <w:ind w:right="390"/>
              <w:spacing w:after="0"/>
              <w:rPr>
                <w:sz w:val="20"/>
                <w:szCs w:val="20"/>
                <w:color w:val="auto"/>
              </w:rPr>
            </w:pPr>
            <w:r>
              <w:rPr>
                <w:rFonts w:ascii="Arial" w:cs="Arial" w:eastAsia="Arial" w:hAnsi="Arial"/>
                <w:sz w:val="14"/>
                <w:szCs w:val="14"/>
                <w:color w:val="auto"/>
              </w:rPr>
              <w:t>2007</w:t>
            </w:r>
          </w:p>
        </w:tc>
      </w:tr>
      <w:tr>
        <w:trPr>
          <w:trHeight w:val="216"/>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1"/>
              <w:spacing w:after="0"/>
              <w:rPr>
                <w:sz w:val="20"/>
                <w:szCs w:val="20"/>
                <w:color w:val="auto"/>
              </w:rPr>
            </w:pPr>
            <w:r>
              <w:rPr>
                <w:rFonts w:ascii="Arial" w:cs="Arial" w:eastAsia="Arial" w:hAnsi="Arial"/>
                <w:sz w:val="18"/>
                <w:szCs w:val="18"/>
                <w:color w:val="auto"/>
                <w:w w:val="89"/>
              </w:rPr>
              <w:t>708,083</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786,421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31"/>
              <w:spacing w:after="0"/>
              <w:rPr>
                <w:sz w:val="20"/>
                <w:szCs w:val="20"/>
                <w:color w:val="auto"/>
              </w:rPr>
            </w:pPr>
            <w:r>
              <w:rPr>
                <w:rFonts w:ascii="Arial" w:cs="Arial" w:eastAsia="Arial" w:hAnsi="Arial"/>
                <w:sz w:val="18"/>
                <w:szCs w:val="18"/>
                <w:color w:val="auto"/>
                <w:w w:val="87"/>
              </w:rPr>
              <w:t>1,476,474</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1,554,542</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22</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66</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52</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270</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137</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440</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6,464</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1,311</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11,005</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143</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402</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346</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Fully taxable</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w w:val="89"/>
              </w:rPr>
              <w:t>105,809</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82,129</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216,854</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166,803</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Exempt from federal taxes</w:t>
            </w:r>
          </w:p>
        </w:tc>
        <w:tc>
          <w:tcPr>
            <w:tcW w:w="6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3,025</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2,590</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6,492</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5,866</w:t>
            </w:r>
          </w:p>
        </w:tc>
      </w:tr>
      <w:tr>
        <w:trPr>
          <w:trHeight w:val="230"/>
        </w:trPr>
        <w:tc>
          <w:tcPr>
            <w:tcW w:w="20" w:type="dxa"/>
            <w:vAlign w:val="bottom"/>
          </w:tcPr>
          <w:p>
            <w:pPr>
              <w:spacing w:after="0"/>
              <w:rPr>
                <w:sz w:val="20"/>
                <w:szCs w:val="20"/>
                <w:color w:val="auto"/>
              </w:rPr>
            </w:pPr>
          </w:p>
        </w:tc>
        <w:tc>
          <w:tcPr>
            <w:tcW w:w="47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interest income</w:t>
            </w:r>
          </w:p>
        </w:tc>
        <w:tc>
          <w:tcPr>
            <w:tcW w:w="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9"/>
              </w:rPr>
              <w:t>817,574</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878,176</w:t>
            </w: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w w:val="87"/>
              </w:rPr>
              <w:t>1,701,736</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1,739,225</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629</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1,647</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2,191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60,317</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60,953</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126,939</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121,795</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79,467</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124,020</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186,110</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260,702</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22,075</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48,001</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60,448</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95,650</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42,612</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73,500</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104,233</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137,064</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6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89"/>
              </w:rPr>
              <w:t>125,842</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108,766</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256,877</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209,484</w:t>
            </w:r>
          </w:p>
        </w:tc>
      </w:tr>
      <w:tr>
        <w:trPr>
          <w:trHeight w:val="230"/>
        </w:trPr>
        <w:tc>
          <w:tcPr>
            <w:tcW w:w="20" w:type="dxa"/>
            <w:vAlign w:val="bottom"/>
          </w:tcPr>
          <w:p>
            <w:pPr>
              <w:spacing w:after="0"/>
              <w:rPr>
                <w:sz w:val="20"/>
                <w:szCs w:val="20"/>
                <w:color w:val="auto"/>
              </w:rPr>
            </w:pPr>
          </w:p>
        </w:tc>
        <w:tc>
          <w:tcPr>
            <w:tcW w:w="47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interest expense</w:t>
            </w:r>
          </w:p>
        </w:tc>
        <w:tc>
          <w:tcPr>
            <w:tcW w:w="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9"/>
              </w:rPr>
              <w:t>330,942</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416,264</w:t>
            </w: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736,254</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826,886</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9"/>
              </w:rPr>
              <w:t>486,632</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461,912</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965,482</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912,339</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Provision for credit losses</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9"/>
              </w:rPr>
              <w:t>100,000</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30,000</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160,000</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57,000</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6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89"/>
              </w:rPr>
              <w:t>386,632</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431,912</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805,482</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855,339</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38,219</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35,546</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78,289</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49,419</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w w:val="89"/>
              </w:rPr>
              <w:t>110,340</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104,626</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213,794</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199,213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40,426</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37,550</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80,730</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74,523</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17,211</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16,654</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32,684</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31,866</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6,636</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6,963</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11,349</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13,186</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Gain (loss) on bank investment securities</w:t>
            </w:r>
          </w:p>
        </w:tc>
        <w:tc>
          <w:tcPr>
            <w:tcW w:w="62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8"/>
                <w:szCs w:val="18"/>
                <w:color w:val="auto"/>
              </w:rPr>
              <w:t>(5,421)</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260</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28,026</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1,323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5"/>
              </w:rPr>
              <w:t>(13,026)</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8,128</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(14,286)</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5,700</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revenues from operations</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76,797</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73,390</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153,259</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144,370</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Total other income</w:t>
            </w:r>
          </w:p>
        </w:tc>
        <w:tc>
          <w:tcPr>
            <w:tcW w:w="6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89"/>
              </w:rPr>
              <w:t>271,182</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283,117</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583,845</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519,600</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expense</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employee benefits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9"/>
              </w:rPr>
              <w:t>236,127</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224,700</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487,998</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461,454</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Equipment and net occupancy</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47,252</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41,099</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94,017</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83,945</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Printing, postage and supplies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9,120</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8,984</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19,016</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17,890</w:t>
            </w: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62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16,615</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16,457</w:t>
            </w:r>
          </w:p>
        </w:tc>
        <w:tc>
          <w:tcPr>
            <w:tcW w:w="56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35,098</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34,813</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6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89"/>
              </w:rPr>
              <w:t>110,596</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101,411</w:t>
            </w: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209,285</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193,586</w:t>
            </w:r>
          </w:p>
        </w:tc>
      </w:tr>
      <w:tr>
        <w:trPr>
          <w:trHeight w:val="230"/>
        </w:trPr>
        <w:tc>
          <w:tcPr>
            <w:tcW w:w="20" w:type="dxa"/>
            <w:vAlign w:val="bottom"/>
          </w:tcPr>
          <w:p>
            <w:pPr>
              <w:spacing w:after="0"/>
              <w:rPr>
                <w:sz w:val="20"/>
                <w:szCs w:val="20"/>
                <w:color w:val="auto"/>
              </w:rPr>
            </w:pPr>
          </w:p>
        </w:tc>
        <w:tc>
          <w:tcPr>
            <w:tcW w:w="47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other expense</w:t>
            </w:r>
          </w:p>
        </w:tc>
        <w:tc>
          <w:tcPr>
            <w:tcW w:w="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w w:val="89"/>
              </w:rPr>
              <w:t>419,710</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392,651</w:t>
            </w: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845,414</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791,688</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9"/>
              </w:rPr>
              <w:t>238,104</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322,378</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543,913</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583,251</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w:t>
            </w: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77,839</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108,209</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181,452</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193,109</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89"/>
              </w:rPr>
              <w:t>160,265</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214,169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362,461</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390,142</w:t>
            </w:r>
          </w:p>
        </w:tc>
      </w:tr>
      <w:tr>
        <w:trPr>
          <w:trHeight w:val="20"/>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1.45</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3.29</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3.59</w:t>
            </w:r>
          </w:p>
        </w:tc>
      </w:tr>
      <w:tr>
        <w:trPr>
          <w:trHeight w:val="230"/>
        </w:trPr>
        <w:tc>
          <w:tcPr>
            <w:tcW w:w="20" w:type="dxa"/>
            <w:vAlign w:val="bottom"/>
          </w:tcPr>
          <w:p>
            <w:pPr>
              <w:spacing w:after="0"/>
              <w:rPr>
                <w:sz w:val="20"/>
                <w:szCs w:val="20"/>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rPr>
              <w:t>1.44</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1.95</w:t>
            </w:r>
          </w:p>
        </w:tc>
        <w:tc>
          <w:tcPr>
            <w:tcW w:w="560" w:type="dxa"/>
            <w:vAlign w:val="bottom"/>
          </w:tcPr>
          <w:p>
            <w:pPr>
              <w:spacing w:after="0"/>
              <w:rPr>
                <w:sz w:val="20"/>
                <w:szCs w:val="20"/>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3.26</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3.51</w:t>
            </w:r>
          </w:p>
        </w:tc>
      </w:tr>
      <w:tr>
        <w:trPr>
          <w:trHeight w:val="202"/>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per common share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.70</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1.40</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w:t>
            </w:r>
          </w:p>
        </w:tc>
      </w:tr>
      <w:tr>
        <w:trPr>
          <w:trHeight w:val="432"/>
        </w:trPr>
        <w:tc>
          <w:tcPr>
            <w:tcW w:w="20" w:type="dxa"/>
            <w:vAlign w:val="bottom"/>
          </w:tcPr>
          <w:p>
            <w:pPr>
              <w:spacing w:after="0"/>
              <w:rPr>
                <w:sz w:val="24"/>
                <w:szCs w:val="24"/>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Average common shares outstanding</w:t>
            </w: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89"/>
              </w:rPr>
              <w:t>110,191</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107,939</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110,104</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108,811</w:t>
            </w:r>
          </w:p>
        </w:tc>
      </w:tr>
      <w:tr>
        <w:trPr>
          <w:trHeight w:val="230"/>
        </w:trPr>
        <w:tc>
          <w:tcPr>
            <w:tcW w:w="20" w:type="dxa"/>
            <w:vAlign w:val="bottom"/>
          </w:tcPr>
          <w:p>
            <w:pPr>
              <w:spacing w:after="0"/>
              <w:rPr>
                <w:sz w:val="20"/>
                <w:szCs w:val="20"/>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color w:val="auto"/>
                <w:w w:val="89"/>
              </w:rPr>
              <w:t>111,227</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109,919</w:t>
            </w:r>
          </w:p>
        </w:tc>
        <w:tc>
          <w:tcPr>
            <w:tcW w:w="560" w:type="dxa"/>
            <w:vAlign w:val="bottom"/>
          </w:tcPr>
          <w:p>
            <w:pPr>
              <w:spacing w:after="0"/>
              <w:rPr>
                <w:sz w:val="20"/>
                <w:szCs w:val="20"/>
                <w:color w:val="auto"/>
              </w:rPr>
            </w:pPr>
          </w:p>
        </w:tc>
        <w:tc>
          <w:tcPr>
            <w:tcW w:w="1240" w:type="dxa"/>
            <w:vAlign w:val="bottom"/>
          </w:tcPr>
          <w:p>
            <w:pPr>
              <w:jc w:val="right"/>
              <w:ind w:right="431"/>
              <w:spacing w:after="0"/>
              <w:rPr>
                <w:sz w:val="20"/>
                <w:szCs w:val="20"/>
                <w:color w:val="auto"/>
              </w:rPr>
            </w:pPr>
            <w:r>
              <w:rPr>
                <w:rFonts w:ascii="Arial" w:cs="Arial" w:eastAsia="Arial" w:hAnsi="Arial"/>
                <w:sz w:val="18"/>
                <w:szCs w:val="18"/>
                <w:color w:val="auto"/>
              </w:rPr>
              <w:t>111,097</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111,046</w:t>
            </w:r>
          </w:p>
        </w:tc>
      </w:tr>
      <w:tr>
        <w:trPr>
          <w:trHeight w:val="39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jc w:val="right"/>
              <w:ind w:right="691"/>
              <w:spacing w:after="0"/>
              <w:rPr>
                <w:sz w:val="20"/>
                <w:szCs w:val="20"/>
                <w:color w:val="auto"/>
              </w:rPr>
            </w:pPr>
            <w:r>
              <w:rPr>
                <w:rFonts w:ascii="Arial" w:cs="Arial" w:eastAsia="Arial" w:hAnsi="Arial"/>
                <w:sz w:val="18"/>
                <w:szCs w:val="18"/>
                <w:color w:val="auto"/>
              </w:rPr>
              <w:t>-4-</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80" w:type="dxa"/>
            <w:vAlign w:val="bottom"/>
            <w:gridSpan w:val="2"/>
          </w:tcPr>
          <w:p>
            <w:pPr>
              <w:jc w:val="right"/>
              <w:ind w:right="810"/>
              <w:spacing w:after="0"/>
              <w:rPr>
                <w:sz w:val="20"/>
                <w:szCs w:val="20"/>
                <w:color w:val="auto"/>
              </w:rPr>
            </w:pPr>
            <w:r>
              <w:rPr>
                <w:rFonts w:ascii="Arial" w:cs="Arial" w:eastAsia="Arial" w:hAnsi="Arial"/>
                <w:sz w:val="14"/>
                <w:szCs w:val="14"/>
                <w:color w:val="auto"/>
              </w:rPr>
              <w:t>Six months ended June 30</w:t>
            </w:r>
          </w:p>
        </w:tc>
      </w:tr>
      <w:tr>
        <w:trPr>
          <w:trHeight w:val="174"/>
        </w:trPr>
        <w:tc>
          <w:tcPr>
            <w:tcW w:w="7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5"/>
                <w:szCs w:val="15"/>
                <w:color w:val="auto"/>
              </w:rPr>
            </w:pPr>
          </w:p>
        </w:tc>
        <w:tc>
          <w:tcPr>
            <w:tcW w:w="1360" w:type="dxa"/>
            <w:vAlign w:val="bottom"/>
          </w:tcPr>
          <w:p>
            <w:pPr>
              <w:jc w:val="right"/>
              <w:ind w:right="711"/>
              <w:spacing w:after="0"/>
              <w:rPr>
                <w:sz w:val="20"/>
                <w:szCs w:val="20"/>
                <w:color w:val="auto"/>
              </w:rPr>
            </w:pPr>
            <w:r>
              <w:rPr>
                <w:rFonts w:ascii="Arial" w:cs="Arial" w:eastAsia="Arial" w:hAnsi="Arial"/>
                <w:sz w:val="14"/>
                <w:szCs w:val="14"/>
                <w:color w:val="auto"/>
              </w:rPr>
              <w:t>2008</w:t>
            </w:r>
          </w:p>
        </w:tc>
        <w:tc>
          <w:tcPr>
            <w:tcW w:w="1620" w:type="dxa"/>
            <w:vAlign w:val="bottom"/>
          </w:tcPr>
          <w:p>
            <w:pPr>
              <w:jc w:val="right"/>
              <w:ind w:right="470"/>
              <w:spacing w:after="0"/>
              <w:rPr>
                <w:sz w:val="20"/>
                <w:szCs w:val="20"/>
                <w:color w:val="auto"/>
              </w:rPr>
            </w:pPr>
            <w:r>
              <w:rPr>
                <w:rFonts w:ascii="Arial" w:cs="Arial" w:eastAsia="Arial" w:hAnsi="Arial"/>
                <w:sz w:val="14"/>
                <w:szCs w:val="14"/>
                <w:color w:val="auto"/>
              </w:rPr>
              <w:t>2007</w:t>
            </w:r>
          </w:p>
        </w:tc>
      </w:tr>
      <w:tr>
        <w:trPr>
          <w:trHeight w:val="216"/>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362,461</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390,142</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Provision for credit losses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160,000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57,000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 of premises and equipment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26,215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24,782</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Amortization of capitalized servicing rights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32,723</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30,994</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core deposit and other intangible assets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35,098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34,813</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Provision for deferred income taxes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(14,312)</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(31,717)</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Asset write-downs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6,559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12,199</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Net gain on sales of assets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(29,608)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(6,491)</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accrued interest receivable, payable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7,808</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(1,538)</w:t>
            </w:r>
          </w:p>
        </w:tc>
      </w:tr>
      <w:tr>
        <w:trPr>
          <w:trHeight w:val="216"/>
        </w:trPr>
        <w:tc>
          <w:tcPr>
            <w:tcW w:w="20" w:type="dxa"/>
            <w:vAlign w:val="bottom"/>
          </w:tcPr>
          <w:p>
            <w:pPr>
              <w:spacing w:after="0"/>
              <w:rPr>
                <w:sz w:val="18"/>
                <w:szCs w:val="18"/>
                <w:color w:val="auto"/>
              </w:rPr>
            </w:pPr>
          </w:p>
        </w:tc>
        <w:tc>
          <w:tcPr>
            <w:tcW w:w="7140" w:type="dxa"/>
            <w:vAlign w:val="bottom"/>
          </w:tcPr>
          <w:p>
            <w:pPr>
              <w:ind w:left="600"/>
              <w:spacing w:after="0"/>
              <w:rPr>
                <w:sz w:val="20"/>
                <w:szCs w:val="20"/>
                <w:color w:val="auto"/>
              </w:rPr>
            </w:pPr>
            <w:r>
              <w:rPr>
                <w:rFonts w:ascii="Arial" w:cs="Arial" w:eastAsia="Arial" w:hAnsi="Arial"/>
                <w:sz w:val="18"/>
                <w:szCs w:val="18"/>
                <w:color w:val="auto"/>
              </w:rPr>
              <w:t>Net change in other accrued income and expense</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(46,326)</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7,917</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change in loans originated for sale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260,987</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80,018</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 change in trading account assets and liabilities</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42,718</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(10,158)</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844,323</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587,961</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53,610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36,261</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38,689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1,625</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4"/>
              </w:rPr>
              <w:t>1,251,121</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988,866</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29,023</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21,108</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(667,060)</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(748,010)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(25,668)</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(19,383)</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(137,684)</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(36,260)</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agreements to resell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(240,000)</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increase in loans and leases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w w:val="89"/>
              </w:rPr>
              <w:t>(2,116,001)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(956,527)</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net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(4,925)</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(306,823)</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Additions to capitalized servicing rights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(15,744)</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(28,406)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(24,196)</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(19,614)</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(43,791)</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(18,263)</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89"/>
              </w:rPr>
              <w:t>(1,902,626)</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(1,285,426)</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deposits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663,520</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(491,050)</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decrease in short-term borrowings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w w:val="89"/>
              </w:rPr>
              <w:t>(2,060,092)</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(161,133)</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borrowings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4"/>
              </w:rPr>
              <w:t>3,650,010</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1,599,895</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Payments on long-term borrowings</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w w:val="89"/>
              </w:rPr>
              <w:t>(1,175,977)</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(27,876)</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(424,995)</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Dividends paid — common</w:t>
            </w:r>
          </w:p>
        </w:tc>
        <w:tc>
          <w:tcPr>
            <w:tcW w:w="1280" w:type="dxa"/>
            <w:vAlign w:val="bottom"/>
          </w:tcPr>
          <w:p>
            <w:pPr>
              <w:spacing w:after="0"/>
              <w:rPr>
                <w:sz w:val="18"/>
                <w:szCs w:val="18"/>
                <w:color w:val="auto"/>
              </w:rPr>
            </w:pPr>
          </w:p>
        </w:tc>
        <w:tc>
          <w:tcPr>
            <w:tcW w:w="1360" w:type="dxa"/>
            <w:vAlign w:val="bottom"/>
          </w:tcPr>
          <w:p>
            <w:pPr>
              <w:jc w:val="right"/>
              <w:ind w:right="431"/>
              <w:spacing w:after="0"/>
              <w:rPr>
                <w:sz w:val="20"/>
                <w:szCs w:val="20"/>
                <w:color w:val="auto"/>
              </w:rPr>
            </w:pPr>
            <w:r>
              <w:rPr>
                <w:rFonts w:ascii="Arial" w:cs="Arial" w:eastAsia="Arial" w:hAnsi="Arial"/>
                <w:sz w:val="18"/>
                <w:szCs w:val="18"/>
                <w:color w:val="auto"/>
              </w:rPr>
              <w:t>(154,121)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(130,191)</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5,919</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44,669</w:t>
            </w:r>
          </w:p>
        </w:tc>
      </w:tr>
      <w:tr>
        <w:trPr>
          <w:trHeight w:val="230"/>
        </w:trPr>
        <w:tc>
          <w:tcPr>
            <w:tcW w:w="20" w:type="dxa"/>
            <w:vAlign w:val="bottom"/>
          </w:tcPr>
          <w:p>
            <w:pPr>
              <w:spacing w:after="0"/>
              <w:rPr>
                <w:sz w:val="20"/>
                <w:szCs w:val="20"/>
                <w:color w:val="auto"/>
              </w:rPr>
            </w:pPr>
          </w:p>
        </w:tc>
        <w:tc>
          <w:tcPr>
            <w:tcW w:w="7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929,259</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409,319</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(129,044)</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(288,146)</w:t>
            </w: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4"/>
              </w:rPr>
              <w:t>1,767,547</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1,624,964</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4"/>
              </w:rPr>
              <w:t>1,638,503</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1,336,818</w:t>
            </w: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received during the period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4"/>
              </w:rPr>
              <w:t>1,763,523</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1,753,066</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775,474</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833,608</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taxes paid during the period</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rPr>
              <w:t>186,313</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200,556</w:t>
            </w:r>
          </w:p>
        </w:tc>
      </w:tr>
      <w:tr>
        <w:trPr>
          <w:trHeight w:val="20"/>
        </w:trPr>
        <w:tc>
          <w:tcPr>
            <w:tcW w:w="7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acquired in settlement of loans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40,314</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15,342</w:t>
            </w: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Securitization of residential mortgage loans allocated to</w:t>
            </w: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 investment securities</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541,196</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Capitalized servicing rights</w:t>
            </w:r>
          </w:p>
        </w:tc>
        <w:tc>
          <w:tcPr>
            <w:tcW w:w="1280" w:type="dxa"/>
            <w:vAlign w:val="bottom"/>
          </w:tcPr>
          <w:p>
            <w:pPr>
              <w:spacing w:after="0"/>
              <w:rPr>
                <w:sz w:val="18"/>
                <w:szCs w:val="18"/>
                <w:color w:val="auto"/>
              </w:rPr>
            </w:pPr>
          </w:p>
        </w:tc>
        <w:tc>
          <w:tcPr>
            <w:tcW w:w="1360" w:type="dxa"/>
            <w:vAlign w:val="bottom"/>
          </w:tcPr>
          <w:p>
            <w:pPr>
              <w:jc w:val="right"/>
              <w:ind w:right="491"/>
              <w:spacing w:after="0"/>
              <w:rPr>
                <w:sz w:val="20"/>
                <w:szCs w:val="20"/>
                <w:color w:val="auto"/>
              </w:rPr>
            </w:pPr>
            <w:r>
              <w:rPr>
                <w:rFonts w:ascii="Arial" w:cs="Arial" w:eastAsia="Arial" w:hAnsi="Arial"/>
                <w:sz w:val="18"/>
                <w:szCs w:val="18"/>
                <w:color w:val="auto"/>
              </w:rPr>
              <w:t>4,940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held for sale transferred to loans held for investment</w:t>
            </w:r>
          </w:p>
        </w:tc>
        <w:tc>
          <w:tcPr>
            <w:tcW w:w="1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870,759</w:t>
            </w:r>
          </w:p>
        </w:tc>
      </w:tr>
      <w:tr>
        <w:trPr>
          <w:trHeight w:val="405"/>
        </w:trPr>
        <w:tc>
          <w:tcPr>
            <w:tcW w:w="7160" w:type="dxa"/>
            <w:vAlign w:val="bottom"/>
            <w:gridSpan w:val="2"/>
          </w:tcPr>
          <w:p>
            <w:pPr>
              <w:jc w:val="right"/>
              <w:ind w:right="1250"/>
              <w:spacing w:after="0"/>
              <w:rPr>
                <w:sz w:val="20"/>
                <w:szCs w:val="20"/>
                <w:color w:val="auto"/>
              </w:rPr>
            </w:pPr>
            <w:r>
              <w:rPr>
                <w:rFonts w:ascii="Arial" w:cs="Arial" w:eastAsia="Arial" w:hAnsi="Arial"/>
                <w:sz w:val="18"/>
                <w:szCs w:val="18"/>
                <w:color w:val="auto"/>
              </w:rPr>
              <w:t>-5-</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color w:val="auto"/>
              </w:rPr>
              <w:t>Accumulated</w:t>
            </w: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other</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Common</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Additional</w:t>
            </w:r>
          </w:p>
        </w:tc>
        <w:tc>
          <w:tcPr>
            <w:tcW w:w="1160" w:type="dxa"/>
            <w:vAlign w:val="bottom"/>
          </w:tcPr>
          <w:p>
            <w:pPr>
              <w:spacing w:after="0"/>
              <w:rPr>
                <w:sz w:val="12"/>
                <w:szCs w:val="12"/>
                <w:color w:val="auto"/>
              </w:rPr>
            </w:pP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comprehensive</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151"/>
              <w:spacing w:after="0" w:line="149" w:lineRule="exact"/>
              <w:rPr>
                <w:sz w:val="20"/>
                <w:szCs w:val="20"/>
                <w:color w:val="auto"/>
              </w:rPr>
            </w:pPr>
            <w:r>
              <w:rPr>
                <w:rFonts w:ascii="Arial" w:cs="Arial" w:eastAsia="Arial" w:hAnsi="Arial"/>
                <w:sz w:val="14"/>
                <w:szCs w:val="14"/>
                <w:color w:val="auto"/>
                <w:w w:val="89"/>
              </w:rPr>
              <w:t>Preferred</w:t>
            </w:r>
          </w:p>
        </w:tc>
        <w:tc>
          <w:tcPr>
            <w:tcW w:w="102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Common</w:t>
            </w: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stock</w:t>
            </w:r>
          </w:p>
        </w:tc>
        <w:tc>
          <w:tcPr>
            <w:tcW w:w="12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paid-in</w:t>
            </w:r>
          </w:p>
        </w:tc>
        <w:tc>
          <w:tcPr>
            <w:tcW w:w="11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Retained</w:t>
            </w:r>
          </w:p>
        </w:tc>
        <w:tc>
          <w:tcPr>
            <w:tcW w:w="13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income (loss),</w:t>
            </w:r>
          </w:p>
        </w:tc>
        <w:tc>
          <w:tcPr>
            <w:tcW w:w="140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Treasury</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260" w:type="dxa"/>
            <w:vAlign w:val="bottom"/>
            <w:gridSpan w:val="2"/>
          </w:tcPr>
          <w:p>
            <w:pPr>
              <w:spacing w:after="0"/>
              <w:rPr>
                <w:sz w:val="20"/>
                <w:szCs w:val="20"/>
                <w:color w:val="auto"/>
              </w:rPr>
            </w:pPr>
            <w:r>
              <w:rPr>
                <w:rFonts w:ascii="Arial" w:cs="Arial" w:eastAsia="Arial" w:hAnsi="Arial"/>
                <w:sz w:val="14"/>
                <w:szCs w:val="14"/>
                <w:color w:val="auto"/>
              </w:rPr>
              <w:t>In thousands, except per share</w:t>
            </w:r>
          </w:p>
        </w:tc>
        <w:tc>
          <w:tcPr>
            <w:tcW w:w="24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stock</w:t>
            </w:r>
          </w:p>
        </w:tc>
        <w:tc>
          <w:tcPr>
            <w:tcW w:w="1080" w:type="dxa"/>
            <w:vAlign w:val="bottom"/>
          </w:tcPr>
          <w:p>
            <w:pPr>
              <w:jc w:val="right"/>
              <w:ind w:right="212"/>
              <w:spacing w:after="0"/>
              <w:rPr>
                <w:sz w:val="20"/>
                <w:szCs w:val="20"/>
                <w:color w:val="auto"/>
              </w:rPr>
            </w:pPr>
            <w:r>
              <w:rPr>
                <w:rFonts w:ascii="Arial" w:cs="Arial" w:eastAsia="Arial" w:hAnsi="Arial"/>
                <w:sz w:val="14"/>
                <w:szCs w:val="14"/>
                <w:color w:val="auto"/>
              </w:rPr>
              <w:t>issuable</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capital</w:t>
            </w: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earnings</w:t>
            </w:r>
          </w:p>
        </w:tc>
        <w:tc>
          <w:tcPr>
            <w:tcW w:w="1320" w:type="dxa"/>
            <w:vAlign w:val="bottom"/>
          </w:tcPr>
          <w:p>
            <w:pPr>
              <w:jc w:val="right"/>
              <w:ind w:right="193"/>
              <w:spacing w:after="0"/>
              <w:rPr>
                <w:sz w:val="20"/>
                <w:szCs w:val="20"/>
                <w:color w:val="auto"/>
              </w:rPr>
            </w:pPr>
            <w:r>
              <w:rPr>
                <w:rFonts w:ascii="Arial" w:cs="Arial" w:eastAsia="Arial" w:hAnsi="Arial"/>
                <w:sz w:val="14"/>
                <w:szCs w:val="14"/>
                <w:color w:val="auto"/>
              </w:rPr>
              <w:t>net</w:t>
            </w:r>
          </w:p>
        </w:tc>
        <w:tc>
          <w:tcPr>
            <w:tcW w:w="1400" w:type="dxa"/>
            <w:vAlign w:val="bottom"/>
          </w:tcPr>
          <w:p>
            <w:pPr>
              <w:jc w:val="right"/>
              <w:ind w:right="311"/>
              <w:spacing w:after="0"/>
              <w:rPr>
                <w:sz w:val="20"/>
                <w:szCs w:val="20"/>
                <w:color w:val="auto"/>
              </w:rPr>
            </w:pPr>
            <w:r>
              <w:rPr>
                <w:rFonts w:ascii="Arial" w:cs="Arial" w:eastAsia="Arial" w:hAnsi="Arial"/>
                <w:sz w:val="14"/>
                <w:szCs w:val="14"/>
                <w:color w:val="auto"/>
              </w:rPr>
              <w:t>stock</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Balance — January 1, 2007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5,060</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2,889,449</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4,443,441</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(53,574)</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(1,063,479)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6,281,095</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390,142</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390,142</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investment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(14,358)</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(14,358)</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liablity adjustment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(285)</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gains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cash flow hedge</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1,384</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376,883</w:t>
            </w: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240" w:type="dxa"/>
            <w:vAlign w:val="bottom"/>
          </w:tcPr>
          <w:p>
            <w:pPr>
              <w:spacing w:after="0"/>
              <w:rPr>
                <w:sz w:val="24"/>
                <w:szCs w:val="24"/>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(424,995)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(424,995)</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w w:val="94"/>
              </w:rPr>
              <w:t>Stock option and purchase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29,960</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29,960</w:t>
            </w: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(23,808)</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65,682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41,874</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76</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626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(254)</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(438)</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771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cash</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 $1.20 per</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(130,191)</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(130,191)</w:t>
            </w:r>
          </w:p>
        </w:tc>
      </w:tr>
      <w:tr>
        <w:trPr>
          <w:trHeight w:val="223"/>
        </w:trPr>
        <w:tc>
          <w:tcPr>
            <w:tcW w:w="20" w:type="dxa"/>
            <w:vAlign w:val="bottom"/>
          </w:tcPr>
          <w:p>
            <w:pPr>
              <w:spacing w:after="0"/>
              <w:rPr>
                <w:sz w:val="19"/>
                <w:szCs w:val="19"/>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 June 30, 2007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4,806</w:t>
            </w: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2,895,239</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4,703,292</w:t>
            </w: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(66,833)</w:t>
            </w: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(1,421,395)</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6,175,307</w:t>
            </w: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9"/>
              </w:rPr>
              <w:t>Balance — January 1, 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60,198</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4,776</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2,848,752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4,815,585</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(114,822)</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(1,129,233)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6,485,256</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362,461</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362,461</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net of tax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reclassification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investment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(212,309)</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(212,309)</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Defined benefit plans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liability adjustment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(699)</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r>
      <w:tr>
        <w:trPr>
          <w:trHeight w:val="202"/>
        </w:trPr>
        <w:tc>
          <w:tcPr>
            <w:tcW w:w="20" w:type="dxa"/>
            <w:vAlign w:val="bottom"/>
          </w:tcPr>
          <w:p>
            <w:pPr>
              <w:spacing w:after="0"/>
              <w:rPr>
                <w:sz w:val="17"/>
                <w:szCs w:val="17"/>
                <w:color w:val="auto"/>
              </w:rPr>
            </w:pPr>
          </w:p>
        </w:tc>
        <w:tc>
          <w:tcPr>
            <w:tcW w:w="2240" w:type="dxa"/>
            <w:vAlign w:val="bottom"/>
          </w:tcPr>
          <w:p>
            <w:pPr>
              <w:ind w:left="400"/>
              <w:spacing w:after="0" w:line="201" w:lineRule="exact"/>
              <w:rPr>
                <w:sz w:val="20"/>
                <w:szCs w:val="20"/>
                <w:color w:val="auto"/>
              </w:rPr>
            </w:pPr>
            <w:r>
              <w:rPr>
                <w:rFonts w:ascii="Arial" w:cs="Arial" w:eastAsia="Arial" w:hAnsi="Arial"/>
                <w:sz w:val="18"/>
                <w:szCs w:val="18"/>
                <w:color w:val="auto"/>
              </w:rPr>
              <w:t>Unrealized losses 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40" w:type="dxa"/>
            <w:vAlign w:val="bottom"/>
          </w:tcPr>
          <w:p>
            <w:pPr>
              <w:ind w:left="6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(5,087)</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(5,087)</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144,366</w:t>
            </w:r>
          </w:p>
        </w:tc>
        <w:tc>
          <w:tcPr>
            <w:tcW w:w="100" w:type="dxa"/>
            <w:vAlign w:val="bottom"/>
            <w:shd w:val="clear" w:color="auto" w:fill="CCEEFF"/>
          </w:tcPr>
          <w:p>
            <w:pPr>
              <w:spacing w:after="0"/>
              <w:rPr>
                <w:sz w:val="18"/>
                <w:szCs w:val="18"/>
                <w:color w:val="auto"/>
              </w:rPr>
            </w:pPr>
          </w:p>
        </w:tc>
      </w:tr>
      <w:tr>
        <w:trPr>
          <w:trHeight w:val="418"/>
        </w:trPr>
        <w:tc>
          <w:tcPr>
            <w:tcW w:w="2260" w:type="dxa"/>
            <w:vAlign w:val="bottom"/>
            <w:gridSpan w:val="2"/>
          </w:tcPr>
          <w:p>
            <w:pPr>
              <w:spacing w:after="0"/>
              <w:rPr>
                <w:sz w:val="20"/>
                <w:szCs w:val="20"/>
                <w:color w:val="auto"/>
              </w:rPr>
            </w:pPr>
            <w:r>
              <w:rPr>
                <w:rFonts w:ascii="Arial" w:cs="Arial" w:eastAsia="Arial" w:hAnsi="Arial"/>
                <w:sz w:val="18"/>
                <w:szCs w:val="18"/>
                <w:color w:val="auto"/>
              </w:rPr>
              <w:t>Repayment of management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stock ownership program</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receivable</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72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w w:val="94"/>
              </w:rPr>
              <w:t>Stock option and purchase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Compensation expense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24,949</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3,944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28,893</w:t>
            </w: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240" w:type="dxa"/>
            <w:vAlign w:val="bottom"/>
          </w:tcPr>
          <w:p>
            <w:pPr>
              <w:spacing w:after="0"/>
              <w:rPr>
                <w:sz w:val="18"/>
                <w:szCs w:val="18"/>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(19,518)</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33,346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13,828</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Directors’ stock plan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(223)</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919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r>
      <w:tr>
        <w:trPr>
          <w:trHeight w:val="202"/>
        </w:trPr>
        <w:tc>
          <w:tcPr>
            <w:tcW w:w="20" w:type="dxa"/>
            <w:vAlign w:val="bottom"/>
          </w:tcPr>
          <w:p>
            <w:pPr>
              <w:spacing w:after="0"/>
              <w:rPr>
                <w:sz w:val="17"/>
                <w:szCs w:val="17"/>
                <w:color w:val="auto"/>
              </w:rPr>
            </w:pPr>
          </w:p>
        </w:tc>
        <w:tc>
          <w:tcPr>
            <w:tcW w:w="2240" w:type="dxa"/>
            <w:vAlign w:val="bottom"/>
          </w:tcPr>
          <w:p>
            <w:pPr>
              <w:ind w:left="200"/>
              <w:spacing w:after="0" w:line="201" w:lineRule="exact"/>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plans, net, including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400"/>
              <w:spacing w:after="0"/>
              <w:rPr>
                <w:sz w:val="20"/>
                <w:szCs w:val="20"/>
                <w:color w:val="auto"/>
              </w:rPr>
            </w:pPr>
            <w:r>
              <w:rPr>
                <w:rFonts w:ascii="Arial" w:cs="Arial" w:eastAsia="Arial" w:hAnsi="Arial"/>
                <w:sz w:val="18"/>
                <w:szCs w:val="18"/>
                <w:color w:val="auto"/>
              </w:rPr>
              <w:t>dividend equivalents</w:t>
            </w:r>
          </w:p>
        </w:tc>
        <w:tc>
          <w:tcPr>
            <w:tcW w:w="2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(182)</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1"/>
              <w:spacing w:after="0"/>
              <w:rPr>
                <w:sz w:val="20"/>
                <w:szCs w:val="20"/>
                <w:color w:val="auto"/>
              </w:rPr>
            </w:pPr>
            <w:r>
              <w:rPr>
                <w:rFonts w:ascii="Arial" w:cs="Arial" w:eastAsia="Arial" w:hAnsi="Arial"/>
                <w:sz w:val="18"/>
                <w:szCs w:val="18"/>
                <w:color w:val="auto"/>
              </w:rPr>
              <w:t>739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Common stock cash</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(154,121)</w:t>
            </w:r>
          </w:p>
        </w:tc>
        <w:tc>
          <w:tcPr>
            <w:tcW w:w="13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(154,121)</w:t>
            </w:r>
          </w:p>
        </w:tc>
      </w:tr>
      <w:tr>
        <w:trPr>
          <w:trHeight w:val="177"/>
        </w:trPr>
        <w:tc>
          <w:tcPr>
            <w:tcW w:w="20" w:type="dxa"/>
            <w:vAlign w:val="bottom"/>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419" w:right="239" w:bottom="0" w:gutter="0" w:footer="0" w:header="0"/>
        </w:sectPr>
      </w:pPr>
    </w:p>
    <w:bookmarkStart w:id="7" w:name="page8"/>
    <w:bookmarkEnd w:id="7"/>
    <w:p>
      <w:pPr>
        <w:ind w:left="220"/>
        <w:spacing w:after="0"/>
        <w:rPr>
          <w:sz w:val="20"/>
          <w:szCs w:val="20"/>
          <w:color w:val="auto"/>
        </w:rPr>
      </w:pPr>
      <w:r>
        <w:rPr>
          <w:rFonts w:ascii="Arial" w:cs="Arial" w:eastAsia="Arial" w:hAnsi="Arial"/>
          <w:sz w:val="18"/>
          <w:szCs w:val="18"/>
          <w:color w:val="auto"/>
        </w:rPr>
        <w:t>dividends — $1.40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Balance — June 30, 2008</w:t>
            </w:r>
          </w:p>
        </w:tc>
        <w:tc>
          <w:tcPr>
            <w:tcW w:w="5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60,198</w:t>
            </w: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4,594</w:t>
            </w:r>
          </w:p>
        </w:tc>
        <w:tc>
          <w:tcPr>
            <w:tcW w:w="12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2,853,649</w:t>
            </w:r>
          </w:p>
        </w:tc>
        <w:tc>
          <w:tcPr>
            <w:tcW w:w="13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5,023,817</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(332,917)</w:t>
            </w:r>
          </w:p>
        </w:tc>
        <w:tc>
          <w:tcPr>
            <w:tcW w:w="1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(1,090,285)</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6,519,056</w:t>
            </w: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gridSpan w:val="7"/>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7880" w:type="dxa"/>
            <w:vAlign w:val="bottom"/>
            <w:gridSpan w:val="8"/>
          </w:tcPr>
          <w:p>
            <w:pPr>
              <w:spacing w:after="0"/>
              <w:rPr>
                <w:sz w:val="20"/>
                <w:szCs w:val="20"/>
                <w:color w:val="auto"/>
              </w:rPr>
            </w:pPr>
            <w:r>
              <w:rPr>
                <w:rFonts w:ascii="Arial" w:cs="Arial" w:eastAsia="Arial" w:hAnsi="Arial"/>
                <w:sz w:val="18"/>
                <w:szCs w:val="18"/>
                <w:color w:val="auto"/>
                <w:w w:val="98"/>
              </w:rPr>
              <w:t>CONSOLIDATED SUMMARY OF CHANGES IN ALLOWANCE FOR CREDIT LOSSES (Unaudited)</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gridSpan w:val="2"/>
          </w:tcPr>
          <w:p>
            <w:pPr>
              <w:jc w:val="right"/>
              <w:ind w:right="332"/>
              <w:spacing w:after="0"/>
              <w:rPr>
                <w:sz w:val="20"/>
                <w:szCs w:val="20"/>
                <w:color w:val="auto"/>
              </w:rPr>
            </w:pPr>
            <w:r>
              <w:rPr>
                <w:rFonts w:ascii="Arial" w:cs="Arial" w:eastAsia="Arial" w:hAnsi="Arial"/>
                <w:sz w:val="14"/>
                <w:szCs w:val="14"/>
                <w:color w:val="auto"/>
              </w:rPr>
              <w:t>Six months ended June 30</w:t>
            </w:r>
          </w:p>
        </w:tc>
      </w:tr>
      <w:tr>
        <w:trPr>
          <w:trHeight w:val="174"/>
        </w:trPr>
        <w:tc>
          <w:tcPr>
            <w:tcW w:w="2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jc w:val="right"/>
              <w:ind w:right="334"/>
              <w:spacing w:after="0"/>
              <w:rPr>
                <w:sz w:val="20"/>
                <w:szCs w:val="20"/>
                <w:color w:val="auto"/>
              </w:rPr>
            </w:pPr>
            <w:r>
              <w:rPr>
                <w:rFonts w:ascii="Arial" w:cs="Arial" w:eastAsia="Arial" w:hAnsi="Arial"/>
                <w:sz w:val="14"/>
                <w:szCs w:val="14"/>
                <w:color w:val="auto"/>
              </w:rPr>
              <w:t>2008</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2007</w:t>
            </w:r>
          </w:p>
        </w:tc>
      </w:tr>
      <w:tr>
        <w:trPr>
          <w:trHeight w:val="216"/>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$ 759,439</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649,948</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334"/>
              <w:spacing w:after="0"/>
              <w:rPr>
                <w:sz w:val="20"/>
                <w:szCs w:val="20"/>
                <w:color w:val="auto"/>
              </w:rPr>
            </w:pPr>
            <w:r>
              <w:rPr>
                <w:rFonts w:ascii="Arial" w:cs="Arial" w:eastAsia="Arial" w:hAnsi="Arial"/>
                <w:sz w:val="18"/>
                <w:szCs w:val="18"/>
                <w:color w:val="auto"/>
              </w:rPr>
              <w:t>160,000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57,000</w:t>
            </w: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Allowance related to loans sold or securitized</w:t>
            </w: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(327)</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Net charge-offs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(165,404)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(53,067)</w:t>
            </w:r>
          </w:p>
        </w:tc>
      </w:tr>
      <w:tr>
        <w:trPr>
          <w:trHeight w:val="223"/>
        </w:trPr>
        <w:tc>
          <w:tcPr>
            <w:tcW w:w="20" w:type="dxa"/>
            <w:vAlign w:val="bottom"/>
          </w:tcPr>
          <w:p>
            <w:pPr>
              <w:spacing w:after="0"/>
              <w:rPr>
                <w:sz w:val="19"/>
                <w:szCs w:val="19"/>
                <w:color w:val="auto"/>
              </w:rPr>
            </w:pPr>
          </w:p>
        </w:tc>
        <w:tc>
          <w:tcPr>
            <w:tcW w:w="2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Recoveries</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20,368</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14,257</w:t>
            </w:r>
          </w:p>
        </w:tc>
      </w:tr>
      <w:tr>
        <w:trPr>
          <w:trHeight w:val="216"/>
        </w:trPr>
        <w:tc>
          <w:tcPr>
            <w:tcW w:w="20" w:type="dxa"/>
            <w:vAlign w:val="bottom"/>
          </w:tcPr>
          <w:p>
            <w:pPr>
              <w:spacing w:after="0"/>
              <w:rPr>
                <w:sz w:val="18"/>
                <w:szCs w:val="18"/>
                <w:color w:val="auto"/>
              </w:rPr>
            </w:pPr>
          </w:p>
        </w:tc>
        <w:tc>
          <w:tcPr>
            <w:tcW w:w="21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net charge-offs</w:t>
            </w: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rPr>
              <w:t>(145,036)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w:t>
            </w:r>
          </w:p>
        </w:tc>
      </w:tr>
      <w:tr>
        <w:trPr>
          <w:trHeight w:val="223"/>
        </w:trPr>
        <w:tc>
          <w:tcPr>
            <w:tcW w:w="20" w:type="dxa"/>
            <w:vAlign w:val="bottom"/>
          </w:tcPr>
          <w:p>
            <w:pPr>
              <w:spacing w:after="0"/>
              <w:rPr>
                <w:sz w:val="19"/>
                <w:szCs w:val="19"/>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$ 774,076</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668,138</w:t>
            </w: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auto"/>
              </w:rPr>
              <w:t>-6-</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the accounting policies set forth in note 1 of Notes to Financial Statements included in the Company’s 2007 Annual Report, except as described below. In the opinion of management, all adjustments necessary for a fair presentation have been made and were all of a normal recurring nature.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10"/>
          </w:tcPr>
          <w:p>
            <w:pPr>
              <w:ind w:left="500"/>
              <w:spacing w:after="0"/>
              <w:rPr>
                <w:sz w:val="20"/>
                <w:szCs w:val="20"/>
                <w:color w:val="auto"/>
              </w:rPr>
            </w:pPr>
            <w:r>
              <w:rPr>
                <w:rFonts w:ascii="Arial" w:cs="Arial" w:eastAsia="Arial" w:hAnsi="Arial"/>
                <w:sz w:val="14"/>
                <w:szCs w:val="14"/>
                <w:color w:val="auto"/>
              </w:rPr>
              <w:t>Three months ended</w:t>
            </w:r>
          </w:p>
        </w:tc>
        <w:tc>
          <w:tcPr>
            <w:tcW w:w="620" w:type="dxa"/>
            <w:vAlign w:val="bottom"/>
          </w:tcPr>
          <w:p>
            <w:pPr>
              <w:spacing w:after="0"/>
              <w:rPr>
                <w:sz w:val="14"/>
                <w:szCs w:val="14"/>
                <w:color w:val="auto"/>
              </w:rPr>
            </w:pPr>
          </w:p>
        </w:tc>
        <w:tc>
          <w:tcPr>
            <w:tcW w:w="1300" w:type="dxa"/>
            <w:vAlign w:val="bottom"/>
            <w:gridSpan w:val="4"/>
          </w:tcPr>
          <w:p>
            <w:pPr>
              <w:jc w:val="center"/>
              <w:ind w:left="184"/>
              <w:spacing w:after="0"/>
              <w:rPr>
                <w:sz w:val="20"/>
                <w:szCs w:val="20"/>
                <w:color w:val="auto"/>
              </w:rPr>
            </w:pPr>
            <w:r>
              <w:rPr>
                <w:rFonts w:ascii="Arial" w:cs="Arial" w:eastAsia="Arial" w:hAnsi="Arial"/>
                <w:sz w:val="14"/>
                <w:szCs w:val="14"/>
                <w:color w:val="auto"/>
                <w:w w:val="92"/>
              </w:rPr>
              <w:t>Six months ended</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5"/>
                <w:szCs w:val="15"/>
                <w:color w:val="auto"/>
              </w:rPr>
            </w:pPr>
          </w:p>
        </w:tc>
        <w:tc>
          <w:tcPr>
            <w:tcW w:w="700" w:type="dxa"/>
            <w:vAlign w:val="bottom"/>
            <w:gridSpan w:val="4"/>
          </w:tcPr>
          <w:p>
            <w:pPr>
              <w:jc w:val="right"/>
              <w:ind w:right="260"/>
              <w:spacing w:after="0"/>
              <w:rPr>
                <w:sz w:val="20"/>
                <w:szCs w:val="20"/>
                <w:color w:val="auto"/>
              </w:rPr>
            </w:pPr>
            <w:r>
              <w:rPr>
                <w:rFonts w:ascii="Arial" w:cs="Arial" w:eastAsia="Arial" w:hAnsi="Arial"/>
                <w:sz w:val="14"/>
                <w:szCs w:val="14"/>
                <w:color w:val="auto"/>
                <w:w w:val="84"/>
              </w:rPr>
              <w:t>June 30</w:t>
            </w:r>
          </w:p>
        </w:tc>
        <w:tc>
          <w:tcPr>
            <w:tcW w:w="620" w:type="dxa"/>
            <w:vAlign w:val="bottom"/>
            <w:vMerge w:val="restart"/>
          </w:tcPr>
          <w:p>
            <w:pPr>
              <w:jc w:val="right"/>
              <w:ind w:right="55"/>
              <w:spacing w:after="0"/>
              <w:rPr>
                <w:sz w:val="20"/>
                <w:szCs w:val="20"/>
                <w:color w:val="auto"/>
              </w:rPr>
            </w:pPr>
            <w:r>
              <w:rPr>
                <w:rFonts w:ascii="Arial" w:cs="Arial" w:eastAsia="Arial" w:hAnsi="Arial"/>
                <w:sz w:val="14"/>
                <w:szCs w:val="14"/>
                <w:color w:val="auto"/>
              </w:rPr>
              <w:t>2007</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vMerge w:val="restart"/>
          </w:tcPr>
          <w:p>
            <w:pPr>
              <w:jc w:val="right"/>
              <w:ind w:right="364"/>
              <w:spacing w:after="0"/>
              <w:rPr>
                <w:sz w:val="20"/>
                <w:szCs w:val="20"/>
                <w:color w:val="auto"/>
              </w:rPr>
            </w:pPr>
            <w:r>
              <w:rPr>
                <w:rFonts w:ascii="Arial" w:cs="Arial" w:eastAsia="Arial" w:hAnsi="Arial"/>
                <w:sz w:val="14"/>
                <w:szCs w:val="14"/>
                <w:color w:val="auto"/>
              </w:rPr>
              <w:t>2008</w:t>
            </w:r>
          </w:p>
        </w:tc>
        <w:tc>
          <w:tcPr>
            <w:tcW w:w="760" w:type="dxa"/>
            <w:vAlign w:val="bottom"/>
            <w:gridSpan w:val="3"/>
          </w:tcPr>
          <w:p>
            <w:pPr>
              <w:jc w:val="center"/>
              <w:ind w:right="280"/>
              <w:spacing w:after="0"/>
              <w:rPr>
                <w:sz w:val="20"/>
                <w:szCs w:val="20"/>
                <w:color w:val="auto"/>
              </w:rPr>
            </w:pPr>
            <w:r>
              <w:rPr>
                <w:rFonts w:ascii="Arial" w:cs="Arial" w:eastAsia="Arial" w:hAnsi="Arial"/>
                <w:sz w:val="14"/>
                <w:szCs w:val="14"/>
                <w:color w:val="auto"/>
                <w:w w:val="88"/>
              </w:rPr>
              <w:t>June 30</w:t>
            </w:r>
          </w:p>
        </w:tc>
        <w:tc>
          <w:tcPr>
            <w:tcW w:w="780" w:type="dxa"/>
            <w:vAlign w:val="bottom"/>
            <w:gridSpan w:val="2"/>
            <w:vMerge w:val="restart"/>
          </w:tcPr>
          <w:p>
            <w:pPr>
              <w:jc w:val="right"/>
              <w:ind w:right="259"/>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gridSpan w:val="2"/>
            <w:vMerge w:val="restart"/>
          </w:tcPr>
          <w:p>
            <w:pPr>
              <w:ind w:left="160"/>
              <w:spacing w:after="0"/>
              <w:rPr>
                <w:sz w:val="20"/>
                <w:szCs w:val="20"/>
                <w:color w:val="auto"/>
              </w:rPr>
            </w:pPr>
            <w:r>
              <w:rPr>
                <w:rFonts w:ascii="Arial" w:cs="Arial" w:eastAsia="Arial" w:hAnsi="Arial"/>
                <w:sz w:val="13"/>
                <w:szCs w:val="13"/>
                <w:color w:val="auto"/>
                <w:w w:val="72"/>
              </w:rPr>
              <w:t>except</w:t>
            </w:r>
          </w:p>
        </w:tc>
        <w:tc>
          <w:tcPr>
            <w:tcW w:w="1160" w:type="dxa"/>
            <w:vAlign w:val="bottom"/>
            <w:tcBorders>
              <w:bottom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gridSpan w:val="2"/>
            <w:vMerge w:val="continue"/>
          </w:tcPr>
          <w:p>
            <w:pPr>
              <w:spacing w:after="0"/>
              <w:rPr>
                <w:sz w:val="12"/>
                <w:szCs w:val="12"/>
                <w:color w:val="auto"/>
              </w:rPr>
            </w:pPr>
          </w:p>
        </w:tc>
        <w:tc>
          <w:tcPr>
            <w:tcW w:w="1160" w:type="dxa"/>
            <w:vAlign w:val="bottom"/>
            <w:gridSpan w:val="2"/>
          </w:tcPr>
          <w:p>
            <w:pPr>
              <w:jc w:val="right"/>
              <w:ind w:right="404"/>
              <w:spacing w:after="0" w:line="142" w:lineRule="exact"/>
              <w:rPr>
                <w:sz w:val="20"/>
                <w:szCs w:val="20"/>
                <w:color w:val="auto"/>
              </w:rPr>
            </w:pPr>
            <w:r>
              <w:rPr>
                <w:rFonts w:ascii="Arial" w:cs="Arial" w:eastAsia="Arial" w:hAnsi="Arial"/>
                <w:sz w:val="14"/>
                <w:szCs w:val="14"/>
                <w:color w:val="auto"/>
              </w:rPr>
              <w:t>per share)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5"/>
              <w:spacing w:after="0"/>
              <w:rPr>
                <w:sz w:val="20"/>
                <w:szCs w:val="20"/>
                <w:color w:val="auto"/>
              </w:rPr>
            </w:pPr>
            <w:r>
              <w:rPr>
                <w:rFonts w:ascii="Arial" w:cs="Arial" w:eastAsia="Arial" w:hAnsi="Arial"/>
                <w:sz w:val="18"/>
                <w:szCs w:val="18"/>
                <w:color w:val="auto"/>
                <w:w w:val="86"/>
              </w:rPr>
              <w:t>160,265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222"/>
              <w:spacing w:after="0"/>
              <w:rPr>
                <w:sz w:val="20"/>
                <w:szCs w:val="20"/>
                <w:color w:val="auto"/>
              </w:rPr>
            </w:pPr>
            <w:r>
              <w:rPr>
                <w:rFonts w:ascii="Arial" w:cs="Arial" w:eastAsia="Arial" w:hAnsi="Arial"/>
                <w:sz w:val="18"/>
                <w:szCs w:val="18"/>
                <w:color w:val="auto"/>
                <w:w w:val="92"/>
              </w:rPr>
              <w:t>214,169</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tcPr>
          <w:p>
            <w:pPr>
              <w:jc w:val="right"/>
              <w:ind w:right="204"/>
              <w:spacing w:after="0"/>
              <w:rPr>
                <w:sz w:val="20"/>
                <w:szCs w:val="20"/>
                <w:color w:val="auto"/>
              </w:rPr>
            </w:pPr>
            <w:r>
              <w:rPr>
                <w:rFonts w:ascii="Arial" w:cs="Arial" w:eastAsia="Arial" w:hAnsi="Arial"/>
                <w:sz w:val="18"/>
                <w:szCs w:val="18"/>
                <w:color w:val="auto"/>
              </w:rPr>
              <w:t>362,461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w w:val="89"/>
              </w:rPr>
              <w:t>390,142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outstanding (including common stock</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issuable)</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6"/>
              </w:rPr>
              <w:t>110,191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w w:val="92"/>
              </w:rPr>
              <w:t>107,939</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110,104</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89"/>
              </w:rPr>
              <w:t>108,811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5"/>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222"/>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2"/>
          </w:tcPr>
          <w:p>
            <w:pPr>
              <w:jc w:val="right"/>
              <w:ind w:right="204"/>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99"/>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The computations of diluted earnings per share follow:</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gridSpan w:val="7"/>
          </w:tcPr>
          <w:p>
            <w:pPr>
              <w:jc w:val="center"/>
              <w:ind w:right="180"/>
              <w:spacing w:after="0"/>
              <w:rPr>
                <w:sz w:val="20"/>
                <w:szCs w:val="20"/>
                <w:color w:val="auto"/>
              </w:rPr>
            </w:pPr>
            <w:r>
              <w:rPr>
                <w:rFonts w:ascii="Arial" w:cs="Arial" w:eastAsia="Arial" w:hAnsi="Arial"/>
                <w:sz w:val="14"/>
                <w:szCs w:val="14"/>
                <w:color w:val="auto"/>
                <w:w w:val="91"/>
              </w:rPr>
              <w:t>Three months ended</w:t>
            </w:r>
          </w:p>
        </w:tc>
        <w:tc>
          <w:tcPr>
            <w:tcW w:w="620" w:type="dxa"/>
            <w:vAlign w:val="bottom"/>
          </w:tcPr>
          <w:p>
            <w:pPr>
              <w:spacing w:after="0"/>
              <w:rPr>
                <w:sz w:val="24"/>
                <w:szCs w:val="24"/>
                <w:color w:val="auto"/>
              </w:rPr>
            </w:pPr>
          </w:p>
        </w:tc>
        <w:tc>
          <w:tcPr>
            <w:tcW w:w="2180" w:type="dxa"/>
            <w:vAlign w:val="bottom"/>
            <w:gridSpan w:val="7"/>
          </w:tcPr>
          <w:p>
            <w:pPr>
              <w:jc w:val="center"/>
              <w:ind w:right="120"/>
              <w:spacing w:after="0"/>
              <w:rPr>
                <w:sz w:val="20"/>
                <w:szCs w:val="20"/>
                <w:color w:val="auto"/>
              </w:rPr>
            </w:pPr>
            <w:r>
              <w:rPr>
                <w:rFonts w:ascii="Arial" w:cs="Arial" w:eastAsia="Arial" w:hAnsi="Arial"/>
                <w:sz w:val="14"/>
                <w:szCs w:val="14"/>
                <w:color w:val="auto"/>
                <w:w w:val="90"/>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4"/>
          </w:tcPr>
          <w:p>
            <w:pPr>
              <w:jc w:val="center"/>
              <w:ind w:right="820"/>
              <w:spacing w:after="0" w:line="149" w:lineRule="exact"/>
              <w:rPr>
                <w:sz w:val="20"/>
                <w:szCs w:val="20"/>
                <w:color w:val="auto"/>
              </w:rPr>
            </w:pPr>
            <w:r>
              <w:rPr>
                <w:rFonts w:ascii="Arial" w:cs="Arial" w:eastAsia="Arial" w:hAnsi="Arial"/>
                <w:sz w:val="14"/>
                <w:szCs w:val="14"/>
                <w:color w:val="auto"/>
                <w:w w:val="88"/>
              </w:rPr>
              <w:t>June 30</w:t>
            </w: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88"/>
              </w:rPr>
              <w:t>June 30</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color w:val="auto"/>
              </w:rPr>
              <w:t>2007</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1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80" w:type="dxa"/>
            <w:vAlign w:val="bottom"/>
            <w:gridSpan w:val="8"/>
          </w:tcPr>
          <w:p>
            <w:pPr>
              <w:ind w:left="120"/>
              <w:spacing w:after="0" w:line="142" w:lineRule="exact"/>
              <w:rPr>
                <w:sz w:val="20"/>
                <w:szCs w:val="20"/>
                <w:color w:val="auto"/>
              </w:rPr>
            </w:pPr>
            <w:r>
              <w:rPr>
                <w:rFonts w:ascii="Arial" w:cs="Arial" w:eastAsia="Arial" w:hAnsi="Arial"/>
                <w:sz w:val="14"/>
                <w:szCs w:val="14"/>
                <w:color w:val="auto"/>
              </w:rPr>
              <w:t>(in thousands, except per share)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160,265</w:t>
            </w:r>
          </w:p>
        </w:tc>
        <w:tc>
          <w:tcPr>
            <w:tcW w:w="1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214,169</w:t>
            </w:r>
          </w:p>
        </w:tc>
        <w:tc>
          <w:tcPr>
            <w:tcW w:w="16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362,461</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390,142</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110,191</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107,939</w:t>
            </w:r>
          </w:p>
        </w:tc>
        <w:tc>
          <w:tcPr>
            <w:tcW w:w="1640" w:type="dxa"/>
            <w:vAlign w:val="bottom"/>
            <w:gridSpan w:val="4"/>
          </w:tcPr>
          <w:p>
            <w:pPr>
              <w:jc w:val="right"/>
              <w:ind w:right="248"/>
              <w:spacing w:after="0"/>
              <w:rPr>
                <w:sz w:val="20"/>
                <w:szCs w:val="20"/>
                <w:color w:val="auto"/>
              </w:rPr>
            </w:pPr>
            <w:r>
              <w:rPr>
                <w:rFonts w:ascii="Arial" w:cs="Arial" w:eastAsia="Arial" w:hAnsi="Arial"/>
                <w:sz w:val="18"/>
                <w:szCs w:val="18"/>
                <w:color w:val="auto"/>
              </w:rPr>
              <w:t>110,104</w:t>
            </w:r>
          </w:p>
        </w:tc>
        <w:tc>
          <w:tcPr>
            <w:tcW w:w="2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108,811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Plus: incremental shares from assumed conversion of stock-based compensation</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color w:val="auto"/>
              </w:rPr>
              <w:t>Adjusted weighted average shares outstanding</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111,227</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109,919</w:t>
            </w:r>
          </w:p>
        </w:tc>
        <w:tc>
          <w:tcPr>
            <w:tcW w:w="1640" w:type="dxa"/>
            <w:vAlign w:val="bottom"/>
            <w:gridSpan w:val="4"/>
          </w:tcPr>
          <w:p>
            <w:pPr>
              <w:jc w:val="right"/>
              <w:ind w:right="248"/>
              <w:spacing w:after="0"/>
              <w:rPr>
                <w:sz w:val="20"/>
                <w:szCs w:val="20"/>
                <w:color w:val="auto"/>
              </w:rPr>
            </w:pPr>
            <w:r>
              <w:rPr>
                <w:rFonts w:ascii="Arial" w:cs="Arial" w:eastAsia="Arial" w:hAnsi="Arial"/>
                <w:sz w:val="18"/>
                <w:szCs w:val="18"/>
                <w:color w:val="auto"/>
              </w:rPr>
              <w:t>111,097</w:t>
            </w:r>
          </w:p>
        </w:tc>
        <w:tc>
          <w:tcPr>
            <w:tcW w:w="28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111,046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1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16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Options to purchase approximately 9.1 million and 3.4 million common shares during the three-month periods ended June 30, 2008 and 2007, respectively, and 8.9 million and 3.2 million common shares during the six-month periods ended June 30, 2008 and 2007, respectively, were not included in the computations of diluted earnings per share because the effect on those periods would have been antidilutive.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90"/>
              </w:rPr>
              <w:t>Six months ended June 30, 2008</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20" w:type="dxa"/>
            <w:vAlign w:val="bottom"/>
            <w:gridSpan w:val="4"/>
          </w:tcPr>
          <w:p>
            <w:pPr>
              <w:jc w:val="right"/>
              <w:ind w:right="220"/>
              <w:spacing w:after="0" w:line="123" w:lineRule="exact"/>
              <w:rPr>
                <w:sz w:val="20"/>
                <w:szCs w:val="20"/>
                <w:color w:val="auto"/>
              </w:rPr>
            </w:pPr>
            <w:r>
              <w:rPr>
                <w:rFonts w:ascii="Arial" w:cs="Arial" w:eastAsia="Arial" w:hAnsi="Arial"/>
                <w:sz w:val="14"/>
                <w:szCs w:val="14"/>
                <w:color w:val="auto"/>
              </w:rPr>
              <w:t>Before-tax</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780"/>
              <w:spacing w:after="0" w:line="123" w:lineRule="exact"/>
              <w:rPr>
                <w:sz w:val="20"/>
                <w:szCs w:val="20"/>
                <w:color w:val="auto"/>
              </w:rPr>
            </w:pPr>
            <w:r>
              <w:rPr>
                <w:rFonts w:ascii="Arial" w:cs="Arial" w:eastAsia="Arial" w:hAnsi="Arial"/>
                <w:sz w:val="14"/>
                <w:szCs w:val="14"/>
                <w:color w:val="auto"/>
                <w:w w:val="91"/>
              </w:rPr>
              <w:t>Income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w w:val="89"/>
              </w:rPr>
              <w:t>amount</w:t>
            </w:r>
          </w:p>
        </w:tc>
        <w:tc>
          <w:tcPr>
            <w:tcW w:w="16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color w:val="auto"/>
                <w:w w:val="89"/>
              </w:rPr>
              <w:t>taxes</w:t>
            </w:r>
          </w:p>
        </w:tc>
        <w:tc>
          <w:tcPr>
            <w:tcW w:w="68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3240" w:type="dxa"/>
            <w:vAlign w:val="bottom"/>
            <w:gridSpan w:val="4"/>
          </w:tcPr>
          <w:p>
            <w:pPr>
              <w:jc w:val="right"/>
              <w:spacing w:after="0"/>
              <w:rPr>
                <w:sz w:val="20"/>
                <w:szCs w:val="20"/>
                <w:color w:val="auto"/>
              </w:rPr>
            </w:pPr>
            <w:r>
              <w:rPr>
                <w:rFonts w:ascii="Arial" w:cs="Arial" w:eastAsia="Arial" w:hAnsi="Arial"/>
                <w:sz w:val="18"/>
                <w:szCs w:val="18"/>
                <w:color w:val="auto"/>
              </w:rPr>
              <w:t>$ (302,903)</w:t>
            </w:r>
          </w:p>
        </w:tc>
        <w:tc>
          <w:tcPr>
            <w:tcW w:w="6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107,664</w:t>
            </w:r>
          </w:p>
        </w:tc>
        <w:tc>
          <w:tcPr>
            <w:tcW w:w="6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(195,239)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Less: reclassification adjustment for gains realized in net income</w:t>
            </w:r>
          </w:p>
        </w:tc>
        <w:tc>
          <w:tcPr>
            <w:tcW w:w="324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28,026</w:t>
            </w:r>
          </w:p>
        </w:tc>
        <w:tc>
          <w:tcPr>
            <w:tcW w:w="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(10,956)</w:t>
            </w:r>
          </w:p>
        </w:tc>
        <w:tc>
          <w:tcPr>
            <w:tcW w:w="6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(330,929)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118,620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(212,309)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Unrealized losses on cash flow hedges</w:t>
            </w:r>
          </w:p>
        </w:tc>
        <w:tc>
          <w:tcPr>
            <w:tcW w:w="3240" w:type="dxa"/>
            <w:vAlign w:val="bottom"/>
            <w:gridSpan w:val="4"/>
          </w:tcPr>
          <w:p>
            <w:pPr>
              <w:jc w:val="right"/>
              <w:spacing w:after="0"/>
              <w:rPr>
                <w:sz w:val="20"/>
                <w:szCs w:val="20"/>
                <w:color w:val="auto"/>
              </w:rPr>
            </w:pPr>
            <w:r>
              <w:rPr>
                <w:rFonts w:ascii="Arial" w:cs="Arial" w:eastAsia="Arial" w:hAnsi="Arial"/>
                <w:sz w:val="18"/>
                <w:szCs w:val="18"/>
                <w:color w:val="auto"/>
              </w:rPr>
              <w:t>(20,225)</w:t>
            </w:r>
          </w:p>
        </w:tc>
        <w:tc>
          <w:tcPr>
            <w:tcW w:w="6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7,887</w:t>
            </w:r>
          </w:p>
        </w:tc>
        <w:tc>
          <w:tcPr>
            <w:tcW w:w="6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Reclassification of losses on terminated cash flow hedges to income</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(4,641)</w:t>
            </w:r>
          </w:p>
        </w:tc>
        <w:tc>
          <w:tcPr>
            <w:tcW w:w="6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3,246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plans liability adjustment</w:t>
            </w:r>
          </w:p>
        </w:tc>
        <w:tc>
          <w:tcPr>
            <w:tcW w:w="2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6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86"/>
              </w:rPr>
              <w:t>$ (340,411)</w:t>
            </w:r>
          </w:p>
        </w:tc>
        <w:tc>
          <w:tcPr>
            <w:tcW w:w="60" w:type="dxa"/>
            <w:vAlign w:val="bottom"/>
          </w:tcPr>
          <w:p>
            <w:pPr>
              <w:spacing w:after="0"/>
              <w:rPr>
                <w:sz w:val="24"/>
                <w:szCs w:val="24"/>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122,316</w:t>
            </w:r>
          </w:p>
        </w:tc>
        <w:tc>
          <w:tcPr>
            <w:tcW w:w="600" w:type="dxa"/>
            <w:vAlign w:val="bottom"/>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(218,095)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w w:val="91"/>
              </w:rPr>
              <w:t>Six months ended June 30, 2007</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w w:val="99"/>
              </w:rPr>
              <w:t>Before-tax</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600"/>
              <w:spacing w:after="0" w:line="123" w:lineRule="exact"/>
              <w:rPr>
                <w:sz w:val="20"/>
                <w:szCs w:val="20"/>
                <w:color w:val="auto"/>
              </w:rPr>
            </w:pPr>
            <w:r>
              <w:rPr>
                <w:rFonts w:ascii="Arial" w:cs="Arial" w:eastAsia="Arial" w:hAnsi="Arial"/>
                <w:sz w:val="14"/>
                <w:szCs w:val="14"/>
                <w:color w:val="auto"/>
                <w:w w:val="95"/>
              </w:rPr>
              <w:t>Income</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taxes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color w:val="auto"/>
                <w:w w:val="85"/>
              </w:rPr>
              <w:t>(in thousands)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investment securities:</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Unrealized holding losses during period</w:t>
            </w:r>
          </w:p>
        </w:tc>
        <w:tc>
          <w:tcPr>
            <w:tcW w:w="3300" w:type="dxa"/>
            <w:vAlign w:val="bottom"/>
            <w:gridSpan w:val="5"/>
          </w:tcPr>
          <w:p>
            <w:pPr>
              <w:jc w:val="right"/>
              <w:spacing w:after="0"/>
              <w:rPr>
                <w:sz w:val="20"/>
                <w:szCs w:val="20"/>
                <w:color w:val="auto"/>
              </w:rPr>
            </w:pPr>
            <w:r>
              <w:rPr>
                <w:rFonts w:ascii="Arial" w:cs="Arial" w:eastAsia="Arial" w:hAnsi="Arial"/>
                <w:sz w:val="18"/>
                <w:szCs w:val="18"/>
                <w:color w:val="auto"/>
              </w:rPr>
              <w:t>$ (24,587)</w:t>
            </w:r>
          </w:p>
        </w:tc>
        <w:tc>
          <w:tcPr>
            <w:tcW w:w="1900" w:type="dxa"/>
            <w:vAlign w:val="bottom"/>
            <w:gridSpan w:val="5"/>
          </w:tcPr>
          <w:p>
            <w:pPr>
              <w:jc w:val="right"/>
              <w:ind w:right="600"/>
              <w:spacing w:after="0"/>
              <w:rPr>
                <w:sz w:val="20"/>
                <w:szCs w:val="20"/>
                <w:color w:val="auto"/>
              </w:rPr>
            </w:pPr>
            <w:r>
              <w:rPr>
                <w:rFonts w:ascii="Arial" w:cs="Arial" w:eastAsia="Arial" w:hAnsi="Arial"/>
                <w:sz w:val="18"/>
                <w:szCs w:val="18"/>
                <w:color w:val="auto"/>
              </w:rPr>
              <w:t>11,046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Less: reclassification adjustment for gains realized in net income</w:t>
            </w:r>
          </w:p>
        </w:tc>
        <w:tc>
          <w:tcPr>
            <w:tcW w:w="3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1,323</w:t>
            </w:r>
          </w:p>
        </w:tc>
        <w:tc>
          <w:tcPr>
            <w:tcW w:w="190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(506)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540" w:type="dxa"/>
            <w:vAlign w:val="bottom"/>
            <w:gridSpan w:val="2"/>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(25,910)</w:t>
            </w:r>
          </w:p>
        </w:tc>
        <w:tc>
          <w:tcPr>
            <w:tcW w:w="6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11,552</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54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Gain on cash flow hedge</w:t>
            </w:r>
          </w:p>
        </w:tc>
        <w:tc>
          <w:tcPr>
            <w:tcW w:w="3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2,197</w:t>
            </w:r>
          </w:p>
        </w:tc>
        <w:tc>
          <w:tcPr>
            <w:tcW w:w="190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(813)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3300" w:type="dxa"/>
            <w:vAlign w:val="bottom"/>
            <w:gridSpan w:val="5"/>
          </w:tcPr>
          <w:p>
            <w:pPr>
              <w:jc w:val="right"/>
              <w:spacing w:after="0"/>
              <w:rPr>
                <w:sz w:val="20"/>
                <w:szCs w:val="20"/>
                <w:color w:val="auto"/>
              </w:rPr>
            </w:pPr>
            <w:r>
              <w:rPr>
                <w:rFonts w:ascii="Arial" w:cs="Arial" w:eastAsia="Arial" w:hAnsi="Arial"/>
                <w:sz w:val="18"/>
                <w:szCs w:val="18"/>
                <w:color w:val="auto"/>
              </w:rPr>
              <w:t>(467)</w:t>
            </w:r>
          </w:p>
        </w:tc>
        <w:tc>
          <w:tcPr>
            <w:tcW w:w="1900" w:type="dxa"/>
            <w:vAlign w:val="bottom"/>
            <w:gridSpan w:val="5"/>
          </w:tcPr>
          <w:p>
            <w:pPr>
              <w:jc w:val="right"/>
              <w:ind w:right="600"/>
              <w:spacing w:after="0"/>
              <w:rPr>
                <w:sz w:val="20"/>
                <w:szCs w:val="20"/>
                <w:color w:val="auto"/>
              </w:rPr>
            </w:pPr>
            <w:r>
              <w:rPr>
                <w:rFonts w:ascii="Arial" w:cs="Arial" w:eastAsia="Arial" w:hAnsi="Arial"/>
                <w:sz w:val="18"/>
                <w:szCs w:val="18"/>
                <w:color w:val="auto"/>
              </w:rPr>
              <w:t>182</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(24,180)</w:t>
            </w:r>
          </w:p>
        </w:tc>
        <w:tc>
          <w:tcPr>
            <w:tcW w:w="190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10,921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380" w:type="dxa"/>
            <w:vAlign w:val="bottom"/>
            <w:vMerge w:val="restart"/>
          </w:tcPr>
          <w:p>
            <w:pPr>
              <w:jc w:val="right"/>
              <w:ind w:right="18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3"/>
          </w:tcPr>
          <w:p>
            <w:pPr>
              <w:jc w:val="center"/>
              <w:ind w:right="780"/>
              <w:spacing w:after="0"/>
              <w:rPr>
                <w:sz w:val="20"/>
                <w:szCs w:val="20"/>
                <w:color w:val="auto"/>
              </w:rPr>
            </w:pPr>
            <w:r>
              <w:rPr>
                <w:rFonts w:ascii="Arial" w:cs="Arial" w:eastAsia="Arial" w:hAnsi="Arial"/>
                <w:sz w:val="14"/>
                <w:szCs w:val="14"/>
                <w:color w:val="auto"/>
                <w:w w:val="91"/>
              </w:rPr>
              <w:t>Cash</w:t>
            </w:r>
          </w:p>
        </w:tc>
        <w:tc>
          <w:tcPr>
            <w:tcW w:w="1260" w:type="dxa"/>
            <w:vAlign w:val="bottom"/>
            <w:gridSpan w:val="2"/>
          </w:tcPr>
          <w:p>
            <w:pPr>
              <w:jc w:val="center"/>
              <w:ind w:right="760"/>
              <w:spacing w:after="0"/>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3"/>
              </w:rPr>
              <w:t>Investment</w:t>
            </w:r>
          </w:p>
        </w:tc>
        <w:tc>
          <w:tcPr>
            <w:tcW w:w="144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rPr>
              <w:t>flow</w:t>
            </w: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4"/>
              </w:rPr>
              <w:t>securities</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hedges</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plans</w:t>
            </w:r>
          </w:p>
        </w:tc>
        <w:tc>
          <w:tcPr>
            <w:tcW w:w="680" w:type="dxa"/>
            <w:vAlign w:val="bottom"/>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gridSpan w:val="3"/>
          </w:tcPr>
          <w:p>
            <w:pPr>
              <w:ind w:left="600"/>
              <w:spacing w:after="0" w:line="142"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(59,406)</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(8,931)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(46,485)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(114,822)</w:t>
            </w: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(212,309)</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(699)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(218,095)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(271,715)</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(14,018)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(47,184)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(332,917)</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20" w:type="dxa"/>
            <w:vAlign w:val="bottom"/>
            <w:gridSpan w:val="2"/>
          </w:tcPr>
          <w:p>
            <w:pPr>
              <w:spacing w:after="0"/>
              <w:rPr>
                <w:sz w:val="20"/>
                <w:szCs w:val="20"/>
                <w:color w:val="auto"/>
              </w:rPr>
            </w:pPr>
            <w:r>
              <w:rPr>
                <w:rFonts w:ascii="Arial" w:cs="Arial" w:eastAsia="Arial" w:hAnsi="Arial"/>
                <w:sz w:val="18"/>
                <w:szCs w:val="18"/>
                <w:color w:val="auto"/>
              </w:rPr>
              <w:t>Balance — January 1,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(25,311)</w:t>
            </w:r>
          </w:p>
        </w:tc>
        <w:tc>
          <w:tcPr>
            <w:tcW w:w="14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(28,263)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(14,358)</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20" w:type="dxa"/>
            <w:vAlign w:val="bottom"/>
            <w:gridSpan w:val="2"/>
          </w:tcPr>
          <w:p>
            <w:pPr>
              <w:spacing w:after="0"/>
              <w:rPr>
                <w:sz w:val="20"/>
                <w:szCs w:val="20"/>
                <w:color w:val="auto"/>
              </w:rPr>
            </w:pPr>
            <w:r>
              <w:rPr>
                <w:rFonts w:ascii="Arial" w:cs="Arial" w:eastAsia="Arial" w:hAnsi="Arial"/>
                <w:sz w:val="18"/>
                <w:szCs w:val="18"/>
                <w:color w:val="auto"/>
              </w:rPr>
              <w:t>Balance — June 30,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(39,669)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(28,548)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(66,833)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M&amp;T Capital Trust I (“Trust I”), M&amp;T Capital Trust II (“Trust II”), and M&amp;T Capital Trust III (“Trust III”) have issued fixed rate preferred capital securities aggregating $310 million. On January 31, 2008 M&amp;T Capital Trust IV (“Trust IV”), a Delaware business trust, issued $350 million of 8.50% fixed rate Enhanced Trust Preferred Securities (“8.50% Enhanced Trust Preferred Securities”). First Maryland Capital I (“Trust V”) and First Maryland Capital II (“Trust VI”) have issued floating rate preferred capital securities aggregating $300 million. The distribution rates on the preferred capital securities of Trust V and Trust VI adjust quarterly based on changes in the three-month London Interbank Offered Rate (“LIBOR”) and were 3.71% and 3.72%, respectively, at June 30, 2008 and 6.24% and 5.76%, respectively, at December 31, 2007. As a result of an acquisition in the fourth quarter of 2007, M&amp;T assumed responsibility for $31.5 million of similar preferred capital securities previously issued by special-purpose entities consisting of $16.5 million of fixed rate preferred capital securities issued by BSB Capital Trust I (“Trust VII”) and $15 million of floating rate preferred capital securities issued by BSB Capital Trust III (“Trust VIII”). The distribution rate on the preferred capital securities of Trust VIII adjusts quarterly based on changes in the three-month LIBOR and was 6.06% at June 30, 2008 and 8.59% at December 31, 2007. Trust I, Trust II, Trust III, Trust IV, Trust V, Trust VI, Trust VII and Trust VIII are referred to herein collectively as the “Trusts.”</w:t>
      </w:r>
    </w:p>
    <w:p>
      <w:pPr>
        <w:spacing w:after="0" w:line="75"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Other than the following payment terms (and the redemption and certain other terms described below), the preferred capital securities issued by the Trusts (“Capital Securities”) are substantially identical in all material respects: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Distribution</w:t>
            </w:r>
          </w:p>
        </w:tc>
        <w:tc>
          <w:tcPr>
            <w:tcW w:w="2420" w:type="dxa"/>
            <w:vAlign w:val="bottom"/>
          </w:tcPr>
          <w:p>
            <w:pPr>
              <w:spacing w:after="0"/>
              <w:rPr>
                <w:sz w:val="14"/>
                <w:szCs w:val="14"/>
                <w:color w:val="auto"/>
              </w:rPr>
            </w:pPr>
          </w:p>
        </w:tc>
        <w:tc>
          <w:tcPr>
            <w:tcW w:w="4200" w:type="dxa"/>
            <w:vAlign w:val="bottom"/>
          </w:tcPr>
          <w:p>
            <w:pPr>
              <w:jc w:val="center"/>
              <w:spacing w:after="0"/>
              <w:rPr>
                <w:sz w:val="20"/>
                <w:szCs w:val="20"/>
                <w:color w:val="auto"/>
              </w:rPr>
            </w:pPr>
            <w:r>
              <w:rPr>
                <w:rFonts w:ascii="Arial" w:cs="Arial" w:eastAsia="Arial" w:hAnsi="Arial"/>
                <w:sz w:val="14"/>
                <w:szCs w:val="14"/>
                <w:color w:val="auto"/>
                <w:w w:val="97"/>
              </w:rPr>
              <w:t>Distribution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Trust</w:t>
            </w:r>
          </w:p>
        </w:tc>
        <w:tc>
          <w:tcPr>
            <w:tcW w:w="2620" w:type="dxa"/>
            <w:vAlign w:val="bottom"/>
          </w:tcPr>
          <w:p>
            <w:pPr>
              <w:spacing w:after="0"/>
              <w:rPr>
                <w:sz w:val="14"/>
                <w:szCs w:val="14"/>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rate</w:t>
            </w:r>
          </w:p>
        </w:tc>
        <w:tc>
          <w:tcPr>
            <w:tcW w:w="2420" w:type="dxa"/>
            <w:vAlign w:val="bottom"/>
          </w:tcPr>
          <w:p>
            <w:pPr>
              <w:spacing w:after="0"/>
              <w:rPr>
                <w:sz w:val="14"/>
                <w:szCs w:val="1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37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8.234%</w:t>
            </w:r>
          </w:p>
        </w:tc>
        <w:tc>
          <w:tcPr>
            <w:tcW w:w="662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3700" w:type="dxa"/>
            <w:vAlign w:val="bottom"/>
            <w:gridSpan w:val="2"/>
          </w:tcPr>
          <w:p>
            <w:pPr>
              <w:jc w:val="right"/>
              <w:ind w:right="108"/>
              <w:spacing w:after="0"/>
              <w:rPr>
                <w:sz w:val="20"/>
                <w:szCs w:val="20"/>
                <w:color w:val="auto"/>
              </w:rPr>
            </w:pPr>
            <w:r>
              <w:rPr>
                <w:rFonts w:ascii="Arial" w:cs="Arial" w:eastAsia="Arial" w:hAnsi="Arial"/>
                <w:sz w:val="18"/>
                <w:szCs w:val="18"/>
                <w:color w:val="auto"/>
              </w:rPr>
              <w:t>8.277%</w:t>
            </w:r>
          </w:p>
        </w:tc>
        <w:tc>
          <w:tcPr>
            <w:tcW w:w="6620" w:type="dxa"/>
            <w:vAlign w:val="bottom"/>
            <w:gridSpan w:val="2"/>
          </w:tcPr>
          <w:p>
            <w:pPr>
              <w:ind w:left="2420"/>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37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9.25%</w:t>
            </w:r>
          </w:p>
        </w:tc>
        <w:tc>
          <w:tcPr>
            <w:tcW w:w="662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3700" w:type="dxa"/>
            <w:vAlign w:val="bottom"/>
            <w:gridSpan w:val="2"/>
          </w:tcPr>
          <w:p>
            <w:pPr>
              <w:jc w:val="right"/>
              <w:ind w:right="108"/>
              <w:spacing w:after="0"/>
              <w:rPr>
                <w:sz w:val="20"/>
                <w:szCs w:val="20"/>
                <w:color w:val="auto"/>
              </w:rPr>
            </w:pPr>
            <w:r>
              <w:rPr>
                <w:rFonts w:ascii="Arial" w:cs="Arial" w:eastAsia="Arial" w:hAnsi="Arial"/>
                <w:sz w:val="18"/>
                <w:szCs w:val="18"/>
                <w:color w:val="auto"/>
              </w:rPr>
              <w:t>8.50%</w:t>
            </w:r>
          </w:p>
        </w:tc>
        <w:tc>
          <w:tcPr>
            <w:tcW w:w="6620" w:type="dxa"/>
            <w:vAlign w:val="bottom"/>
            <w:gridSpan w:val="2"/>
          </w:tcPr>
          <w:p>
            <w:pPr>
              <w:ind w:left="2420"/>
              <w:spacing w:after="0"/>
              <w:rPr>
                <w:sz w:val="20"/>
                <w:szCs w:val="20"/>
                <w:color w:val="auto"/>
              </w:rPr>
            </w:pPr>
            <w:r>
              <w:rPr>
                <w:rFonts w:ascii="Arial" w:cs="Arial" w:eastAsia="Arial" w:hAnsi="Arial"/>
                <w:sz w:val="18"/>
                <w:szCs w:val="18"/>
                <w:color w:val="auto"/>
                <w:w w:val="99"/>
              </w:rPr>
              <w:t>March 15, June 15, September 15 and December 15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20" w:type="dxa"/>
            <w:vAlign w:val="bottom"/>
          </w:tcPr>
          <w:p>
            <w:pPr>
              <w:ind w:left="800"/>
              <w:spacing w:after="0"/>
              <w:rPr>
                <w:sz w:val="20"/>
                <w:szCs w:val="20"/>
                <w:color w:val="auto"/>
              </w:rPr>
            </w:pPr>
            <w:r>
              <w:rPr>
                <w:rFonts w:ascii="Arial" w:cs="Arial" w:eastAsia="Arial" w:hAnsi="Arial"/>
                <w:sz w:val="18"/>
                <w:szCs w:val="18"/>
                <w:color w:val="auto"/>
              </w:rPr>
              <w:t>-9-</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2420" w:type="dxa"/>
            <w:vAlign w:val="bottom"/>
          </w:tcPr>
          <w:p>
            <w:pPr>
              <w:spacing w:after="0"/>
              <w:rPr>
                <w:sz w:val="14"/>
                <w:szCs w:val="14"/>
                <w:color w:val="auto"/>
              </w:rPr>
            </w:pPr>
          </w:p>
        </w:tc>
        <w:tc>
          <w:tcPr>
            <w:tcW w:w="3860" w:type="dxa"/>
            <w:vAlign w:val="bottom"/>
          </w:tcPr>
          <w:p>
            <w:pPr>
              <w:jc w:val="center"/>
              <w:spacing w:after="0"/>
              <w:rPr>
                <w:sz w:val="20"/>
                <w:szCs w:val="20"/>
                <w:color w:val="auto"/>
              </w:rPr>
            </w:pPr>
            <w:r>
              <w:rPr>
                <w:rFonts w:ascii="Arial" w:cs="Arial" w:eastAsia="Arial" w:hAnsi="Arial"/>
                <w:sz w:val="14"/>
                <w:szCs w:val="14"/>
                <w:color w:val="auto"/>
                <w:w w:val="99"/>
              </w:rPr>
              <w:t>Distribution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Trust</w:t>
            </w:r>
          </w:p>
        </w:tc>
        <w:tc>
          <w:tcPr>
            <w:tcW w:w="240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2420" w:type="dxa"/>
            <w:vAlign w:val="bottom"/>
          </w:tcPr>
          <w:p>
            <w:pPr>
              <w:spacing w:after="0"/>
              <w:rPr>
                <w:sz w:val="14"/>
                <w:szCs w:val="14"/>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Trust V</w:t>
            </w:r>
          </w:p>
        </w:tc>
        <w:tc>
          <w:tcPr>
            <w:tcW w:w="24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LIBOR</w:t>
            </w:r>
          </w:p>
        </w:tc>
        <w:tc>
          <w:tcPr>
            <w:tcW w:w="6280" w:type="dxa"/>
            <w:vAlign w:val="bottom"/>
            <w:gridSpan w:val="2"/>
            <w:shd w:val="clear" w:color="auto" w:fill="CCEEFF"/>
          </w:tcPr>
          <w:p>
            <w:pPr>
              <w:ind w:left="2420"/>
              <w:spacing w:after="0" w:line="195" w:lineRule="exact"/>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plus 1.00%</w:t>
            </w:r>
          </w:p>
        </w:tc>
        <w:tc>
          <w:tcPr>
            <w:tcW w:w="242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24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LIBOR</w:t>
            </w:r>
          </w:p>
        </w:tc>
        <w:tc>
          <w:tcPr>
            <w:tcW w:w="6280" w:type="dxa"/>
            <w:vAlign w:val="bottom"/>
            <w:gridSpan w:val="2"/>
          </w:tcPr>
          <w:p>
            <w:pPr>
              <w:ind w:left="2420"/>
              <w:spacing w:after="0"/>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plus .85%</w:t>
            </w:r>
          </w:p>
        </w:tc>
        <w:tc>
          <w:tcPr>
            <w:tcW w:w="2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4040" w:type="dxa"/>
            <w:vAlign w:val="bottom"/>
            <w:gridSpan w:val="2"/>
            <w:shd w:val="clear" w:color="auto" w:fill="CCEEFF"/>
          </w:tcPr>
          <w:p>
            <w:pPr>
              <w:jc w:val="center"/>
              <w:ind w:left="2350"/>
              <w:spacing w:after="0"/>
              <w:rPr>
                <w:sz w:val="20"/>
                <w:szCs w:val="20"/>
                <w:color w:val="auto"/>
              </w:rPr>
            </w:pPr>
            <w:r>
              <w:rPr>
                <w:rFonts w:ascii="Arial" w:cs="Arial" w:eastAsia="Arial" w:hAnsi="Arial"/>
                <w:sz w:val="18"/>
                <w:szCs w:val="18"/>
                <w:color w:val="auto"/>
                <w:w w:val="91"/>
              </w:rPr>
              <w:t>8.125%</w:t>
            </w:r>
          </w:p>
        </w:tc>
        <w:tc>
          <w:tcPr>
            <w:tcW w:w="628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January 31 and July 31</w:t>
            </w:r>
          </w:p>
        </w:tc>
        <w:tc>
          <w:tcPr>
            <w:tcW w:w="0" w:type="dxa"/>
            <w:vAlign w:val="bottom"/>
          </w:tcPr>
          <w:p>
            <w:pPr>
              <w:spacing w:after="0"/>
              <w:rPr>
                <w:sz w:val="1"/>
                <w:szCs w:val="1"/>
                <w:color w:val="auto"/>
              </w:rPr>
            </w:pPr>
          </w:p>
        </w:tc>
      </w:tr>
      <w:tr>
        <w:trPr>
          <w:trHeight w:val="418"/>
        </w:trPr>
        <w:tc>
          <w:tcPr>
            <w:tcW w:w="110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24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LIBOR</w:t>
            </w:r>
          </w:p>
        </w:tc>
        <w:tc>
          <w:tcPr>
            <w:tcW w:w="6280" w:type="dxa"/>
            <w:vAlign w:val="bottom"/>
            <w:gridSpan w:val="2"/>
          </w:tcPr>
          <w:p>
            <w:pPr>
              <w:ind w:left="2420"/>
              <w:spacing w:after="0"/>
              <w:rPr>
                <w:sz w:val="20"/>
                <w:szCs w:val="20"/>
                <w:color w:val="auto"/>
              </w:rPr>
            </w:pPr>
            <w:r>
              <w:rPr>
                <w:rFonts w:ascii="Arial" w:cs="Arial" w:eastAsia="Arial" w:hAnsi="Arial"/>
                <w:sz w:val="18"/>
                <w:szCs w:val="18"/>
                <w:color w:val="auto"/>
              </w:rPr>
              <w:t>January 7, April 7, July 7 and October 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plus 3.35%</w:t>
            </w:r>
          </w:p>
        </w:tc>
        <w:tc>
          <w:tcPr>
            <w:tcW w:w="2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20" w:firstLine="222"/>
        <w:spacing w:after="0" w:line="286" w:lineRule="auto"/>
        <w:rPr>
          <w:sz w:val="20"/>
          <w:szCs w:val="20"/>
          <w:color w:val="auto"/>
        </w:rPr>
      </w:pPr>
      <w:r>
        <w:rPr>
          <w:rFonts w:ascii="Arial" w:cs="Arial" w:eastAsia="Arial" w:hAnsi="Arial"/>
          <w:sz w:val="17"/>
          <w:szCs w:val="17"/>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5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ind w:left="480"/>
              <w:spacing w:after="0"/>
              <w:rPr>
                <w:sz w:val="20"/>
                <w:szCs w:val="20"/>
                <w:color w:val="auto"/>
              </w:rPr>
            </w:pPr>
            <w:r>
              <w:rPr>
                <w:rFonts w:ascii="Arial" w:cs="Arial" w:eastAsia="Arial" w:hAnsi="Arial"/>
                <w:sz w:val="14"/>
                <w:szCs w:val="14"/>
                <w:color w:val="auto"/>
              </w:rPr>
              <w:t>Capital</w:t>
            </w:r>
          </w:p>
        </w:tc>
        <w:tc>
          <w:tcPr>
            <w:tcW w:w="24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4"/>
                <w:szCs w:val="14"/>
                <w:color w:val="auto"/>
              </w:rPr>
            </w:pPr>
          </w:p>
        </w:tc>
        <w:tc>
          <w:tcPr>
            <w:tcW w:w="6840" w:type="dxa"/>
            <w:vAlign w:val="bottom"/>
          </w:tcPr>
          <w:p>
            <w:pPr>
              <w:jc w:val="center"/>
              <w:spacing w:after="0"/>
              <w:rPr>
                <w:sz w:val="20"/>
                <w:szCs w:val="20"/>
                <w:color w:val="auto"/>
              </w:rPr>
            </w:pPr>
            <w:r>
              <w:rPr>
                <w:rFonts w:ascii="Arial" w:cs="Arial" w:eastAsia="Arial" w:hAnsi="Arial"/>
                <w:sz w:val="14"/>
                <w:szCs w:val="14"/>
                <w:color w:val="auto"/>
                <w:w w:val="92"/>
              </w:rPr>
              <w:t>Junior Subordinated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Trust</w:t>
            </w:r>
          </w:p>
        </w:tc>
        <w:tc>
          <w:tcPr>
            <w:tcW w:w="220" w:type="dxa"/>
            <w:vAlign w:val="bottom"/>
          </w:tcPr>
          <w:p>
            <w:pPr>
              <w:spacing w:after="0"/>
              <w:rPr>
                <w:sz w:val="14"/>
                <w:szCs w:val="14"/>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Securities</w:t>
            </w:r>
          </w:p>
        </w:tc>
        <w:tc>
          <w:tcPr>
            <w:tcW w:w="240" w:type="dxa"/>
            <w:vAlign w:val="bottom"/>
          </w:tcPr>
          <w:p>
            <w:pPr>
              <w:spacing w:after="0"/>
              <w:rPr>
                <w:sz w:val="14"/>
                <w:szCs w:val="14"/>
                <w:color w:val="auto"/>
              </w:rPr>
            </w:pP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4"/>
                <w:szCs w:val="14"/>
                <w:color w:val="auto"/>
              </w:rPr>
            </w:pP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Trust I</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$150 million</w:t>
            </w:r>
          </w:p>
        </w:tc>
        <w:tc>
          <w:tcPr>
            <w:tcW w:w="1600" w:type="dxa"/>
            <w:vAlign w:val="bottom"/>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$4.64 million</w:t>
            </w:r>
          </w:p>
        </w:tc>
        <w:tc>
          <w:tcPr>
            <w:tcW w:w="7060" w:type="dxa"/>
            <w:vAlign w:val="bottom"/>
            <w:gridSpan w:val="2"/>
            <w:shd w:val="clear" w:color="auto" w:fill="CCEEFF"/>
          </w:tcPr>
          <w:p>
            <w:pPr>
              <w:ind w:left="220"/>
              <w:spacing w:after="0" w:line="195" w:lineRule="exact"/>
              <w:rPr>
                <w:sz w:val="20"/>
                <w:szCs w:val="20"/>
                <w:color w:val="auto"/>
              </w:rPr>
            </w:pPr>
            <w:r>
              <w:rPr>
                <w:rFonts w:ascii="Arial" w:cs="Arial" w:eastAsia="Arial" w:hAnsi="Arial"/>
                <w:sz w:val="18"/>
                <w:szCs w:val="18"/>
                <w:color w:val="auto"/>
                <w:w w:val="91"/>
              </w:rPr>
              <w:t>$154.64 million aggregate liquidation amount of 8.234% Junior Subordinated Debentures due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February 1, 2027.</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2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$100 million</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$3.09 million</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1"/>
              </w:rPr>
              <w:t>$103.09 million aggregate liquidation amount of 8.277% Junior Subordinated Debentures due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June 1,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III</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$60 million</w:t>
            </w:r>
          </w:p>
        </w:tc>
        <w:tc>
          <w:tcPr>
            <w:tcW w:w="160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$1.856 million</w:t>
            </w:r>
          </w:p>
        </w:tc>
        <w:tc>
          <w:tcPr>
            <w:tcW w:w="70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$61.856 million aggregate liquidation amount of 9.25% Junior Subordinated Debentures due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February 1, 2027.</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2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$350 million</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$.01 million</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2"/>
              </w:rPr>
              <w:t>$350.01 million aggregate liquidation amount of 8.50% Junior Subordinated Debentures due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January 31, 2068.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$150 million</w:t>
            </w:r>
          </w:p>
        </w:tc>
        <w:tc>
          <w:tcPr>
            <w:tcW w:w="160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$4.64 million</w:t>
            </w:r>
          </w:p>
        </w:tc>
        <w:tc>
          <w:tcPr>
            <w:tcW w:w="70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$154.64 million aggregate liquidation amount of floating rate Junior Subordinated Debentures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January 15, 2027.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60" w:type="dxa"/>
            <w:vAlign w:val="bottom"/>
            <w:gridSpan w:val="2"/>
          </w:tcPr>
          <w:p>
            <w:pPr>
              <w:ind w:left="1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6"/>
              </w:rPr>
              <w:t>Capital</w:t>
            </w:r>
          </w:p>
        </w:tc>
        <w:tc>
          <w:tcPr>
            <w:tcW w:w="24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4"/>
                <w:szCs w:val="14"/>
                <w:color w:val="auto"/>
              </w:rPr>
            </w:pPr>
          </w:p>
        </w:tc>
        <w:tc>
          <w:tcPr>
            <w:tcW w:w="6840" w:type="dxa"/>
            <w:vAlign w:val="bottom"/>
          </w:tcPr>
          <w:p>
            <w:pPr>
              <w:jc w:val="center"/>
              <w:spacing w:after="0"/>
              <w:rPr>
                <w:sz w:val="20"/>
                <w:szCs w:val="20"/>
                <w:color w:val="auto"/>
              </w:rPr>
            </w:pPr>
            <w:r>
              <w:rPr>
                <w:rFonts w:ascii="Arial" w:cs="Arial" w:eastAsia="Arial" w:hAnsi="Arial"/>
                <w:sz w:val="14"/>
                <w:szCs w:val="14"/>
                <w:color w:val="auto"/>
                <w:w w:val="92"/>
              </w:rPr>
              <w:t>Junior Subordinated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Trust</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Securities</w:t>
            </w:r>
          </w:p>
        </w:tc>
        <w:tc>
          <w:tcPr>
            <w:tcW w:w="240" w:type="dxa"/>
            <w:vAlign w:val="bottom"/>
          </w:tcPr>
          <w:p>
            <w:pPr>
              <w:spacing w:after="0"/>
              <w:rPr>
                <w:sz w:val="14"/>
                <w:szCs w:val="14"/>
                <w:color w:val="auto"/>
              </w:rPr>
            </w:pPr>
          </w:p>
        </w:tc>
        <w:tc>
          <w:tcPr>
            <w:tcW w:w="13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4"/>
                <w:szCs w:val="14"/>
                <w:color w:val="auto"/>
              </w:rPr>
            </w:pP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Debentures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Trust VI</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$150 million</w:t>
            </w:r>
          </w:p>
        </w:tc>
        <w:tc>
          <w:tcPr>
            <w:tcW w:w="1600" w:type="dxa"/>
            <w:vAlign w:val="bottom"/>
            <w:gridSpan w:val="2"/>
            <w:shd w:val="clear" w:color="auto" w:fill="CCEEFF"/>
          </w:tcPr>
          <w:p>
            <w:pPr>
              <w:jc w:val="right"/>
              <w:ind w:right="328"/>
              <w:spacing w:after="0" w:line="195" w:lineRule="exact"/>
              <w:rPr>
                <w:sz w:val="20"/>
                <w:szCs w:val="20"/>
                <w:color w:val="auto"/>
              </w:rPr>
            </w:pPr>
            <w:r>
              <w:rPr>
                <w:rFonts w:ascii="Arial" w:cs="Arial" w:eastAsia="Arial" w:hAnsi="Arial"/>
                <w:sz w:val="18"/>
                <w:szCs w:val="18"/>
                <w:color w:val="auto"/>
              </w:rPr>
              <w:t>$4.64 million</w:t>
            </w:r>
          </w:p>
        </w:tc>
        <w:tc>
          <w:tcPr>
            <w:tcW w:w="7060" w:type="dxa"/>
            <w:vAlign w:val="bottom"/>
            <w:gridSpan w:val="2"/>
            <w:shd w:val="clear" w:color="auto" w:fill="CCEEFF"/>
          </w:tcPr>
          <w:p>
            <w:pPr>
              <w:ind w:left="220"/>
              <w:spacing w:after="0" w:line="195" w:lineRule="exact"/>
              <w:rPr>
                <w:sz w:val="20"/>
                <w:szCs w:val="20"/>
                <w:color w:val="auto"/>
              </w:rPr>
            </w:pPr>
            <w:r>
              <w:rPr>
                <w:rFonts w:ascii="Arial" w:cs="Arial" w:eastAsia="Arial" w:hAnsi="Arial"/>
                <w:sz w:val="18"/>
                <w:szCs w:val="18"/>
                <w:color w:val="auto"/>
                <w:w w:val="91"/>
              </w:rPr>
              <w:t>$154.64 million aggregate liquidation amount of floating rate Junior Subordinated Debentures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February 1, 2027.</w:t>
            </w:r>
          </w:p>
        </w:tc>
        <w:tc>
          <w:tcPr>
            <w:tcW w:w="0" w:type="dxa"/>
            <w:vAlign w:val="bottom"/>
          </w:tcPr>
          <w:p>
            <w:pPr>
              <w:spacing w:after="0"/>
              <w:rPr>
                <w:sz w:val="1"/>
                <w:szCs w:val="1"/>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Trust VII</w:t>
            </w:r>
          </w:p>
        </w:tc>
        <w:tc>
          <w:tcPr>
            <w:tcW w:w="2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$16.5 million</w:t>
            </w:r>
          </w:p>
        </w:tc>
        <w:tc>
          <w:tcPr>
            <w:tcW w:w="1600" w:type="dxa"/>
            <w:vAlign w:val="bottom"/>
            <w:gridSpan w:val="2"/>
          </w:tcPr>
          <w:p>
            <w:pPr>
              <w:jc w:val="right"/>
              <w:ind w:right="328"/>
              <w:spacing w:after="0"/>
              <w:rPr>
                <w:sz w:val="20"/>
                <w:szCs w:val="20"/>
                <w:color w:val="auto"/>
              </w:rPr>
            </w:pPr>
            <w:r>
              <w:rPr>
                <w:rFonts w:ascii="Arial" w:cs="Arial" w:eastAsia="Arial" w:hAnsi="Arial"/>
                <w:sz w:val="18"/>
                <w:szCs w:val="18"/>
                <w:color w:val="auto"/>
              </w:rPr>
              <w:t>$.928 million</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w w:val="91"/>
              </w:rPr>
              <w:t>$17.428 million aggregate liquidation amount of 8.125% Junior Subordinated Debentures due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July 31, 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Trust VIII</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$15 million</w:t>
            </w:r>
          </w:p>
        </w:tc>
        <w:tc>
          <w:tcPr>
            <w:tcW w:w="1600" w:type="dxa"/>
            <w:vAlign w:val="bottom"/>
            <w:gridSpan w:val="2"/>
            <w:shd w:val="clear" w:color="auto" w:fill="CCEEFF"/>
          </w:tcPr>
          <w:p>
            <w:pPr>
              <w:jc w:val="right"/>
              <w:ind w:right="328"/>
              <w:spacing w:after="0" w:line="201" w:lineRule="exact"/>
              <w:rPr>
                <w:sz w:val="20"/>
                <w:szCs w:val="20"/>
                <w:color w:val="auto"/>
              </w:rPr>
            </w:pPr>
            <w:r>
              <w:rPr>
                <w:rFonts w:ascii="Arial" w:cs="Arial" w:eastAsia="Arial" w:hAnsi="Arial"/>
                <w:sz w:val="18"/>
                <w:szCs w:val="18"/>
                <w:color w:val="auto"/>
              </w:rPr>
              <w:t>$.464 million</w:t>
            </w:r>
          </w:p>
        </w:tc>
        <w:tc>
          <w:tcPr>
            <w:tcW w:w="70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$15.464 million aggregate liquidation amount of floating rate Junior Subordinated Debentures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due January 7, 2033.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at June 30, 2008 and December 31, 2007 of Trust III, Trust V, Trust VI and Trust VII include the unamortized portions of purchase accounting adjustments to reflect estimated fair value as of the date of M&amp;T’s acquisition of the common securities of each respective trust. The interest rates payable on the Junior Subordinated Debentures of Trust V, Trust VI and Trust VIII were 3.71%, 3.72% and 6.06%, respectively, at June 30, 2008 and were 6.24%, 5.76% and 8.59%, respectively, at December 31, 2007.</w:t>
      </w:r>
    </w:p>
    <w:p>
      <w:pPr>
        <w:spacing w:after="0" w:line="85"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Trust III and Trust VII), twenty quarterly periods (in the case of Trust V, Trust VI and Trust VIII) or, with respect to Trust IV, for up to twenty quarterly periods without being subject to the alternative payment mechanism (as described below), and for up to forty quarterly periods, without giving rise to an event of default,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the Junior Subordinated Debentures due January 31, 2068 held by Trust IV, M&amp;T must fund the payment of accrued and unpaid interest through the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held by Trust IV.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contemporaneously with the optional redemption of the related Junior Subordinated Debentures in whole or in part, subject to possible regulatory approval. In connection with the issuance of the 8.50% Enhanced Trust Preferred Securities by Trust IV,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72" w:lineRule="exact"/>
        <w:rPr>
          <w:sz w:val="20"/>
          <w:szCs w:val="20"/>
          <w:color w:val="auto"/>
        </w:rPr>
      </w:pPr>
    </w:p>
    <w:p>
      <w:pPr>
        <w:ind w:firstLine="215"/>
        <w:spacing w:after="0" w:line="284" w:lineRule="auto"/>
        <w:rPr>
          <w:sz w:val="20"/>
          <w:szCs w:val="20"/>
          <w:color w:val="auto"/>
        </w:rPr>
      </w:pPr>
      <w:r>
        <w:rPr>
          <w:rFonts w:ascii="Arial" w:cs="Arial" w:eastAsia="Arial" w:hAnsi="Arial"/>
          <w:sz w:val="16"/>
          <w:szCs w:val="16"/>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M&amp;T and other permitted investments and (iii) 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w:t>
      </w:r>
    </w:p>
    <w:p>
      <w:pPr>
        <w:spacing w:after="0" w:line="1"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July 15, 2029 that are payable to Allfirst Asset Trust. The interest rates payable on such debentures were 4.14% and 6.67% at June 30, 2008 and December 31, 2007, respectively.</w:t>
      </w:r>
    </w:p>
    <w:p>
      <w:pPr>
        <w:spacing w:after="0" w:line="76"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Asset Trust, respectively, have funds legally available. Under the Federal Reserve Board’s current risk-based capital guidelines, the SKATES are includable in M&amp;T’s Tier 1 Capital.</w:t>
      </w:r>
    </w:p>
    <w:p>
      <w:pPr>
        <w:spacing w:after="0" w:line="62"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V, Trust VI, Trust VII and Allfirst Asset Trust, the junior subordinated debentures associated with preferred capital securities had financial statement carrying values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840"/>
              <w:spacing w:after="0"/>
              <w:rPr>
                <w:sz w:val="20"/>
                <w:szCs w:val="20"/>
                <w:color w:val="auto"/>
              </w:rPr>
            </w:pPr>
            <w:r>
              <w:rPr>
                <w:rFonts w:ascii="Arial" w:cs="Arial" w:eastAsia="Arial" w:hAnsi="Arial"/>
                <w:sz w:val="14"/>
                <w:szCs w:val="14"/>
                <w:color w:val="auto"/>
              </w:rPr>
              <w:t>June 30,</w:t>
            </w:r>
          </w:p>
        </w:tc>
        <w:tc>
          <w:tcPr>
            <w:tcW w:w="920" w:type="dxa"/>
            <w:vAlign w:val="bottom"/>
            <w:gridSpan w:val="2"/>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tcPr>
          <w:p>
            <w:pPr>
              <w:ind w:left="640"/>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I</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154,640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154,640</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II</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103,093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67,897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IV</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350,010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V</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144,476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144,201</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VI</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142,317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141,986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 VII</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Trust VIII</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15,464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Allfirst Asset Trust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102,030</w:t>
            </w:r>
          </w:p>
        </w:tc>
        <w:tc>
          <w:tcPr>
            <w:tcW w:w="6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1,096,841</w:t>
            </w:r>
          </w:p>
        </w:tc>
        <w:tc>
          <w:tcPr>
            <w:tcW w:w="6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746,297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21 to the Company’s consolidated financial statements as of and for the year ended December 31, 2007. The management accounting policies and processes utilized in compiling segment financial information are highly subjective and, unlike financial accounting, are not based on authoritative guidance similar to generally accepted accounting principles (GAAP). As a result, the financial information of the reported segments is not necessarily comparable with similar information reported by other financial institutions. As also described in note 21 to the Company’s 2007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has, however,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assigned such intangible assets to business units for purposes of testing for impairment.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color w:val="auto"/>
              </w:rPr>
              <w:t>Three months ended June 30</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7"/>
              </w:rPr>
              <w:t>Inter-</w:t>
            </w: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right"/>
              <w:ind w:right="840"/>
              <w:spacing w:after="0" w:line="123" w:lineRule="exact"/>
              <w:rPr>
                <w:sz w:val="20"/>
                <w:szCs w:val="20"/>
                <w:color w:val="auto"/>
              </w:rPr>
            </w:pPr>
            <w:r>
              <w:rPr>
                <w:rFonts w:ascii="Arial" w:cs="Arial" w:eastAsia="Arial" w:hAnsi="Arial"/>
                <w:sz w:val="14"/>
                <w:szCs w:val="14"/>
                <w:color w:val="auto"/>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6"/>
              </w:rPr>
              <w:t>Total</w:t>
            </w: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9"/>
              </w:rPr>
              <w:t>segment</w:t>
            </w: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2"/>
              </w:rPr>
              <w:t>income</w:t>
            </w: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Total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center"/>
              <w:ind w:right="700"/>
              <w:spacing w:after="0"/>
              <w:rPr>
                <w:sz w:val="20"/>
                <w:szCs w:val="20"/>
                <w:color w:val="auto"/>
              </w:rPr>
            </w:pPr>
            <w:r>
              <w:rPr>
                <w:rFonts w:ascii="Arial" w:cs="Arial" w:eastAsia="Arial" w:hAnsi="Arial"/>
                <w:sz w:val="14"/>
                <w:szCs w:val="14"/>
                <w:color w:val="auto"/>
                <w:w w:val="89"/>
              </w:rPr>
              <w:t>revenues (a)</w:t>
            </w: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color w:val="auto"/>
                <w:w w:val="90"/>
              </w:rPr>
              <w:t>revenues</w:t>
            </w: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color w:val="auto"/>
                <w:w w:val="93"/>
              </w:rPr>
              <w:t>(loss)</w:t>
            </w:r>
          </w:p>
        </w:tc>
        <w:tc>
          <w:tcPr>
            <w:tcW w:w="152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revenues (a)(b)</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(loss)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gridSpan w:val="3"/>
          </w:tcPr>
          <w:p>
            <w:pPr>
              <w:jc w:val="right"/>
              <w:ind w:right="634"/>
              <w:spacing w:after="0" w:line="142" w:lineRule="exact"/>
              <w:rPr>
                <w:sz w:val="20"/>
                <w:szCs w:val="20"/>
                <w:color w:val="auto"/>
              </w:rPr>
            </w:pPr>
            <w:r>
              <w:rPr>
                <w:rFonts w:ascii="Arial" w:cs="Arial" w:eastAsia="Arial" w:hAnsi="Arial"/>
                <w:sz w:val="14"/>
                <w:szCs w:val="14"/>
                <w:color w:val="auto"/>
                <w:w w:val="90"/>
              </w:rPr>
              <w:t>(in thousands)</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29,547</w:t>
            </w:r>
          </w:p>
        </w:tc>
        <w:tc>
          <w:tcPr>
            <w:tcW w:w="6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92,030</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34,674</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153,566</w:t>
            </w:r>
          </w:p>
        </w:tc>
        <w:tc>
          <w:tcPr>
            <w:tcW w:w="7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6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53,516</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139,843</w:t>
            </w:r>
          </w:p>
        </w:tc>
        <w:tc>
          <w:tcPr>
            <w:tcW w:w="6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88,273</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42,646</w:t>
            </w:r>
          </w:p>
        </w:tc>
        <w:tc>
          <w:tcPr>
            <w:tcW w:w="64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77,812</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39,016</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28,792</w:t>
            </w:r>
          </w:p>
        </w:tc>
        <w:tc>
          <w:tcPr>
            <w:tcW w:w="70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(4,170)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5,324</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33,505</w:t>
            </w:r>
          </w:p>
        </w:tc>
        <w:tc>
          <w:tcPr>
            <w:tcW w:w="66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(3,196)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64,021</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(10,420)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12,556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292,175</w:t>
            </w:r>
          </w:p>
        </w:tc>
        <w:tc>
          <w:tcPr>
            <w:tcW w:w="7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3,355</w:t>
            </w:r>
          </w:p>
        </w:tc>
        <w:tc>
          <w:tcPr>
            <w:tcW w:w="6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62,927</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304,312</w:t>
            </w:r>
          </w:p>
        </w:tc>
        <w:tc>
          <w:tcPr>
            <w:tcW w:w="6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3,429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38,992</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(12,509)</w:t>
            </w:r>
          </w:p>
        </w:tc>
        <w:tc>
          <w:tcPr>
            <w:tcW w:w="136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(23,275)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w:t>
            </w:r>
          </w:p>
        </w:tc>
        <w:tc>
          <w:tcPr>
            <w:tcW w:w="6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(13,108)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(29,809)</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$ 757,814</w:t>
            </w:r>
          </w:p>
        </w:tc>
        <w:tc>
          <w:tcPr>
            <w:tcW w:w="700" w:type="dxa"/>
            <w:vAlign w:val="bottom"/>
          </w:tcPr>
          <w:p>
            <w:pPr>
              <w:spacing w:after="0"/>
              <w:rPr>
                <w:sz w:val="24"/>
                <w:szCs w:val="2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160,265</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745,029</w:t>
            </w:r>
          </w:p>
        </w:tc>
        <w:tc>
          <w:tcPr>
            <w:tcW w:w="6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color w:val="auto"/>
              </w:rPr>
              <w:t>Six months ended June 30</w:t>
            </w: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2008</w:t>
            </w: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2007</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2"/>
          </w:tcPr>
          <w:p>
            <w:pPr>
              <w:jc w:val="center"/>
              <w:ind w:right="640"/>
              <w:spacing w:after="0" w:line="123" w:lineRule="exact"/>
              <w:rPr>
                <w:sz w:val="20"/>
                <w:szCs w:val="20"/>
                <w:color w:val="auto"/>
              </w:rPr>
            </w:pPr>
            <w:r>
              <w:rPr>
                <w:rFonts w:ascii="Arial" w:cs="Arial" w:eastAsia="Arial" w:hAnsi="Arial"/>
                <w:sz w:val="14"/>
                <w:szCs w:val="14"/>
                <w:color w:val="auto"/>
                <w:w w:val="97"/>
              </w:rPr>
              <w:t>Inter-</w:t>
            </w: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2"/>
          </w:tcPr>
          <w:p>
            <w:pPr>
              <w:jc w:val="right"/>
              <w:ind w:right="840"/>
              <w:spacing w:after="0" w:line="123" w:lineRule="exact"/>
              <w:rPr>
                <w:sz w:val="20"/>
                <w:szCs w:val="20"/>
                <w:color w:val="auto"/>
              </w:rPr>
            </w:pPr>
            <w:r>
              <w:rPr>
                <w:rFonts w:ascii="Arial" w:cs="Arial" w:eastAsia="Arial" w:hAnsi="Arial"/>
                <w:sz w:val="14"/>
                <w:szCs w:val="14"/>
                <w:color w:val="auto"/>
              </w:rPr>
              <w:t>Inter-</w:t>
            </w: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89"/>
              </w:rPr>
              <w:t>Total</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segment</w:t>
            </w: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7"/>
              </w:rPr>
              <w:t>income</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Total</w:t>
            </w:r>
          </w:p>
        </w:tc>
        <w:tc>
          <w:tcPr>
            <w:tcW w:w="13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segment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91"/>
              </w:rPr>
              <w:t>revenues (a)</w:t>
            </w:r>
          </w:p>
        </w:tc>
        <w:tc>
          <w:tcPr>
            <w:tcW w:w="7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revenues</w:t>
            </w:r>
          </w:p>
        </w:tc>
        <w:tc>
          <w:tcPr>
            <w:tcW w:w="6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3"/>
              </w:rPr>
              <w:t>(loss)</w:t>
            </w:r>
          </w:p>
        </w:tc>
        <w:tc>
          <w:tcPr>
            <w:tcW w:w="64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color w:val="auto"/>
                <w:w w:val="91"/>
              </w:rPr>
              <w:t>revenues (a)(b)</w:t>
            </w:r>
          </w:p>
        </w:tc>
        <w:tc>
          <w:tcPr>
            <w:tcW w:w="132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(loss)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gridSpan w:val="5"/>
          </w:tcPr>
          <w:p>
            <w:pPr>
              <w:jc w:val="right"/>
              <w:ind w:right="14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187,244</w:t>
            </w:r>
          </w:p>
        </w:tc>
        <w:tc>
          <w:tcPr>
            <w:tcW w:w="13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3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62,330</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181,109</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66,252</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316,150</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250</w:t>
            </w: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120,325</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275,548</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220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174,551</w:t>
            </w:r>
          </w:p>
        </w:tc>
        <w:tc>
          <w:tcPr>
            <w:tcW w:w="13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411</w:t>
            </w:r>
          </w:p>
        </w:tc>
        <w:tc>
          <w:tcPr>
            <w:tcW w:w="13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85,455</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149,131</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73,304</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72,267</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(8,499)</w:t>
            </w: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21,301</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62,781</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(5,542)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131,439</w:t>
            </w:r>
          </w:p>
        </w:tc>
        <w:tc>
          <w:tcPr>
            <w:tcW w:w="13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26,284</w:t>
            </w:r>
          </w:p>
        </w:tc>
        <w:tc>
          <w:tcPr>
            <w:tcW w:w="136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(5,361)</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110,844</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23,447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595,043</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6,322</w:t>
            </w: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138,397</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589,062</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6,457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72,633</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(24,771)</w:t>
            </w:r>
          </w:p>
        </w:tc>
        <w:tc>
          <w:tcPr>
            <w:tcW w:w="136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(59,986)</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63,464</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(24,957)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(66,399)</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86"/>
              </w:rPr>
              <w:t>$ 1,549,327</w:t>
            </w:r>
          </w:p>
        </w:tc>
        <w:tc>
          <w:tcPr>
            <w:tcW w:w="700" w:type="dxa"/>
            <w:vAlign w:val="bottom"/>
          </w:tcPr>
          <w:p>
            <w:pPr>
              <w:spacing w:after="0"/>
              <w:rPr>
                <w:sz w:val="24"/>
                <w:szCs w:val="2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40"/>
              <w:spacing w:after="0"/>
              <w:rPr>
                <w:sz w:val="20"/>
                <w:szCs w:val="20"/>
                <w:color w:val="auto"/>
              </w:rPr>
            </w:pPr>
            <w:r>
              <w:rPr>
                <w:rFonts w:ascii="Arial" w:cs="Arial" w:eastAsia="Arial" w:hAnsi="Arial"/>
                <w:sz w:val="18"/>
                <w:szCs w:val="18"/>
                <w:color w:val="auto"/>
              </w:rPr>
              <w:t>362,461</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1,431,939</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390,142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Average total assets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gridSpan w:val="4"/>
          </w:tcPr>
          <w:p>
            <w:pPr>
              <w:jc w:val="right"/>
              <w:ind w:right="1180"/>
              <w:spacing w:after="0" w:line="123" w:lineRule="exact"/>
              <w:rPr>
                <w:sz w:val="20"/>
                <w:szCs w:val="20"/>
                <w:color w:val="auto"/>
              </w:rPr>
            </w:pPr>
            <w:r>
              <w:rPr>
                <w:rFonts w:ascii="Arial" w:cs="Arial" w:eastAsia="Arial" w:hAnsi="Arial"/>
                <w:sz w:val="14"/>
                <w:szCs w:val="14"/>
                <w:color w:val="auto"/>
              </w:rPr>
              <w:t>Six months ended</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3"/>
          </w:tcPr>
          <w:p>
            <w:pPr>
              <w:jc w:val="right"/>
              <w:ind w:right="1460"/>
              <w:spacing w:after="0" w:line="149" w:lineRule="exact"/>
              <w:rPr>
                <w:sz w:val="20"/>
                <w:szCs w:val="20"/>
                <w:color w:val="auto"/>
              </w:rPr>
            </w:pPr>
            <w:r>
              <w:rPr>
                <w:rFonts w:ascii="Arial" w:cs="Arial" w:eastAsia="Arial" w:hAnsi="Arial"/>
                <w:sz w:val="14"/>
                <w:szCs w:val="14"/>
                <w:color w:val="auto"/>
              </w:rPr>
              <w:t>June 30</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color w:val="auto"/>
              </w:rPr>
              <w:t>2007 (b)</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2007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4,144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432"/>
        </w:trPr>
        <w:tc>
          <w:tcPr>
            <w:tcW w:w="784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14,692</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12,762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11,230</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9,337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432"/>
        </w:trPr>
        <w:tc>
          <w:tcPr>
            <w:tcW w:w="784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14,725</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12,316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3,128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432"/>
        </w:trPr>
        <w:tc>
          <w:tcPr>
            <w:tcW w:w="784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11,459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10,119</w:t>
            </w:r>
          </w:p>
        </w:tc>
        <w:tc>
          <w:tcPr>
            <w:tcW w:w="6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5,560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0"/>
        </w:trPr>
        <w:tc>
          <w:tcPr>
            <w:tcW w:w="78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65,299</w:t>
            </w:r>
          </w:p>
        </w:tc>
        <w:tc>
          <w:tcPr>
            <w:tcW w:w="68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57,366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 for any funds provided (e.g. deposits). The taxable-equivalent adjustment aggregated $5,851,000 and $4,972,000 for the three-month periods ended June 30, 2008 and 2007, respectively, and $11,634,000 and $10,095,000 for the six-month periods ended June 30, 2008 and 2007,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40"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 January 1, 2008, the Company changed its internal profitability reporting to move a New York City-based lending unit from the Commercial Banking segment to the Commercial Real Estate segment. Accordingly, financial information presented herein for periods prior to January 1, 2008 has been reclassified to conform to current year presentation. As a result, total revenues and net income decreased in the Commercial Banking segment and increased in the Commercial Real Estate segment for the three-month period ended June 30, 2007 by $6 million and $4 million, respectively, and for the six-month period ended June 30, 2007 by $13 million and $6 million, respectively, as compared with amounts previously reported. The lending unit had average total assets of $621 million during the six-months ended June 30, 2007 and $667 million during the year ended December 31, 2007. Accordingly, average total assets presented for those periods differ from amounts previously reported.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color w:val="auto"/>
              </w:rPr>
              <w:t>2008</w:t>
            </w:r>
          </w:p>
        </w:tc>
        <w:tc>
          <w:tcPr>
            <w:tcW w:w="2100" w:type="dxa"/>
            <w:vAlign w:val="bottom"/>
            <w:gridSpan w:val="3"/>
          </w:tcPr>
          <w:p>
            <w:pPr>
              <w:jc w:val="right"/>
              <w:ind w:right="468"/>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w w:val="89"/>
              </w:rPr>
              <w:t>(in</w:t>
            </w:r>
          </w:p>
        </w:tc>
        <w:tc>
          <w:tcPr>
            <w:tcW w:w="500" w:type="dxa"/>
            <w:vAlign w:val="bottom"/>
          </w:tcPr>
          <w:p>
            <w:pPr>
              <w:ind w:left="40"/>
              <w:spacing w:after="0"/>
              <w:rPr>
                <w:sz w:val="20"/>
                <w:szCs w:val="20"/>
                <w:color w:val="auto"/>
              </w:rPr>
            </w:pPr>
            <w:r>
              <w:rPr>
                <w:rFonts w:ascii="Arial" w:cs="Arial" w:eastAsia="Arial" w:hAnsi="Arial"/>
                <w:sz w:val="12"/>
                <w:szCs w:val="12"/>
                <w:color w:val="auto"/>
                <w:w w:val="74"/>
              </w:rPr>
              <w:t>thousands)</w:t>
            </w: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$6,098,767</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5,937,903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67,723</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96,995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2,531,003</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2,869,961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477,259</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492,375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315,092</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425,579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6,991,615</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7,346,790</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3,788,172</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3,691,971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60,552</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432"/>
        </w:trPr>
        <w:tc>
          <w:tcPr>
            <w:tcW w:w="820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1120" w:type="dxa"/>
            <w:vAlign w:val="bottom"/>
          </w:tcPr>
          <w:p>
            <w:pPr>
              <w:jc w:val="right"/>
              <w:spacing w:after="0"/>
              <w:rPr>
                <w:sz w:val="20"/>
                <w:szCs w:val="20"/>
                <w:color w:val="auto"/>
              </w:rPr>
            </w:pPr>
            <w:r>
              <w:rPr>
                <w:rFonts w:ascii="Arial" w:cs="Arial" w:eastAsia="Arial" w:hAnsi="Arial"/>
                <w:sz w:val="18"/>
                <w:szCs w:val="18"/>
                <w:color w:val="auto"/>
              </w:rPr>
              <w:t>1,435,350</w:t>
            </w:r>
          </w:p>
        </w:tc>
        <w:tc>
          <w:tcPr>
            <w:tcW w:w="2100" w:type="dxa"/>
            <w:vAlign w:val="bottom"/>
            <w:gridSpan w:val="3"/>
          </w:tcPr>
          <w:p>
            <w:pPr>
              <w:jc w:val="right"/>
              <w:ind w:right="248"/>
              <w:spacing w:after="0"/>
              <w:rPr>
                <w:sz w:val="20"/>
                <w:szCs w:val="20"/>
                <w:color w:val="auto"/>
              </w:rPr>
            </w:pPr>
            <w:r>
              <w:rPr>
                <w:rFonts w:ascii="Arial" w:cs="Arial" w:eastAsia="Arial" w:hAnsi="Arial"/>
                <w:sz w:val="18"/>
                <w:szCs w:val="18"/>
                <w:color w:val="auto"/>
              </w:rPr>
              <w:t>1,318,733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780,343</w:t>
            </w:r>
          </w:p>
        </w:tc>
        <w:tc>
          <w:tcPr>
            <w:tcW w:w="21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946,457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The Company’s maximum credit risk for recourse associated with loans sold under this program totaled approximately $1.1 billion and $1.0 billion as of June 30, 2008 and December 31, 2007, respectively.</w:t>
      </w:r>
    </w:p>
    <w:p>
      <w:pPr>
        <w:spacing w:after="0" w:line="85"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are generally recorded in the consolidated balance sheet at estimated fair market value. Until January 1, 2008, in estimating that fair value for commitments to originate loans for sale, value ascribable to cash flows to be realized in connection with loan servicing activities was not included. Value ascribable to that portion of cash flows was recognized at the time the underlying mortgage loans were sold. Effective January 1, 2008, the Company adopted the provisions of Staff Accounting Bulletin (“SAB”) No. 109 issued by the Securities and Exchange Commission (“SEC”),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 in the value of loan commitments accounted for as derivatives at December 31, 2007. As a result of the Company’s adoption of required changes in accounting pronouncements on January 1, 2008, there was an acceleration of the recognition of mortgage banking revenues of approximately $7 million during the first quarter of 2008. If not for the changes in accounting pronouncements, those revenues would have been recognized later in 2008 when the underlying loans were sold.</w:t>
      </w:r>
    </w:p>
    <w:p>
      <w:pPr>
        <w:spacing w:after="0" w:line="6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160" w:firstLine="222"/>
        <w:spacing w:after="0" w:line="290"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$108 million at June 30, 2008. Assets of subsidiaries providing reinsurance that are available to satisfy claims totaled approximately $59 million at June 30, 2008. The amounts noted above are not necessarily indicative of losses which may ultimately be incurred. Such losses are expected to be substantially less because most loans are repaid by borrowers in accordance with the original loan terms. The amount of the Company’s recorded liability for reported reinsurance losses as well as estimated losses incurred but not yet reported was not significant at either June 30, 2008 or December 31, 2007.</w:t>
      </w:r>
    </w:p>
    <w:p>
      <w:pPr>
        <w:spacing w:after="0" w:line="58"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October 2007, Visa completed a reorganization in contemplation of its initial public offering (“IPO”) expected to occur in 2008. As part of that reorganization, M&amp;T Bank, M&amp;T’s principal banking subsidiary, and other member banks of Visa received shares of Class B common stock of Visa. Those banks are also obligated under various agreements with Visa to share in losses stemming from certain litigation involving Visa (“Covered Litigation”). As of December 31, 2007, although Visa was expected to set aside a portion of the proceeds from</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its IPO in an escrow account to fund any judgments or settlements that may arise out of the Covered Litigation, guidance from the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related to the Covered Litigation. In accordance with GAAP and consistent with the SEC guidance, the Company did not recognize any value for its common stock ownership interest in Visa as of December 31, 2007. During the first quarter of 2008, Visa completed its IPO and, as part of the transaction, funded an escrow account for $3 billion from the proceeds of the IPO to cover potential settlements arising out of the Covered Litigation. As a result, during the first three months of 2008, the Company reversed approximately</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$15 million of the $23 million accrued during the fourth quarter of 2007 for the Covered Litigation. The initial accrual in 2007 and the partial reversal in 2008 were included in “other costs of operations” in the consolidated statement of income. In addition, M&amp;T Bank was allocated 1,967,028 Class B common shares of Visa. Of those shares, 760,455 were mandatorily redeemed in March 2008 resulting in a pre-tax gain of $33 million ($20 million after tax) which has been included in “gain on bank investment securities” in the consolidated statement of income.</w:t>
      </w:r>
    </w:p>
    <w:p>
      <w:pPr>
        <w:spacing w:after="0" w:line="82"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3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89"/>
              </w:rPr>
              <w:t>Three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4,362</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8"/>
              <w:spacing w:after="0"/>
              <w:rPr>
                <w:sz w:val="20"/>
                <w:szCs w:val="20"/>
                <w:color w:val="auto"/>
              </w:rPr>
            </w:pPr>
            <w:r>
              <w:rPr>
                <w:rFonts w:ascii="Arial" w:cs="Arial" w:eastAsia="Arial" w:hAnsi="Arial"/>
                <w:sz w:val="18"/>
                <w:szCs w:val="18"/>
                <w:color w:val="auto"/>
              </w:rPr>
              <w:t>10,508</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941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92"/>
              </w:rPr>
              <w:t>(11,933)</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(10,025)</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68"/>
              <w:spacing w:after="0"/>
              <w:rPr>
                <w:sz w:val="20"/>
                <w:szCs w:val="20"/>
                <w:color w:val="auto"/>
              </w:rPr>
            </w:pPr>
            <w:r>
              <w:rPr>
                <w:rFonts w:ascii="Arial" w:cs="Arial" w:eastAsia="Arial" w:hAnsi="Arial"/>
                <w:sz w:val="18"/>
                <w:szCs w:val="18"/>
                <w:color w:val="auto"/>
              </w:rPr>
              <w:t>(1,639)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751</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7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vMerge w:val="restart"/>
          </w:tcPr>
          <w:p>
            <w:pPr>
              <w:jc w:val="right"/>
              <w:ind w:right="5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91"/>
              </w:rPr>
              <w:t>Six months ended June 30</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9,705</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628"/>
              <w:spacing w:after="0"/>
              <w:rPr>
                <w:sz w:val="20"/>
                <w:szCs w:val="20"/>
                <w:color w:val="auto"/>
              </w:rPr>
            </w:pPr>
            <w:r>
              <w:rPr>
                <w:rFonts w:ascii="Arial" w:cs="Arial" w:eastAsia="Arial" w:hAnsi="Arial"/>
                <w:sz w:val="18"/>
                <w:szCs w:val="18"/>
                <w:color w:val="auto"/>
              </w:rPr>
              <w:t>21,272</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18,750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(23,047)</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(20,050)</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(3,279)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1,971</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25"/>
        <w:spacing w:after="0" w:line="342" w:lineRule="auto"/>
        <w:rPr>
          <w:sz w:val="20"/>
          <w:szCs w:val="20"/>
          <w:color w:val="auto"/>
        </w:rPr>
      </w:pPr>
      <w:r>
        <w:rPr>
          <w:rFonts w:ascii="Arial" w:cs="Arial" w:eastAsia="Arial" w:hAnsi="Arial"/>
          <w:sz w:val="16"/>
          <w:szCs w:val="16"/>
          <w:color w:val="auto"/>
        </w:rPr>
        <w:t>Expense incurred in connection with the Company’s defined contribution pension and retirement savings plans totaled $7,990,000 and $7,248,000 for the three months ended June 30, 2008 and 2007, respectively, and $18,317,000 and $16,417,000 for the six months ended June 30, 2008 and 2007,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November 30, 2007, M&amp;T completed the acquisition of Partners Trust Financial Group, Inc. (“Partners Trust”), a bank holding company headquartered in Utica, New York. Partners Trust was merged with and into M&amp;T on that date. Partners Trust Bank, the primary banking subsidiary of Partners Trust, was merged into M&amp;T Bank on that date. Partners Trust Bank operated 33 branch offices in upstate New York at the date of acquisition. The results of operations acquired in the Partners Trust transaction have been included in the Company’s financial results since November 30, 2007, but did not have a material effect on the Company’s results of operations in 2007 or in the first six months of 2008. After application of the election, allocation and proration procedures contained in the merger agreement with Partners Trust, M&amp;T paid $282 million in cash and issued 3,096,861 shares of M&amp;T common stock in exchange for Partners Trust shares and stock options outstanding at the time of acquisition. The purchase price was approximately $559 million based on the cash paid to Partners Trust shareholders, the fair value of M&amp;T common stock exchanged, and the cash paid to holders of Partners Trust stock options. The acquisition of Partners Trust expands M&amp;T’s presence in upstate New York, making M&amp;T Bank the deposit market share leader in the Utica-Rome and Binghamton markets, while strengthening its lead position in Syracuse.</w:t>
      </w:r>
    </w:p>
    <w:p>
      <w:pPr>
        <w:spacing w:after="0" w:line="70" w:lineRule="exact"/>
        <w:rPr>
          <w:sz w:val="20"/>
          <w:szCs w:val="20"/>
          <w:color w:val="auto"/>
        </w:rPr>
      </w:pPr>
    </w:p>
    <w:p>
      <w:pPr>
        <w:ind w:right="280" w:firstLine="215"/>
        <w:spacing w:after="0" w:line="279" w:lineRule="auto"/>
        <w:rPr>
          <w:sz w:val="20"/>
          <w:szCs w:val="20"/>
          <w:color w:val="auto"/>
        </w:rPr>
      </w:pPr>
      <w:r>
        <w:rPr>
          <w:rFonts w:ascii="Arial" w:cs="Arial" w:eastAsia="Arial" w:hAnsi="Arial"/>
          <w:sz w:val="17"/>
          <w:szCs w:val="17"/>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$283 million of goodwill and $50 million of core deposit intangible. The core deposit intangible is being amortized over 7 years using an accelerated method.</w:t>
      </w:r>
    </w:p>
    <w:p>
      <w:pPr>
        <w:spacing w:after="0" w:line="63"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a condition of the approval of the Partners Trust acquisition by regulators, M&amp;T Bank was required to divest three branch offices in Binghamton, New York. The three branches were sold on March 15, 2008, including loans of $13 million and deposits of $65 million. No gain or loss was recognized on that transaction.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 continued</w:t>
      </w:r>
    </w:p>
    <w:p>
      <w:pPr>
        <w:spacing w:after="0" w:line="121"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On December 7, 2007, M&amp;T Bank acquired 13 branch offices in the Mid-Atlantic region from First Horizon Bank in a cash transaction. The offices had approximately $214 million of loans, $216 million of deposits and $80 million of trust and investment assets under management on the transaction date.</w:t>
      </w:r>
    </w:p>
    <w:p>
      <w:pPr>
        <w:spacing w:after="0" w:line="16"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incurred merger-related expenses related to systems conversions and other costs of integrating and conforming acquired operations with and into the Company of $4 million ($2 million net of applicable income taxes) during the first quarter of 2008. There were no similar expenses in the second quarter of 2008, nor in the first six months of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Relationship with Bayview Lending Group LLC and Bayview Financial Holdings, L.P.</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February 5, 2007 M&amp;T invested $300 million to acquire a minority interest in Bayview Lending Group LLC (“BLG”), a privately-held commercial mortgage lender that specializes in originating, securitizing and servicing small balance commercial real estate loans. M&amp;T recognizes income from BLG using the equity method of accounting.</w:t>
      </w:r>
    </w:p>
    <w:p>
      <w:pPr>
        <w:spacing w:after="0" w:line="73"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 balance commercial mortgage loans from BLG and Bayview Financial having outstanding principal balances of $5.8 billion and $4.9 billion at June 30, 2008 and December 31, 2007, respectively. Amounts recorded as capitalized servicing assets for such loans totaled $64 million at June 30, 2008 and $57 million at December 31, 2007. In addition, capitalized servicing rights at June 30, 2008 and December 31, 2007 also included $32 million and $40 million, respectively, for servicing rights that were purchased from Bayview Financial related to residential mortgage loans with outstanding principal balances of $4.3 billion at June 30, 2008 and $4.6 billion at December 31, 2007. Revenues from servicing residential and small balance commercial mortgage loans purchased from BLG and Bayview Financial were $13 million and $12 million for the three months ended June 30, 2008 and 2007, respectively, and $27 million and $23 million for the six months ended June 30, 2008 and 2007, respectively. M&amp;T Bank provides $107 million of credit facilities to Bayview Financial of which $87 million was outstanding at June 30, 2008. There was no outstanding balance at December 31, 2007. Finally, at June 30, 2008 and December 31, 2007, the Company held $347 million and $450 million, respectively, of private collateralized mortgage obligations in its available for sale investment securities portfolio that were securitized by Bayview Financial.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Effective January 1, 2008, the Company adopted SFAS No. 157, “Fair Value Measurements,” for fair value measurements of certain of its financial instruments. The provisions of SFAS No. 157 that pertain to measurement of non-financial assets and liabilities have been deferred by the Financial Accounting Standards Board (“FASB”) until 2009. The adoption of SFAS No. 157 did not have a material effect on the Company’s financial position or results of operations.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provisions of SFAS No. 159, “The Fair Value Option for Financial Assets and Financial Liabilities,” which permit an entity to choose to measure eligible financial instruments and other items at fair value, also became effective January 1, 2008. The Company has not made any fair value elections under SFAS No.159 as of June 30, 2008.</w:t>
      </w:r>
    </w:p>
    <w:p>
      <w:pPr>
        <w:spacing w:after="0" w:line="73"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definition of fair value is clarified by SFAS No. 157 to be the price that would be received to sell an asset or paid to transfer a liability in an orderly transaction between market participants at the measurement date. SFAS No. 157 establishes a three-level hierarchy for fair value measurements based upon the inputs to the valuation of an asset or liability.</w:t>
      </w:r>
    </w:p>
    <w:p>
      <w:pPr>
        <w:spacing w:after="0" w:line="73" w:lineRule="exact"/>
        <w:rPr>
          <w:sz w:val="20"/>
          <w:szCs w:val="20"/>
          <w:color w:val="auto"/>
        </w:rPr>
      </w:pPr>
    </w:p>
    <w:p>
      <w:pPr>
        <w:ind w:left="560" w:hanging="444"/>
        <w:spacing w:after="0"/>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560" w:right="760" w:hanging="444"/>
        <w:spacing w:after="0" w:line="342" w:lineRule="auto"/>
        <w:tabs>
          <w:tab w:leader="none" w:pos="5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560" w:right="40" w:hanging="444"/>
        <w:spacing w:after="0" w:line="277" w:lineRule="auto"/>
        <w:tabs>
          <w:tab w:leader="none" w:pos="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6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When available, the Company attempts to use quoted market prices to determine fair value and classifies such items as Level 1 or Level 2. If quoted market prices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 For many privately issued mortgage-backed securities and other securities where there is limited trading activity or less observable valuation inputs, the Company has classified such valuations as Level 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from the date of close through the sale date. Most of the Company’s real estate loans held for sale have generally been hedged since the origination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oftentimes adjusted to reflect the Company’s anticipated commitment expirations. Estimated commitment expirations are considered a significant unobservable input, which results in a Level 3 classification. Additionally, during the first quarter of 2008 the Company adopted the provisions of SAB No. 109 for written loan commitments issued or modified after January 1, 2008. SAB No. 109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the Company had not included such amount in the value of commitments to originate real estate loans for sale at December 31, 2007. The estimated value ascribed to the expected net future servicing cash flows is also considered a significant unobservable input contributing to the Level 3 classification of commitments to originate real estate loans for sale.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assets and liabilities at June 30, 2008 measured at estimated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1480" w:type="dxa"/>
            <w:vAlign w:val="bottom"/>
            <w:gridSpan w:val="4"/>
          </w:tcPr>
          <w:p>
            <w:pPr>
              <w:spacing w:after="0" w:line="149" w:lineRule="exact"/>
              <w:rPr>
                <w:sz w:val="20"/>
                <w:szCs w:val="20"/>
                <w:color w:val="auto"/>
              </w:rPr>
            </w:pPr>
            <w:r>
              <w:rPr>
                <w:rFonts w:ascii="Arial" w:cs="Arial" w:eastAsia="Arial" w:hAnsi="Arial"/>
                <w:sz w:val="14"/>
                <w:szCs w:val="14"/>
                <w:color w:val="auto"/>
              </w:rPr>
              <w:t>measurements</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89"/>
              </w:rPr>
              <w:t>at June 30,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color w:val="auto"/>
                <w:w w:val="96"/>
              </w:rPr>
              <w:t>2008</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right"/>
              <w:ind w:right="713"/>
              <w:spacing w:after="0"/>
              <w:rPr>
                <w:sz w:val="20"/>
                <w:szCs w:val="20"/>
                <w:color w:val="auto"/>
              </w:rPr>
            </w:pPr>
            <w:r>
              <w:rPr>
                <w:rFonts w:ascii="Arial" w:cs="Arial" w:eastAsia="Arial" w:hAnsi="Arial"/>
                <w:sz w:val="14"/>
                <w:szCs w:val="14"/>
                <w:color w:val="auto"/>
              </w:rPr>
              <w:t>Level 1</w:t>
            </w:r>
          </w:p>
        </w:tc>
        <w:tc>
          <w:tcPr>
            <w:tcW w:w="1500" w:type="dxa"/>
            <w:vAlign w:val="bottom"/>
            <w:gridSpan w:val="2"/>
          </w:tcPr>
          <w:p>
            <w:pPr>
              <w:jc w:val="right"/>
              <w:ind w:right="860"/>
              <w:spacing w:after="0"/>
              <w:rPr>
                <w:sz w:val="20"/>
                <w:szCs w:val="20"/>
                <w:color w:val="auto"/>
              </w:rPr>
            </w:pPr>
            <w:r>
              <w:rPr>
                <w:rFonts w:ascii="Arial" w:cs="Arial" w:eastAsia="Arial" w:hAnsi="Arial"/>
                <w:sz w:val="14"/>
                <w:szCs w:val="14"/>
                <w:color w:val="auto"/>
              </w:rPr>
              <w:t>Level 2</w:t>
            </w:r>
          </w:p>
        </w:tc>
        <w:tc>
          <w:tcPr>
            <w:tcW w:w="940" w:type="dxa"/>
            <w:vAlign w:val="bottom"/>
            <w:gridSpan w:val="2"/>
          </w:tcPr>
          <w:p>
            <w:pPr>
              <w:ind w:left="200"/>
              <w:spacing w:after="0"/>
              <w:rPr>
                <w:sz w:val="20"/>
                <w:szCs w:val="20"/>
                <w:color w:val="auto"/>
              </w:rPr>
            </w:pPr>
            <w:r>
              <w:rPr>
                <w:rFonts w:ascii="Arial" w:cs="Arial" w:eastAsia="Arial" w:hAnsi="Arial"/>
                <w:sz w:val="14"/>
                <w:szCs w:val="14"/>
                <w:color w:val="auto"/>
              </w:rPr>
              <w:t>Level 3</w:t>
            </w:r>
          </w:p>
        </w:tc>
      </w:tr>
      <w:tr>
        <w:trPr>
          <w:trHeight w:val="142"/>
        </w:trPr>
        <w:tc>
          <w:tcPr>
            <w:tcW w:w="6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w w:val="75"/>
              </w:rPr>
              <w:t>(in thousands)</w:t>
            </w:r>
          </w:p>
        </w:tc>
        <w:tc>
          <w:tcPr>
            <w:tcW w:w="8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243,050</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47,687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195,363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7,980,333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199,104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6,773,915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1,007,314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652,360</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652,360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 assets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25,080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20,259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4,821</w:t>
            </w: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8,900,823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246,791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7,641,897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1,012,135</w:t>
            </w: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160" w:type="dxa"/>
            <w:vAlign w:val="bottom"/>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147,549</w:t>
            </w:r>
          </w:p>
        </w:tc>
        <w:tc>
          <w:tcPr>
            <w:tcW w:w="620" w:type="dxa"/>
            <w:vAlign w:val="bottom"/>
          </w:tcPr>
          <w:p>
            <w:pPr>
              <w:spacing w:after="0"/>
              <w:rPr>
                <w:sz w:val="24"/>
                <w:szCs w:val="24"/>
                <w:color w:val="auto"/>
              </w:rPr>
            </w:pPr>
          </w:p>
        </w:tc>
        <w:tc>
          <w:tcPr>
            <w:tcW w:w="1340" w:type="dxa"/>
            <w:vAlign w:val="bottom"/>
            <w:gridSpan w:val="2"/>
          </w:tcPr>
          <w:p>
            <w:pPr>
              <w:jc w:val="right"/>
              <w:ind w:right="573"/>
              <w:spacing w:after="0"/>
              <w:rPr>
                <w:sz w:val="20"/>
                <w:szCs w:val="20"/>
                <w:color w:val="auto"/>
              </w:rPr>
            </w:pPr>
            <w:r>
              <w:rPr>
                <w:rFonts w:ascii="Arial" w:cs="Arial" w:eastAsia="Arial" w:hAnsi="Arial"/>
                <w:sz w:val="18"/>
                <w:szCs w:val="18"/>
                <w:color w:val="auto"/>
              </w:rPr>
              <w:t>4,823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142,726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32,572</w:t>
            </w: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31,870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r>
      <w:tr>
        <w:trPr>
          <w:trHeight w:val="223"/>
        </w:trPr>
        <w:tc>
          <w:tcPr>
            <w:tcW w:w="61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180,121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174,596</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Comprised predominantly of interest rate swap agreements used for interest rate risk management (Level 2), commitments to sell real estate loans (Level 2)and commitments to originate real estate loans to be held for sale (Level 3).</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changes in Level 3 assets and liabilities measured at estimated fair value on a recurring basis during the three-month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2008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0" w:type="dxa"/>
            <w:vAlign w:val="bottom"/>
            <w:gridSpan w:val="2"/>
          </w:tcPr>
          <w:p>
            <w:pPr>
              <w:jc w:val="center"/>
              <w:ind w:right="288"/>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1"/>
              </w:rPr>
              <w:t>securities</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0" w:type="dxa"/>
            <w:vAlign w:val="bottom"/>
            <w:gridSpan w:val="2"/>
          </w:tcPr>
          <w:p>
            <w:pPr>
              <w:jc w:val="center"/>
              <w:ind w:right="288"/>
              <w:spacing w:after="0" w:line="149" w:lineRule="exact"/>
              <w:rPr>
                <w:sz w:val="20"/>
                <w:szCs w:val="20"/>
                <w:color w:val="auto"/>
              </w:rPr>
            </w:pPr>
            <w:r>
              <w:rPr>
                <w:rFonts w:ascii="Arial" w:cs="Arial" w:eastAsia="Arial" w:hAnsi="Arial"/>
                <w:sz w:val="14"/>
                <w:szCs w:val="14"/>
                <w:color w:val="auto"/>
                <w:w w:val="94"/>
              </w:rPr>
              <w:t>available</w:t>
            </w:r>
          </w:p>
        </w:tc>
        <w:tc>
          <w:tcPr>
            <w:tcW w:w="3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0" w:type="dxa"/>
            <w:vAlign w:val="bottom"/>
            <w:gridSpan w:val="2"/>
          </w:tcPr>
          <w:p>
            <w:pPr>
              <w:jc w:val="center"/>
              <w:ind w:right="268"/>
              <w:spacing w:after="0"/>
              <w:rPr>
                <w:sz w:val="20"/>
                <w:szCs w:val="20"/>
                <w:color w:val="auto"/>
              </w:rPr>
            </w:pPr>
            <w:r>
              <w:rPr>
                <w:rFonts w:ascii="Arial" w:cs="Arial" w:eastAsia="Arial" w:hAnsi="Arial"/>
                <w:sz w:val="14"/>
                <w:szCs w:val="14"/>
                <w:color w:val="auto"/>
                <w:w w:val="91"/>
              </w:rPr>
              <w:t>for sale</w:t>
            </w:r>
          </w:p>
        </w:tc>
        <w:tc>
          <w:tcPr>
            <w:tcW w:w="3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86"/>
              </w:rPr>
              <w:t>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1, 2008</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$ 1,172,801</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4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5740" w:type="dxa"/>
            <w:vAlign w:val="bottom"/>
            <w:gridSpan w:val="3"/>
          </w:tcPr>
          <w:p>
            <w:pPr>
              <w:jc w:val="right"/>
              <w:ind w:right="228"/>
              <w:spacing w:after="0"/>
              <w:rPr>
                <w:sz w:val="20"/>
                <w:szCs w:val="20"/>
                <w:color w:val="auto"/>
              </w:rPr>
            </w:pPr>
            <w:r>
              <w:rPr>
                <w:rFonts w:ascii="Arial" w:cs="Arial" w:eastAsia="Arial" w:hAnsi="Arial"/>
                <w:sz w:val="18"/>
                <w:szCs w:val="18"/>
                <w:color w:val="auto"/>
              </w:rPr>
              <w:t>(27,981)</w:t>
            </w:r>
          </w:p>
        </w:tc>
        <w:tc>
          <w:tcPr>
            <w:tcW w:w="3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w:t>
            </w:r>
          </w:p>
        </w:tc>
        <w:tc>
          <w:tcPr>
            <w:tcW w:w="57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(52,287)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4540" w:type="dxa"/>
            <w:vAlign w:val="bottom"/>
          </w:tcPr>
          <w:p>
            <w:pPr>
              <w:spacing w:after="0"/>
              <w:rPr>
                <w:sz w:val="19"/>
                <w:szCs w:val="19"/>
                <w:color w:val="auto"/>
              </w:rPr>
            </w:pPr>
          </w:p>
        </w:tc>
        <w:tc>
          <w:tcPr>
            <w:tcW w:w="1200" w:type="dxa"/>
            <w:vAlign w:val="bottom"/>
            <w:gridSpan w:val="2"/>
          </w:tcPr>
          <w:p>
            <w:pPr>
              <w:jc w:val="right"/>
              <w:ind w:right="228"/>
              <w:spacing w:after="0"/>
              <w:rPr>
                <w:sz w:val="20"/>
                <w:szCs w:val="20"/>
                <w:color w:val="auto"/>
              </w:rPr>
            </w:pPr>
            <w:r>
              <w:rPr>
                <w:rFonts w:ascii="Arial" w:cs="Arial" w:eastAsia="Arial" w:hAnsi="Arial"/>
                <w:sz w:val="18"/>
                <w:szCs w:val="18"/>
                <w:color w:val="auto"/>
              </w:rPr>
              <w:t>(85,219)</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2008</w:t>
            </w:r>
          </w:p>
        </w:tc>
        <w:tc>
          <w:tcPr>
            <w:tcW w:w="45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$ 1,007,314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540" w:type="dxa"/>
            <w:vAlign w:val="bottom"/>
            <w:vMerge w:val="restart"/>
          </w:tcPr>
          <w:p>
            <w:pPr>
              <w:jc w:val="right"/>
              <w:ind w:right="3070"/>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8"/>
              <w:spacing w:after="0"/>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8"/>
              <w:spacing w:after="0" w:line="149" w:lineRule="exact"/>
              <w:rPr>
                <w:sz w:val="20"/>
                <w:szCs w:val="20"/>
                <w:color w:val="auto"/>
              </w:rPr>
            </w:pPr>
            <w:r>
              <w:rPr>
                <w:rFonts w:ascii="Arial" w:cs="Arial" w:eastAsia="Arial" w:hAnsi="Arial"/>
                <w:sz w:val="14"/>
                <w:szCs w:val="14"/>
                <w:color w:val="auto"/>
                <w:w w:val="91"/>
              </w:rPr>
              <w:t>securities</w:t>
            </w: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8"/>
              <w:spacing w:after="0" w:line="149" w:lineRule="exact"/>
              <w:rPr>
                <w:sz w:val="20"/>
                <w:szCs w:val="20"/>
                <w:color w:val="auto"/>
              </w:rPr>
            </w:pPr>
            <w:r>
              <w:rPr>
                <w:rFonts w:ascii="Arial" w:cs="Arial" w:eastAsia="Arial" w:hAnsi="Arial"/>
                <w:sz w:val="14"/>
                <w:szCs w:val="14"/>
                <w:color w:val="auto"/>
                <w:w w:val="94"/>
              </w:rPr>
              <w:t>available</w:t>
            </w:r>
          </w:p>
        </w:tc>
        <w:tc>
          <w:tcPr>
            <w:tcW w:w="30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68"/>
              <w:spacing w:after="0"/>
              <w:rPr>
                <w:sz w:val="20"/>
                <w:szCs w:val="20"/>
                <w:color w:val="auto"/>
              </w:rPr>
            </w:pPr>
            <w:r>
              <w:rPr>
                <w:rFonts w:ascii="Arial" w:cs="Arial" w:eastAsia="Arial" w:hAnsi="Arial"/>
                <w:sz w:val="14"/>
                <w:szCs w:val="14"/>
                <w:color w:val="auto"/>
                <w:w w:val="91"/>
              </w:rPr>
              <w:t>for sale</w:t>
            </w:r>
          </w:p>
        </w:tc>
        <w:tc>
          <w:tcPr>
            <w:tcW w:w="3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86"/>
              </w:rPr>
              <w:t>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1,313,821</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Total realized/unrealized gains (losses):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(89,492)</w:t>
            </w:r>
          </w:p>
        </w:tc>
        <w:tc>
          <w:tcPr>
            <w:tcW w:w="3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issuances and settlements,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(102,860)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19"/>
                <w:szCs w:val="19"/>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(114,155)</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2008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1,007,314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w w:val="95"/>
              </w:rPr>
              <w:t>Changes in unrealized gains (losses) included in earnings for the three months ended June 30, 2008 related to assets</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and liabilities still recorded on the balance sheet at June 30,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3,596(a)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Changes in unrealized gains (losses) included in earnings for the six months ended June 30, 2008 related to 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liabilities still recorded on the balance sheet at June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Reported as mortgage banking revenues in the consolidated statement of income and includes the fair value of commitment issuances and expirations.</w:t>
      </w:r>
    </w:p>
    <w:p>
      <w:pPr>
        <w:spacing w:after="0" w:line="140"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in accordance with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calculated in accordance with SFAS No. 114, “Accounting by Creditors for Impairment of a Loan,”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independent appraisals or other indications of value based on recent comparable sales of similar properties 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assumptions generally observable in the marketplace and the related nonrecurring fair value measurement adjustments have generally been classified as Level</w:t>
      </w:r>
    </w:p>
    <w:p>
      <w:pPr>
        <w:spacing w:after="0" w:line="46" w:lineRule="exact"/>
        <w:rPr>
          <w:sz w:val="20"/>
          <w:szCs w:val="20"/>
          <w:color w:val="auto"/>
        </w:rPr>
      </w:pPr>
    </w:p>
    <w:p>
      <w:pPr>
        <w:ind w:right="60" w:firstLine="8"/>
        <w:spacing w:after="0" w:line="253"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of fair value used for other collateral supporting commercial loans generally are based on assumptions not observable in the marketplace and therefore such valuations have been classified as Level 3. Loans subject to nonrecurring fair value measurement were $288 million at June 30, 2008, $214 million and $74 million of which were classified as Level 2 and Level 3, respectively. Changes in fair value recognized for partial charge-offs of loans and loan impairment reserves on loans held by the Company on June 30, 2008 were decreases of $71 million and $88 million for the three months and six months ended June 30, 2008,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Capitalized servicing rights are initially measured at fair value in the Company’s consolidated balance sheet. The Company utilizes the amortization method to subsequently measure its capitalized servicing assets. In accordance with SFAS No. 156, “Accounting for Servicing of Financial Assets — an amendment to FASB Statement No. 140,” the Company must record impairment charges, on a nonrecurring basis, when the carrying value of certain strata exceed their estimated fair value. 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June 30, 2008, $20 million of capitalized servicing rights had a carrying value equal to their fair value. Changes in fair value of capitalized servicing rights recognized for the three months and six months ended June 30, 2008 were increases of $9 million and $5 million, respectively.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income for M&amp;T Bank Corporation (“M&amp;T”) in the second quarter of 2008 was $160 million or $1.44 of diluted earnings per common share, down 25% and 26%, respectively, from $214 million or $1.95 of diluted earnings per common share in the second quarter of 2007. During the first quarter of 2008, net income totaled $202 million or $1.82 of diluted earnings per common share. Basic earnings per common share were $1.45 in the recent quarter, compared with $1.98 in the year-earlier quarter and $1.84 in the initial quarter of 2008. The after-tax impact of acquisition and integration-related expenses (included herein as merger-related expenses) associated with the November 30, 2007 acquisition of Partners Trust Financial Group, Inc. (“Partners Trust”) and the December 7, 2007 acquisition by M&amp;T Bank, the principal bank subsidiary of M&amp;T, of the Mid-Atlantic retail banking franchise of First Horizon Bank (“First Horizon”) was $2 million ($4 million pre-tax) or $.02 of basic and diluted earnings per share in the first quarter of 2008. There were no similar expenses in the second quarter of 2008 or during 2007. For the first six months of 2008, net income totaled $362 million or $3.26 per diluted share, compared with $390 million or $3.51 per diluted share in the similar 2007 period. Basic earnings per share for the six-month periods ended June 30, 2008 and 2007 were $3.29 and $3.59, respectively.</w:t>
      </w:r>
    </w:p>
    <w:p>
      <w:pPr>
        <w:spacing w:after="0" w:line="8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annualized rate of return on average total assets for M&amp;T and its consolidated subsidiaries (“the Company”) in the second quarter of 2008 was .98%, compared with 1.49% in the year-earlier quarter and 1.25% in the first quarter of 2008. The annualized rate of return on average common stockholders’ equity was 9.96% in the recently completed quarter, compared with 13.92% in the second quarter of 2007 and 12.49% in the initial 2008 quarter. During the first six months of 2008, the annualized rates of return on average assets and average common stockholders’ equity were 1.12% and 11.23%, respectively, compared with 1.37% and 12.65%, respectively, in the first half of 2007.</w:t>
      </w:r>
    </w:p>
    <w:p>
      <w:pPr>
        <w:spacing w:after="0" w:line="8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Second quarter 2008 results recorded by the Company were damped by higher credit costs and a decline in the contribution of M&amp;T’s pro-rata portion of the operating results of Bayview Lending Group LLC (“BLG”), a privately-held commercial mortgage lender in which M&amp;T invested $300 million in February 2007. BLG specializes in originating, securitizing and servicing small balance commercial real estate loans. The provision for credit losses in the recent quarter was $100 million, up from $30 million in the second quarter of 2007 and $60 million in 2008’s initial quarter. That higher level of the provision reflects increased charge-offs and delinquencies, particularly in the Company’s portfolios of loans backed by residential real estate, including loans to builders and developers of residential real estate. M&amp;T’s pro-rata share of the operating results of BLG was a loss of $13 million (pre-tax) in the second quarter of 2008, compared with income of $8 million in the year-earlier quarter and a loss of $1 million in the first quarter of 2008. Disruptions in the commercial mortgage-backed securities marketplace have limited BLG’s ability to sell securities backed by small balance commercial mortgage loans and have, therefore, reduced the amount of income recognized by BLG as a result of such activities. As a result, BLG has begun utilizing its contingent liquidity sources and has reduced it origination activities and staffing levels.</w:t>
      </w:r>
    </w:p>
    <w:p>
      <w:pPr>
        <w:spacing w:after="0" w:line="7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Company’s financial results in the first quarter of 2008 reflected $29 million, or $.26 of diluted earnings per share, resulting from M&amp;T Bank’s status as a member bank of Visa. During the last quarter of 2007, Visa completed a reorganization in contemplation of its initial public offering (“IPO”) in 2008. As part of that reorganization M&amp;T Bank and other member banks of Visa received shares of Class B common stock of Visa. Those banks are also obligated under various agreements with Visa to share in losses stemming from certain litigation involving Visa (“Covered Litigation”). As of December 31, 2007, although Visa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was expected to set aside a portion of the proceeds from its IPO in an escrow account to fund any judgments or settlements that may arise out of the Covered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Litigation, guidance from the Securities and Exchange Commission (“SEC”) indicated that Visa member banks should record a liability for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contingent obligation to Visa. The estimation of the Company’s proportionate share of any potential losses related to the Covered Litigation was extremely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difficult and involved a great deal of judgment. Nevertheless, in the fourth quarter of 2007 the Company recorded a pre-tax charge of $23 million ($14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after tax effect, or $.13 per diluted share) related to the Covered Litigation. In accordance with generally accepted accounting principles (“GAAP”)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SEC guidance, the Company did not recognize any value for its common stock ownership interest in Visa as of the 2007 year-end.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2008, Visa completed its IPO and, as part of the transaction, funded an escrow account with $3 billion from the proceeds of the IPO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cover potential settlements arising out of the Covered Litigation. As a result, during the first three months of 2008, the Company reversed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million of the $23 million accrued during the fourth quarter of 2007 for the Covered Litigation. In addition, M&amp;T Bank was allocated 1,967,028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of Visa based on its proportionate ownership of Visa. Of those shares, 760,455 were mandatorily redeemed in March 2008 for a pre-tax gain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$33 million ($20 million after-tax), which was recorded as gain on bank investment securities in the consolidated statement of income for 2008’s initial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$3.4 billion at each of June 30, 2008 and December 31, 2007, and $3.1 billion at June 30, 2007. Included in such intangible assets was goodwill of $3.2 billion at each of June 30, 2008 and December 31, 2007, and $2.9 billion at June 30, 2007. Amortization of core deposit and other intangible assets, after tax effect, was $10 million ($.09 per diluted share) during each of the second quarters of 2008 and 2007, and $11 million ($.10 per diluted share) in the first quarter of 2008. For each of the six-month periods ended June 30, 2008 and 2007, amortization of core deposit and other intangible assets, after tax effect, totaled $21 million ($.19 per diluted share).</w:t>
      </w:r>
    </w:p>
    <w:p>
      <w:pPr>
        <w:spacing w:after="0" w:line="85"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when calculating certain performance ratios)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64" w:lineRule="exact"/>
        <w:rPr>
          <w:sz w:val="20"/>
          <w:szCs w:val="20"/>
          <w:color w:val="auto"/>
        </w:rPr>
      </w:pPr>
    </w:p>
    <w:p>
      <w:pPr>
        <w:jc w:val="both"/>
        <w:ind w:right="20" w:firstLine="225"/>
        <w:spacing w:after="0" w:line="302" w:lineRule="auto"/>
        <w:rPr>
          <w:sz w:val="20"/>
          <w:szCs w:val="20"/>
          <w:color w:val="auto"/>
        </w:rPr>
      </w:pPr>
      <w:r>
        <w:rPr>
          <w:rFonts w:ascii="Arial" w:cs="Arial" w:eastAsia="Arial" w:hAnsi="Arial"/>
          <w:sz w:val="16"/>
          <w:szCs w:val="16"/>
          <w:color w:val="auto"/>
        </w:rPr>
        <w:t>Net operating income was $170 million in the recent quarter, compared with $224 million in the second quarter of 2007. Diluted net operating earnings per share for the second quarter of 2008 were $1.53, compared with $2.04 in the similar 2007 period. Net operating income and diluted net operating earnings per share were $216 million and $1.94, respectively, in the initial 2008 quarter. For the first half of 2008, net operating income and diluted net operating earnings per share were $386 million and $3.47, respectively, compared with $411 million and $3.70, respectively, in the corresponding 2007 period.</w:t>
      </w:r>
    </w:p>
    <w:p>
      <w:pPr>
        <w:spacing w:after="0" w:line="46"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Net operating income expressed as an annualized return on average tangible assets was 1.10% in the second quarter of 2008, compared with 1.65% in the year-earlier quarter and 1.41% in the first quarter of 2008. Net operating income expressed as an annualized return on average tangible common equity was 22.20%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recent quarter, compared with 29.35% in the year-earlier quarter and 27.86% in the first 2008 quarter. For the first six months of 2008, net operating income represented an annualized return on average tangible assets and average tangible common stockholders’ equity of 1.25% and 25.04%, respectively, compared with 1.53% and 26.71%, respectively, in the six-month period ended June 30, 2007.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Taxable-equivalent net interest income rose 5% to $492 million in the second quarter of 2008 from $467 million in the year-earlier quarter. The improvement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2007’s second quarter was the result of higher average earning assets, which increased $7.5 billion, or 15%, to $58.5 billion in the recent quarter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$51.0 billion in the second quarter of 2007, offset partially by a 28 basis point (hundredths of one percent) narrowing of the Company’s net interest margin,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taxable-equivalent net interest income expressed as an annualized percentage of average earning assets. Taxable-equivalent net interest income aggregated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$485 million in the initial 2008 quarter. The recent quarter’s improvement from the immediately preceding quarter resulted from a rise in average earning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of $751 million and a 1 basis point widening of the net interest margin. Earning assets obtained in the Partners Trust and First Horizon transactions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respective acquisition dates in the fourth quarter of 2007 were $3.1 billion and $214 million, respectively.</w:t>
      </w:r>
    </w:p>
    <w:p>
      <w:pPr>
        <w:spacing w:after="0" w:line="10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For the first half of 2008, taxable-equivalent net interest income was $977 million, 6% above $922 million in the similar period of 2007. Growth in average earning assets of 14% or $7.3 billion was the leading factor contributing to that improvement. Partially offsetting the impact of average earning asset growth was a decline in the Company’s net interest margin of 28 basis points.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Average loans and leases rose $5.9 billion, or 14%, to $49.5 billion in the second quarter of 2008 from $43.6 billion in the year-earlier quarter, and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$947 million, or 2%, higher than the $48.6 billion average in the initial 2008 quarter. Included in average loans and leases in the recent quarter were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obtained in the 2007 acquisitions of approximately $1.2 billion, compared with $1.4 billion in the first quarter of 2008. Commercial loans and leases averaged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$13.8 billion in the second quarter of 2008, up $1.6 billion or 14% from $12.2 billion in the year-earlier quarter. Commercial real estate loans averaged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$18.5 billion in the recent quarter, $2.9 billion or 19% higher than $15.6 billion in 2007’s second quarter. Average outstanding residential real estate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$151 million, or 3%, in the second quarter of 2008 as compared with the year-earlier quarter. Included in that portfolio were loans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averaged $728 million in the recent quarter, compared with $956 million in the second quarter of 2007. Average consumer loans rose 12% or</w:t>
      </w:r>
    </w:p>
    <w:p>
      <w:pPr>
        <w:spacing w:after="0" w:line="2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$1.2 billion from the year-earlier period. That growth was due largely to higher average automobile loan balances outstanding, including approximately $309 million of such loans related to the 2007 acquisition transactions.</w:t>
      </w:r>
    </w:p>
    <w:p>
      <w:pPr>
        <w:spacing w:after="0" w:line="76" w:lineRule="exact"/>
        <w:rPr>
          <w:sz w:val="20"/>
          <w:szCs w:val="20"/>
          <w:color w:val="auto"/>
        </w:rPr>
      </w:pPr>
    </w:p>
    <w:p>
      <w:pPr>
        <w:jc w:val="both"/>
        <w:ind w:right="340" w:firstLine="225"/>
        <w:spacing w:after="0" w:line="259" w:lineRule="auto"/>
        <w:rPr>
          <w:sz w:val="20"/>
          <w:szCs w:val="20"/>
          <w:color w:val="auto"/>
        </w:rPr>
      </w:pPr>
      <w:r>
        <w:rPr>
          <w:rFonts w:ascii="Arial" w:cs="Arial" w:eastAsia="Arial" w:hAnsi="Arial"/>
          <w:sz w:val="18"/>
          <w:szCs w:val="18"/>
          <w:color w:val="auto"/>
        </w:rPr>
        <w:t>Contributing to the growth in average loans outstanding from $48.6 billion in 2008’s initial quarter to $49.5 billion in the second quarter of 2008 were commercial loans and leases, which increased $492 million, and commercial real estate loans, which rose $496 million. During that same period, average residential real estate loans increased $50 million, while average balances of consumer loans declined $91 million. The accompanying table summarizes quarterly changes in the major components of the loan and lease portfolio.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3"/>
              </w:rPr>
              <w:t>(decrease)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rPr>
              <w:t>2nd Qtr.</w:t>
            </w:r>
          </w:p>
        </w:tc>
        <w:tc>
          <w:tcPr>
            <w:tcW w:w="15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1st Qtr.</w:t>
            </w:r>
          </w:p>
        </w:tc>
        <w:tc>
          <w:tcPr>
            <w:tcW w:w="0" w:type="dxa"/>
            <w:vAlign w:val="bottom"/>
          </w:tcPr>
          <w:p>
            <w:pPr>
              <w:spacing w:after="0"/>
              <w:rPr>
                <w:sz w:val="1"/>
                <w:szCs w:val="1"/>
                <w:color w:val="auto"/>
              </w:rPr>
            </w:pP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13,800</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18,491</w:t>
            </w: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8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49,522</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5"/>
        <w:spacing w:after="0" w:line="308" w:lineRule="auto"/>
        <w:rPr>
          <w:sz w:val="20"/>
          <w:szCs w:val="20"/>
          <w:color w:val="auto"/>
        </w:rPr>
      </w:pPr>
      <w:r>
        <w:rPr>
          <w:rFonts w:ascii="Arial" w:cs="Arial" w:eastAsia="Arial" w:hAnsi="Arial"/>
          <w:sz w:val="17"/>
          <w:szCs w:val="17"/>
          <w:color w:val="auto"/>
        </w:rPr>
        <w:t>For the first two quarters of 2008, average loans and leases totaled $49.0 billion, 13% above $43.3 billion in the first six months of 2007. Increases in average balances of commercial loans and leases, commercial real estate loans and consumer loans all contributed to that growth.</w:t>
      </w:r>
    </w:p>
    <w:p>
      <w:pPr>
        <w:spacing w:after="0" w:line="38" w:lineRule="exact"/>
        <w:rPr>
          <w:sz w:val="20"/>
          <w:szCs w:val="20"/>
          <w:color w:val="auto"/>
        </w:rPr>
      </w:pPr>
    </w:p>
    <w:p>
      <w:pPr>
        <w:ind w:right="60" w:firstLine="222"/>
        <w:spacing w:after="0" w:line="284" w:lineRule="auto"/>
        <w:rPr>
          <w:sz w:val="20"/>
          <w:szCs w:val="20"/>
          <w:color w:val="auto"/>
        </w:rPr>
      </w:pPr>
      <w:r>
        <w:rPr>
          <w:rFonts w:ascii="Arial" w:cs="Arial" w:eastAsia="Arial" w:hAnsi="Arial"/>
          <w:sz w:val="16"/>
          <w:szCs w:val="16"/>
          <w:color w:val="auto"/>
        </w:rPr>
        <w:t>The investment securities portfolio averaged $8.8 billion in the second quarter of 2008, up 27% from $6.9 billion in the year-earlier quarter. The increase in such securities from the second quarter of 2007 reflects a December 2007 securitization of approximately $950 million of loans obtained in the Partners Trust acquisition into Federal National Mortgage Association (“FNMA”) mortgage-backed securities. Those securities are guaranteed by FNMA and there is no credit recourse to the Company. The Company recognized no gain or loss on the transaction as it retained all of the resulting securities, which are held in the available-for-sale investment securities portfolio. Average investment securities aggregated $8.9 billion in the first quarter of 2008. In June 2008, the Company completed another securitization of approximately $550 million of residential mortgage loans into FNMA mortgage-backed securities. Those securities are guaranteed by FNMA and there is no credit recourse to the Company. The Company recognized no gain or loss on that transaction as it retained all of the resulting securities, which are held in the available-for-sale investment securities portfolio. An additional securitization of approximately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$330 million of residential mortgage loans was completed on July 2, 2008. The June 2008 securitization decreased the average balances of residential real estate loans and correspondingly increased average investment securities during the second quarter of 2008 by approximately $66 million. The securitizations were completed to improve the Company’s liquidity and to enhance regulatory capital ratios.</w:t>
      </w:r>
    </w:p>
    <w:p>
      <w:pPr>
        <w:spacing w:after="0" w:line="82"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the risks assumed, including credit and prepayment risk.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 The Company regularly reviews its investment securities for declines in value below amortized cost that might be characterized as “other than temporary.” During the second quarter of 2008, an other-than-temporary impairment charge of $6 million was recognized on one collateralized mortgage obligation backed by option adjustable rate residential mortgages that had an amortized cost of $7 million. During 2007’s fourth quarter, the Company recognized other-than-temporary impairment charges of $127 million related to $132 million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collateralized debt obligations. As of June 30, 2008 and December 31, 2007, the Company concluded that the declines in value of its other investment securities were temporary in nature. Further discussion of the fair value of investment securities is included herein under the heading “Capital.”</w:t>
      </w:r>
    </w:p>
    <w:p>
      <w:pPr>
        <w:spacing w:after="0" w:line="16"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Other earning assets include deposits at banks, trading account assets, federal funds sold and agreements to resell securities. Those other earning assets in the aggregate averaged $173 million in the recent quarter, compared with $524 million and $214 million in the second quarter of 2007 and the first quarter of 2008, respectively. The decline in such assets in the recent quarter as compared with the second quarter of 2007 resulted from maturities of investment securities under agreements to resell. Those resell agreements had been entered into primarily to collateralize municipal deposits. Resell agreements are accounted for similar to collateralized loans, with changes in the fair value of the collateral monitored by the Company to ensure sufficient coverage. Such agreements averaged $88 million, $429 million and $115 million during the quarters ended June 30, 2008, June 30, 2007 and March 31, 2008, respectively.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89"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As a result of the changes described herein, average earning assets rose 15% to $58.5 billion in the second quarter of 2008 from $51.0 billion in the corresponding quarter in 2007. Average earning assets were $57.7 billion in the initial quarter of 2008 and aggregated $58.1 billion and $50.8 billion during the six-month periods ended June 30, 2008 and 2007, respectively.</w:t>
      </w:r>
    </w:p>
    <w:p>
      <w:pPr>
        <w:spacing w:after="0" w:line="73"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banking subsidiary of M&amp;T, are also included in core deposits. Average core deposits aggregated $31.6 billion in the second quarter of 2008, compared with $28.5 billion in the year-earlier quarter and $30.6 billion in the initial quarter of 2008. The Partners Trust and First Horizon acquisition transactions in 2007’s fourth quarter added approximately $2.0 billion of core deposits at acquisition. The following table provides an analysis of quarterly changes in the components of average core deposits. For the six-month periods ended June 30, 2008 and 2007, core deposits averaged $31.1 billion and $28.5 billion, respectively. Core deposits totaled $32.3 billion at June 30, 2008, compared with $31.7 billion at March 31, 2008 and $30.7 billion at December 31, 2007.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3"/>
              </w:rPr>
              <w:t>(decrease)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w w:val="90"/>
              </w:rPr>
              <w:t>2nd Qtr.</w:t>
            </w:r>
          </w:p>
        </w:tc>
        <w:tc>
          <w:tcPr>
            <w:tcW w:w="15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1st Qtr.</w:t>
            </w:r>
          </w:p>
        </w:tc>
      </w:tr>
      <w:tr>
        <w:trPr>
          <w:trHeight w:val="167"/>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2007</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17,968</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6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31,597</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Domestic time deposits of $100,000 or more, deposits originated through the Company’s offshore branch office, and brokered deposits provide additional sources of funding for the Company. Domestic time deposits over $100,000, excluding brokered certificates of deposit, averaged $2.2 billion in the second quarter of 2008, compared with $2.7 billion in the year-earlier quarter and $2.6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billion in the first quarter of 2008. Offshore branch deposits, primarily comprised of accounts with balances of $100,000 or more, averaged $4.3 billion, $3.7 billion and $4.8 billion for the three-month periods ended June 30, 2008, June 30, 2007 and March 31, 2008, respectively. Brokered time deposits averaged $1.4 billion in the second quarter of 2008, compared with $2.0 billion in the year-earlier quarter and $1.8 billion in 2008’s initial quarter.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$115 million of brokered time deposits. The Company also had brokered money-market deposit accounts which averaged $124 million during the second quarter of 2008, compared with $81 million and $102 million during the corresponding quarter of 2007 and the first quarter of 2008, respectively. Offshore branch deposits and brokered deposits have been used by the Company as alternatives to short-term borrowings. Additional amounts of offshore branch deposits or brokered deposits may be solicited in the future depending on market conditions, including demand by customers and other investors for such deposits, and the cost of funds and/or maturities associated with such funding that will be available from alternative sources at the time.</w:t>
      </w:r>
    </w:p>
    <w:p>
      <w:pPr>
        <w:spacing w:after="0" w:line="61"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Company also uses borrowings from banks, securities dealers, various Federal Home Loan Banks (“FHLBs”), and others as sources of funding. Short-term borrowings averaged $6.9 billion in the recent quarter, compared with $5.6 billion in the second quarter of 2007 and $7.2 billion in the initial quarter of 2008. Included in average short-term borrowings were unsecured federal funds borrowings, which generally mature daily and averaged $5.0 billion,</w:t>
      </w:r>
    </w:p>
    <w:p>
      <w:pPr>
        <w:ind w:right="40"/>
        <w:spacing w:after="0" w:line="290" w:lineRule="auto"/>
        <w:rPr>
          <w:sz w:val="20"/>
          <w:szCs w:val="20"/>
          <w:color w:val="auto"/>
        </w:rPr>
      </w:pPr>
      <w:r>
        <w:rPr>
          <w:rFonts w:ascii="Arial" w:cs="Arial" w:eastAsia="Arial" w:hAnsi="Arial"/>
          <w:sz w:val="16"/>
          <w:szCs w:val="16"/>
          <w:color w:val="auto"/>
        </w:rPr>
        <w:t>$4.8 billion and $5.6 billion in the second quarters of 2008 and 2007, and the first quarter of 2008, respectively. Overnight federal funds borrowings represent the largest component of short-term borrowings and are obtained daily from a wide variety of banks and other financial institutions. Also included in short-term borrowings is a $500 million revolving asset-backed structured borrowing secured by automobile loans that were transferred to M&amp;T Auto Receivables I, LLC, a special purpose subsidiary of M&amp;T Bank. The special purpose subsidiary, the loans and the borrowings are included in the consolidated financial statements of the Company. Average short-term borrowings during 2008’s second quarter included $729 million of borrowings from the FHLB of New York, compared with $781 million in the first quarter of 2008. There were no similar short-term borrowings outstanding during the second quarter of 2007.</w:t>
      </w:r>
    </w:p>
    <w:p>
      <w:pPr>
        <w:spacing w:after="0" w:line="56"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Long-term borrowings averaged $11.4 billion in the second quarter of 2008, compared with $7.9 billion in the year-earlier quarter and $10.3 billion in the first quarter of 2008. Included in average long-term borrowings were amounts borrowed from the FHLBs of $6.5 billion in the recent quarter, compared with $3.7 billion and $5.4 billion in the second quarter of 2007 and the initial quarter of 2008, respectively, and subordinated capital notes of $1.9 billion in the two most recent quarters and $1.7 billion in the second quarter of 2007. M&amp;T Bank issued $400 million of subordinated notes in December 2007, in part to maintain appropriate regulatory capital ratios. Junior subordinated debentures associated with trust preferred securities that were included in average long-term borrowings were $1.1 billion in the second quarter of 2008, compared with $713 million in the second quarter of 2007 and $981 million in the first quarter of 2008. During January 2008, M&amp;T Capital Trust IV issued $350 million of Enhanced Trust Preferred Securities, bearing a fixed rate of interest of 8.50% and maturing in 2068. The related junior subordinated debentures are included in long-term borrowings. Information regarding trust preferred securities and the related junior subordinated debentures is provided in note 4 of Notes to Financial Statements. Also included in long-term borrowings were agreements to repurchase securities, which averaged $1.6 billion during the quarters ended June 30, 2008, June 30, 2007 and March 31, 2008.</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During the second quarter of 2008, the Company actively sought to increase the average maturity of its non-deposit sources of funds and to reduce short-term borrowings. As a result, short-term borrowings were reduced to $3.8 billion at June 30, 2008, including $1.6 billion of overnight federal funds borrowings, and long-term borrowings increased to $12.8 billion, including $7.9 billion of FHLB borrowings. As previously noted, core deposits increased by $606 million to $32.3 billion at June 30, 2008 from $31.7 billion at March 31, 2008 to further supplement the Company’s funding.</w:t>
      </w:r>
    </w:p>
    <w:p>
      <w:pPr>
        <w:spacing w:after="0" w:line="63" w:lineRule="exact"/>
        <w:rPr>
          <w:sz w:val="20"/>
          <w:szCs w:val="20"/>
          <w:color w:val="auto"/>
        </w:rPr>
      </w:pPr>
    </w:p>
    <w:p>
      <w:pPr>
        <w:ind w:right="160" w:firstLine="225"/>
        <w:spacing w:after="0" w:line="285"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3.02% in the second quarter of 2008, compared with 3.08% in the year-earlier quarter. The yield on earning assets during the recent quarter was 5.66%, down 129 basis points from 6.95% in the second quarter of 2007, while the rate paid on interest-bearing liabilities decreased 123 basis points to 2.64% from 3.87% in 2007’s second quarter. In the first quarter of 2008, the net interest spread was 2.94%, the yield on earning assets was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6.20% and the rate paid on interest-bearing liabilities was 3.26%. For the first six months of 2008, the net interest spread was 2.98%, a decrease of 8 basis points from the corresponding 2007 period. The yield on earning assets and the rate paid on interest-bearing liabilities were 5.93% and 2.95%, respectively, in the first half of 2008, compared with 6.94% and 3.88%, respectively, in the similar period of 2007.</w:t>
      </w:r>
    </w:p>
    <w:p>
      <w:pPr>
        <w:spacing w:after="0" w:line="82"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 non-earning assets, including goodwill, core deposit and other intangible assets and M&amp;T’s investment in BLG. Net interest-free funds averaged $8.1 billion in the second quarter of 2008, compared with $7.8 billion in the corresponding quarter of 2007 and $7.7 billion in the first quarter of 2008. The increase in such funds from the year-earlier period was due, in part, to higher average balances of noninterest-bearing deposits and stockholders’ equity, while the increase in net interest-free funds as compared with the first quarter of 2008 was largely due to higher average balances of noninterest-bearing deposits. During each of the first six months of 2008 and 2007, average net interest-free funds aggregated $7.9 billion. Goodwill and core deposit and other intangible assets averaged $3.4 billion during the quarters ended June 30, 2008 and March 31, 2008, and $3.1 billion in the second quarter of 2007. The cash surrender value of bank owned life insurance averaged $1.2 billion during each of the two most recent quarters, and $1.1 billion in the second quarter of 2007. Increases in the cash surrender value of bank owned life insurance are not included in interest income, but rather are recorded in “other revenues from operations.”</w:t>
      </w:r>
    </w:p>
    <w:p>
      <w:pPr>
        <w:spacing w:after="0" w:line="59"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contribution of net interest-free funds to net interest margin was .37% in the recent quarter, compared with .59% in the second quarter of 2007 and .44% in the first quarter of 2008. The contribution of net interest-free funds to net interest margin for the first half of the year was .40% in 2008 and .60% in 2007. The decrease in the contribution to net interest margin ascribed to net interest-free funds in the 2008 periods as compared with the similar 2007 periods resulted largely from the impact of lower interest rates on interest-bearing liabilities used to value such contribution.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3.39% in the recent quarter, down from 3.67% in the similar quarter of 2007, but 1 basis point higher than 3.38% in the initial quarter of 2008.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of 2008 and 2007, the net interest margin was 3.38% and 3.66%, respectively. Future changes in market interest rates or spreads,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composition of the Company’s portfolios of earning assets and interest-bearing liabilities that result in reductions in spreads, could adversely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the Company’s net interest income and net interest margin.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as appropriate, the rates paid on interest-bearing liabilities. The notional amount of interest rate swap agreements entered into for interest rate risk management purposes was approximately $1.2 billion at June 30, 2008, $902 million at June 30, 2007 and $2.3 billion at December 31, 2007. Under the terms of all of the swap agreements outstanding at June 30, 2008 and 2007, and $842 million of the swap agreements outstanding at December 31, 2007, the Company received payments based on the outstanding notional amount of the swap agreements at fixed rates and made payments at variable rates. Those swap agreements were designated as fair value hedges of certain fixed rate time deposits and long-term borrowings. There were no interest rate swap agreements designated as cash flow hedges at June 30, 2008 or at June 30, 2007. Under the terms of the additional $1.5 billion of swap agreements outstanding at the 2007 year-end, the Company paid a fixed rate of interest and received a variable rate. Those agreements had been designated as cash flow hedges of certain variable rate long-term borrowings. During the first quarter of 2008, those swap agreements were terminated by the Company resulting in the realization of a loss of $37 million. That loss is being amortized over the original hedge period as an adjustment to interest expense associated with the previously hedged long-term borrowings.</w:t>
      </w:r>
    </w:p>
    <w:p>
      <w:pPr>
        <w:spacing w:after="0" w:line="80"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three- and six-month periods ended June 30, 2008 and 2007 were not material to the Company’s results of operations. The estimated aggregate fair value of interest rate swap agreements designated as fair value hedges represented losses of approximately $8 million and $32 million at June 30, 2008 and 2007, respectively, and a gain of $17 million at December 31, 2007. The fair values of such swap agreements were substantially offset by changes in the fair values of the hedged items. The estimated fair values of interest rate swap agreements designated as cash flow hedges were losses of approximately</w:t>
      </w:r>
    </w:p>
    <w:p>
      <w:pPr>
        <w:spacing w:after="0" w:line="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$17 million at December 31, 2007. No interest rate swap agreements were designated as cash flow hedges at either June 30, 2008 or 2007. The changes in the fair values of the interest rate swap agreements and the hedged items result from the effects of changing interest rates.</w:t>
      </w:r>
    </w:p>
    <w:p>
      <w:pPr>
        <w:spacing w:after="0" w:line="76"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6.22% and 4.37%, respectively, at June 30, 2008. The average notional amounts of interest rate swap agreements and the related effect on net interest income and margin, and the weighted-average interest rates paid or received on those swap agreements are presented in the accompanying table.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w w:val="96"/>
              </w:rPr>
              <w:t>Three months ended June 30</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860"/>
              <w:spacing w:after="0" w:line="142" w:lineRule="exact"/>
              <w:rPr>
                <w:sz w:val="20"/>
                <w:szCs w:val="20"/>
                <w:color w:val="auto"/>
              </w:rPr>
            </w:pPr>
            <w:r>
              <w:rPr>
                <w:rFonts w:ascii="Arial" w:cs="Arial" w:eastAsia="Arial" w:hAnsi="Arial"/>
                <w:sz w:val="14"/>
                <w:szCs w:val="14"/>
                <w:color w:val="auto"/>
              </w:rPr>
              <w:t>Amount</w:t>
            </w:r>
          </w:p>
        </w:tc>
        <w:tc>
          <w:tcPr>
            <w:tcW w:w="660" w:type="dxa"/>
            <w:vAlign w:val="bottom"/>
          </w:tcPr>
          <w:p>
            <w:pPr>
              <w:ind w:left="160"/>
              <w:spacing w:after="0" w:line="142" w:lineRule="exact"/>
              <w:rPr>
                <w:sz w:val="20"/>
                <w:szCs w:val="20"/>
                <w:color w:val="auto"/>
              </w:rPr>
            </w:pPr>
            <w:r>
              <w:rPr>
                <w:rFonts w:ascii="Arial" w:cs="Arial" w:eastAsia="Arial" w:hAnsi="Arial"/>
                <w:sz w:val="14"/>
                <w:szCs w:val="14"/>
                <w:color w:val="auto"/>
              </w:rPr>
              <w:t>Rate*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Amount</w:t>
            </w:r>
          </w:p>
        </w:tc>
        <w:tc>
          <w:tcPr>
            <w:tcW w:w="540" w:type="dxa"/>
            <w:vAlign w:val="bottom"/>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Arial" w:cs="Arial" w:eastAsia="Arial" w:hAnsi="Arial"/>
                <w:sz w:val="14"/>
                <w:szCs w:val="14"/>
                <w:color w:val="auto"/>
              </w:rPr>
              <w:t>Rate*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(4,901)</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2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6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1,126,582</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881,362</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color w:val="auto"/>
              </w:rPr>
              <w:t>Six months ended June 30</w:t>
            </w: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2008</w:t>
            </w:r>
          </w:p>
        </w:tc>
        <w:tc>
          <w:tcPr>
            <w:tcW w:w="6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2007</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860"/>
              <w:spacing w:after="0" w:line="142" w:lineRule="exact"/>
              <w:rPr>
                <w:sz w:val="20"/>
                <w:szCs w:val="20"/>
                <w:color w:val="auto"/>
              </w:rPr>
            </w:pPr>
            <w:r>
              <w:rPr>
                <w:rFonts w:ascii="Arial" w:cs="Arial" w:eastAsia="Arial" w:hAnsi="Arial"/>
                <w:sz w:val="14"/>
                <w:szCs w:val="14"/>
                <w:color w:val="auto"/>
              </w:rPr>
              <w:t>Amount</w:t>
            </w:r>
          </w:p>
        </w:tc>
        <w:tc>
          <w:tcPr>
            <w:tcW w:w="660" w:type="dxa"/>
            <w:vAlign w:val="bottom"/>
          </w:tcPr>
          <w:p>
            <w:pPr>
              <w:ind w:left="160"/>
              <w:spacing w:after="0" w:line="142" w:lineRule="exact"/>
              <w:rPr>
                <w:sz w:val="20"/>
                <w:szCs w:val="20"/>
                <w:color w:val="auto"/>
              </w:rPr>
            </w:pPr>
            <w:r>
              <w:rPr>
                <w:rFonts w:ascii="Arial" w:cs="Arial" w:eastAsia="Arial" w:hAnsi="Arial"/>
                <w:sz w:val="14"/>
                <w:szCs w:val="14"/>
                <w:color w:val="auto"/>
              </w:rPr>
              <w:t>Rate*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9"/>
              </w:rPr>
              <w:t>Amount</w:t>
            </w:r>
          </w:p>
        </w:tc>
        <w:tc>
          <w:tcPr>
            <w:tcW w:w="540" w:type="dxa"/>
            <w:vAlign w:val="bottom"/>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Arial" w:cs="Arial" w:eastAsia="Arial" w:hAnsi="Arial"/>
                <w:sz w:val="14"/>
                <w:szCs w:val="14"/>
                <w:color w:val="auto"/>
              </w:rPr>
              <w:t>Rate*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(6,341)</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2,644</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2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6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1,425,840</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938,512</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Rate received**</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Rate paid**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Computed as an annualized percentage of average earning assets or interest-bearing liabilities.</w:t>
      </w:r>
    </w:p>
    <w:p>
      <w:pPr>
        <w:spacing w:after="0" w:line="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Weighted-average rate paid or received on interest rate swap agreements in effect during the period.</w:t>
      </w:r>
    </w:p>
    <w:p>
      <w:pPr>
        <w:spacing w:after="0" w:line="117"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for other corporate purposes. Liquidity risk arises whenever the maturities of financial instruments included in assets and liabilities differ. M&amp;T’s banking subsidiaries have access to additional funding sources through borrowings from the Federal Home Loan Bank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 In December 2007, M&amp;T Bank issued $400 million of subordinated notes. The notes bear a fixed rate of interest of 6.625% and mature in December 2017. As an additional source of funding, the Company maintains a $500 million revolving asset-backed structured borrowing which is collateralized by automobile loans and related assets that have been transferred to a special purpose subsidiary of M&amp;T Bank. That subsidiary, the loans and the borrowing are included in the Company’s consolidated financial statements. As existing loans of the subsidiary pay down, monthly proceeds, after payment of certain fees and debt service costs, are used to obtain additional automobile loans from M&amp;T Bank or other subsidiaries to replenish the collateral and maintain the existing borrowing base.</w:t>
      </w:r>
    </w:p>
    <w:p>
      <w:pPr>
        <w:spacing w:after="0" w:line="72" w:lineRule="exact"/>
        <w:rPr>
          <w:sz w:val="20"/>
          <w:szCs w:val="20"/>
          <w:color w:val="auto"/>
        </w:rPr>
      </w:pPr>
    </w:p>
    <w:p>
      <w:pPr>
        <w:ind w:right="360" w:firstLine="222"/>
        <w:spacing w:after="0" w:line="264"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aggregated $1.6 billion, $2.2 billion and $4.2 billion at June 30, 2008, June 30, 2007 and December 31, 2007, respectively. 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general, these borrowings were unsecured and matured on the following business day. As already noted, offshore branch deposits and brokered certificates of deposit have been used by the Company as alternatives to short-term borrowings. Offshore branch deposits also generally mature on the next business day and totaled $5.8 billion at June 30, 2008, $6.6 billion at June 30, 2007 and $5.9 billion at December 31, 2007. Outstanding brokered time deposits at June 30, 2008, June 30, 2007 and December 31, 2007 were $1.5 billion, $1.9 billion and $1.8 billion, respectively. At June 30, 2008, the weighted-average remaining term to maturity of brokered time deposits was 11 months. Certain of these brokered time deposits have provisions that allow for early redemption.</w:t>
      </w:r>
    </w:p>
    <w:p>
      <w:pPr>
        <w:spacing w:after="0" w:line="50"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$21 million and $14 million at June 30, 2008 and 2007, respectively, and $63 million at December 31, 2007. The total amount of VRDBs outstanding backed by M&amp;T Bank letters of credit was approximately $1.7 billion at each of June 30, 2008, June 30, 2007 and December 31, 2007. M&amp;T Bank also serves as remarketing agent for most of those bonds.</w:t>
      </w:r>
    </w:p>
    <w:p>
      <w:pPr>
        <w:spacing w:after="0" w:line="70"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relating to these commitments is provided in note 6 of Notes to Financial Statements.</w:t>
      </w:r>
    </w:p>
    <w:p>
      <w:pPr>
        <w:spacing w:after="0" w:line="85"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2008 approximately $590 million was available for payment of dividends to M&amp;T from banking subsidiaries without prior regulatory approval. These historic sources of cash flow have been augmented in the past by the issuance of trust preferred securities, including $350 million of Enhanced Trust Preferred Securities issued by M&amp;T Capital Trust IV in January 2008, and the issuance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by M&amp;T of $300 million of senior notes payable during the second quarter of 2007.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June 30, 2008 or at December 31, 2007.</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61"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accompanying table as of June 30, 2008 and December 31, 2007 displays the estimated impact on net interest income from non-trading financial instruments in the base scenario described above resulting from parallel changes in interest rates across repricing categories during the first modeling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80" w:type="dxa"/>
            <w:vAlign w:val="bottom"/>
            <w:gridSpan w:val="3"/>
          </w:tcPr>
          <w:p>
            <w:pPr>
              <w:jc w:val="right"/>
              <w:ind w:right="679"/>
              <w:spacing w:after="0"/>
              <w:rPr>
                <w:sz w:val="20"/>
                <w:szCs w:val="20"/>
                <w:color w:val="auto"/>
              </w:rPr>
            </w:pPr>
            <w:r>
              <w:rPr>
                <w:rFonts w:ascii="Arial" w:cs="Arial" w:eastAsia="Arial" w:hAnsi="Arial"/>
                <w:sz w:val="14"/>
                <w:szCs w:val="14"/>
                <w:color w:val="auto"/>
              </w:rPr>
              <w:t>Calculated increase (decrease)</w:t>
            </w: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80" w:type="dxa"/>
            <w:vAlign w:val="bottom"/>
            <w:gridSpan w:val="3"/>
          </w:tcPr>
          <w:p>
            <w:pPr>
              <w:jc w:val="right"/>
              <w:ind w:right="659"/>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7640" w:type="dxa"/>
            <w:vAlign w:val="bottom"/>
            <w:gridSpan w:val="2"/>
          </w:tcPr>
          <w:p>
            <w:pPr>
              <w:spacing w:after="0"/>
              <w:rPr>
                <w:sz w:val="20"/>
                <w:szCs w:val="20"/>
                <w:color w:val="auto"/>
              </w:rPr>
            </w:pPr>
            <w:r>
              <w:rPr>
                <w:rFonts w:ascii="Arial" w:cs="Arial" w:eastAsia="Arial" w:hAnsi="Arial"/>
                <w:sz w:val="14"/>
                <w:szCs w:val="14"/>
                <w:color w:val="auto"/>
              </w:rPr>
              <w:t>Changes in interest rates</w:t>
            </w:r>
          </w:p>
        </w:tc>
        <w:tc>
          <w:tcPr>
            <w:tcW w:w="500" w:type="dxa"/>
            <w:vAlign w:val="bottom"/>
          </w:tcPr>
          <w:p>
            <w:pPr>
              <w:spacing w:after="0"/>
              <w:rPr>
                <w:sz w:val="14"/>
                <w:szCs w:val="14"/>
                <w:color w:val="auto"/>
              </w:rPr>
            </w:pPr>
          </w:p>
        </w:tc>
        <w:tc>
          <w:tcPr>
            <w:tcW w:w="1240" w:type="dxa"/>
            <w:vAlign w:val="bottom"/>
          </w:tcPr>
          <w:p>
            <w:pPr>
              <w:jc w:val="right"/>
              <w:ind w:right="144"/>
              <w:spacing w:after="0"/>
              <w:rPr>
                <w:sz w:val="20"/>
                <w:szCs w:val="20"/>
                <w:color w:val="auto"/>
              </w:rPr>
            </w:pPr>
            <w:r>
              <w:rPr>
                <w:rFonts w:ascii="Arial" w:cs="Arial" w:eastAsia="Arial" w:hAnsi="Arial"/>
                <w:sz w:val="14"/>
                <w:szCs w:val="14"/>
                <w:color w:val="auto"/>
              </w:rPr>
              <w:t>June 30, 2008</w:t>
            </w:r>
          </w:p>
        </w:tc>
        <w:tc>
          <w:tcPr>
            <w:tcW w:w="500" w:type="dxa"/>
            <w:vAlign w:val="bottom"/>
          </w:tcPr>
          <w:p>
            <w:pPr>
              <w:spacing w:after="0"/>
              <w:rPr>
                <w:sz w:val="14"/>
                <w:szCs w:val="14"/>
                <w:color w:val="auto"/>
              </w:rPr>
            </w:pPr>
          </w:p>
        </w:tc>
        <w:tc>
          <w:tcPr>
            <w:tcW w:w="1540" w:type="dxa"/>
            <w:vAlign w:val="bottom"/>
          </w:tcPr>
          <w:p>
            <w:pPr>
              <w:jc w:val="right"/>
              <w:ind w:right="119"/>
              <w:spacing w:after="0"/>
              <w:rPr>
                <w:sz w:val="20"/>
                <w:szCs w:val="20"/>
                <w:color w:val="auto"/>
              </w:rPr>
            </w:pPr>
            <w:r>
              <w:rPr>
                <w:rFonts w:ascii="Arial" w:cs="Arial" w:eastAsia="Arial" w:hAnsi="Arial"/>
                <w:sz w:val="14"/>
                <w:szCs w:val="14"/>
                <w:color w:val="auto"/>
              </w:rPr>
              <w:t>December 31, 2007</w:t>
            </w:r>
          </w:p>
        </w:tc>
      </w:tr>
      <w:tr>
        <w:trPr>
          <w:trHeight w:val="210"/>
        </w:trPr>
        <w:tc>
          <w:tcPr>
            <w:tcW w:w="20" w:type="dxa"/>
            <w:vAlign w:val="bottom"/>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5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$ 29,229</w:t>
            </w:r>
          </w:p>
        </w:tc>
        <w:tc>
          <w:tcPr>
            <w:tcW w:w="5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4,707</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+100 basis points</w:t>
            </w:r>
          </w:p>
        </w:tc>
        <w:tc>
          <w:tcPr>
            <w:tcW w:w="1740" w:type="dxa"/>
            <w:vAlign w:val="bottom"/>
            <w:gridSpan w:val="2"/>
          </w:tcPr>
          <w:p>
            <w:pPr>
              <w:jc w:val="right"/>
              <w:ind w:right="264"/>
              <w:spacing w:after="0"/>
              <w:rPr>
                <w:sz w:val="20"/>
                <w:szCs w:val="20"/>
                <w:color w:val="auto"/>
              </w:rPr>
            </w:pPr>
            <w:r>
              <w:rPr>
                <w:rFonts w:ascii="Arial" w:cs="Arial" w:eastAsia="Arial" w:hAnsi="Arial"/>
                <w:sz w:val="18"/>
                <w:szCs w:val="18"/>
                <w:color w:val="auto"/>
              </w:rPr>
              <w:t>14,665</w:t>
            </w:r>
          </w:p>
        </w:tc>
        <w:tc>
          <w:tcPr>
            <w:tcW w:w="2040" w:type="dxa"/>
            <w:vAlign w:val="bottom"/>
            <w:gridSpan w:val="2"/>
          </w:tcPr>
          <w:p>
            <w:pPr>
              <w:jc w:val="right"/>
              <w:ind w:right="339"/>
              <w:spacing w:after="0"/>
              <w:rPr>
                <w:sz w:val="20"/>
                <w:szCs w:val="20"/>
                <w:color w:val="auto"/>
              </w:rPr>
            </w:pPr>
            <w:r>
              <w:rPr>
                <w:rFonts w:ascii="Arial" w:cs="Arial" w:eastAsia="Arial" w:hAnsi="Arial"/>
                <w:sz w:val="18"/>
                <w:szCs w:val="18"/>
                <w:color w:val="auto"/>
              </w:rPr>
              <w:t>(996)</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17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(17,106)</w:t>
            </w:r>
          </w:p>
        </w:tc>
        <w:tc>
          <w:tcPr>
            <w:tcW w:w="204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(16,432)</w:t>
            </w: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-200 basis points</w:t>
            </w:r>
          </w:p>
        </w:tc>
        <w:tc>
          <w:tcPr>
            <w:tcW w:w="1740" w:type="dxa"/>
            <w:vAlign w:val="bottom"/>
            <w:gridSpan w:val="2"/>
          </w:tcPr>
          <w:p>
            <w:pPr>
              <w:jc w:val="right"/>
              <w:ind w:right="204"/>
              <w:spacing w:after="0"/>
              <w:rPr>
                <w:sz w:val="20"/>
                <w:szCs w:val="20"/>
                <w:color w:val="auto"/>
              </w:rPr>
            </w:pPr>
            <w:r>
              <w:rPr>
                <w:rFonts w:ascii="Arial" w:cs="Arial" w:eastAsia="Arial" w:hAnsi="Arial"/>
                <w:sz w:val="18"/>
                <w:szCs w:val="18"/>
                <w:color w:val="auto"/>
              </w:rPr>
              <w:t>(27,808)</w:t>
            </w:r>
          </w:p>
        </w:tc>
        <w:tc>
          <w:tcPr>
            <w:tcW w:w="2040" w:type="dxa"/>
            <w:vAlign w:val="bottom"/>
            <w:gridSpan w:val="2"/>
          </w:tcPr>
          <w:p>
            <w:pPr>
              <w:jc w:val="right"/>
              <w:ind w:right="339"/>
              <w:spacing w:after="0"/>
              <w:rPr>
                <w:sz w:val="20"/>
                <w:szCs w:val="20"/>
                <w:color w:val="auto"/>
              </w:rPr>
            </w:pPr>
            <w:r>
              <w:rPr>
                <w:rFonts w:ascii="Arial" w:cs="Arial" w:eastAsia="Arial" w:hAnsi="Arial"/>
                <w:sz w:val="18"/>
                <w:szCs w:val="18"/>
                <w:color w:val="auto"/>
              </w:rPr>
              <w:t>(24,284)</w:t>
            </w:r>
          </w:p>
        </w:tc>
      </w:tr>
    </w:tbl>
    <w:p>
      <w:pPr>
        <w:spacing w:after="0" w:line="79"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6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 10 of Notes to Financial Statements.</w:t>
      </w:r>
    </w:p>
    <w:p>
      <w:pPr>
        <w:spacing w:after="0" w:line="73"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The notional amounts of interest rate contracts entered into for trading purposes totaled $13.5 billion at June 30, 2008, compared with $8.4 billion and $11.7 billion at June 30, 2007 and December 31, 2007, respectively. The increase in the notional amounts of such contracts from June 30, 2007 to December 31, 2007 and June 30, 2008 was due largely to increased commercial lending volumes and the desire of commercial customers to use swap agreements to modify the characteristics of their borrowings. The notional amounts of foreign currency and other option and futures contracts entered into for trading purposes were $973 million, $798 million and $801 million at June 30, 2008, June 30, 2007 and December 31, 2007, respectively.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totaled $243 million and $148 million, respectively, at June 30, 2008, $152 million and $71 million, respectively, at June 30, 2007, and $281 million and $143 million, respectively, at December 31, 2007. The higher asset and liability balances at June 30, 2008 and December 31, 2007 as compared with June 30, 2007 were the result of higher interest rate swap agreements in the trading portfolio, for which the related fair values largely offset each other, as the Company generally enters into offsetting positions. Included in trading account assets were assets related to deferred compensation plans totaling $43 million at June 30, 2008 and $47 million at June 30 and December 31, 2007. Changes in the fair value of such assets are recorded as trading account and foreign exchange gains in the consolidated statement of income. Included in other liabilities in the consolidated balance sheet at June 30, 2008 were $45 million of liabilities related to deferred compensation plans, while at June 30, 2007 and at December 31, 2007, $50 million of such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73"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second quarter of 2008 was $100 million, compared with $30 million in the year-earlier quarter and $60 million in the first quarter of 2008. For the six-month periods ended June 30, 2008 and 2007, the provision for credit losses was $160 million and $57 million, respectively. The higher levels of the provision in the 2008 periods as compared with the 2007 periods reflect the impact of declining real estate valuations and higher delinquencies and charge-offs related to the Company’s alternative (“Alt-A”) residential real estate loan portfolio and to the residential real estate builder and developer loan portfolio.</w:t>
      </w:r>
    </w:p>
    <w:p>
      <w:pPr>
        <w:spacing w:after="0" w:line="57" w:lineRule="exact"/>
        <w:rPr>
          <w:sz w:val="20"/>
          <w:szCs w:val="20"/>
          <w:color w:val="auto"/>
        </w:rPr>
      </w:pPr>
    </w:p>
    <w:p>
      <w:pPr>
        <w:ind w:right="240" w:firstLine="222"/>
        <w:spacing w:after="0" w:line="312" w:lineRule="auto"/>
        <w:rPr>
          <w:sz w:val="20"/>
          <w:szCs w:val="20"/>
          <w:color w:val="auto"/>
        </w:rPr>
      </w:pPr>
      <w:r>
        <w:rPr>
          <w:rFonts w:ascii="Arial" w:cs="Arial" w:eastAsia="Arial" w:hAnsi="Arial"/>
          <w:sz w:val="16"/>
          <w:szCs w:val="16"/>
          <w:color w:val="auto"/>
        </w:rPr>
        <w:t>Through early 2007, the Company had been an active participant in the origination of Alt-A residential real estate loans and the sale of such loans in the secondary market. Alt-A loans originated by the Company typically included some form of limited documentation requirements as compared with more traditional residential real estate loans. Unfavorable market conditions during the first quarter of 2007, including a lack of liquidity by previously active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purchasers, impacted the Company’s willingness to sell Alt-A loans, as an auction of such loans initiated by the Company at that time received fewer bids than normal and the pricing of those bids was substantially lower than expected. As a result, $883 million of Alt-A loans previously held for sale (including $808 million of first mortgage loans and $75 million of second mortgage loans) were transferred in March 2007 to the Company’s held-for-investment loan portfolio. In total, Alt-A residential mortgage loans aggregated $1.1 billion, $1.3 billion and $1.2 billion at June 30, 2008, June 30, 2007 and December 31, 2007, respectively, and included $48 million, $74 million and $59 million of second mortgage loans at those respective dates. This Alt-A portfolio of first and second mortgage loans has experienced higher delinquencies and charge-offs than the Company’s other first and second mortgage loans.</w:t>
      </w:r>
    </w:p>
    <w:p>
      <w:pPr>
        <w:spacing w:after="0" w:line="5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Company’s portfolio of loans to builders and developers of residential real estate totaled $2.1 billion at each of June 30, 2008 and December 31, 2007, compared with $2.0 billion at June 30, 2007. This portfolio has experienced increasing delinquencies and charge-offs during 2008, particularly related to properties in the Mid-Atlantic region of the United States.</w:t>
      </w:r>
    </w:p>
    <w:p>
      <w:pPr>
        <w:spacing w:after="0" w:line="73"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Net loan charge-offs were $99 million in the recent quarter, compared with $22 million in the second quarter of 2007 and $46 million in the initial 2008 quarter. Net charge-offs as an annualized percentage of average loans and leases were .81% in the recently completed quarter, compared with .20% and .38% in the quarters ended June 30, 2007 and March 31, 2008, respectively. Net charge-offs for the six-month period ended June 30 aggregated $145 million in 2008 and $39 million in 2007, representing .59% and ..18%, respectively, of average loans and leases. A summary of net charge–offs by loan type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4"/>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5"/>
              </w:rPr>
              <w:t>1st Qtr.</w:t>
            </w:r>
          </w:p>
        </w:tc>
        <w:tc>
          <w:tcPr>
            <w:tcW w:w="6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2nd Qtr.</w:t>
            </w:r>
          </w:p>
        </w:tc>
        <w:tc>
          <w:tcPr>
            <w:tcW w:w="66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4,377</w:t>
            </w:r>
          </w:p>
        </w:tc>
        <w:tc>
          <w:tcPr>
            <w:tcW w:w="6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0"/>
              </w:rPr>
              <w:t>20,284</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24,661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4,380</w:t>
            </w:r>
          </w:p>
        </w:tc>
        <w:tc>
          <w:tcPr>
            <w:tcW w:w="6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0"/>
              </w:rPr>
              <w:t>39,559</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43,939</w:t>
            </w:r>
          </w:p>
        </w:tc>
        <w:tc>
          <w:tcPr>
            <w:tcW w:w="0" w:type="dxa"/>
            <w:vAlign w:val="bottom"/>
          </w:tcPr>
          <w:p>
            <w:pPr>
              <w:spacing w:after="0"/>
              <w:rPr>
                <w:sz w:val="1"/>
                <w:szCs w:val="1"/>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15,097</w:t>
            </w:r>
          </w:p>
        </w:tc>
        <w:tc>
          <w:tcPr>
            <w:tcW w:w="660" w:type="dxa"/>
            <w:vAlign w:val="bottom"/>
          </w:tcPr>
          <w:p>
            <w:pPr>
              <w:spacing w:after="0"/>
              <w:rPr>
                <w:sz w:val="18"/>
                <w:szCs w:val="18"/>
                <w:color w:val="auto"/>
              </w:rPr>
            </w:pPr>
          </w:p>
        </w:tc>
        <w:tc>
          <w:tcPr>
            <w:tcW w:w="700" w:type="dxa"/>
            <w:vAlign w:val="bottom"/>
            <w:gridSpan w:val="3"/>
          </w:tcPr>
          <w:p>
            <w:pPr>
              <w:ind w:left="180"/>
              <w:spacing w:after="0"/>
              <w:rPr>
                <w:sz w:val="20"/>
                <w:szCs w:val="20"/>
                <w:color w:val="auto"/>
              </w:rPr>
            </w:pPr>
            <w:r>
              <w:rPr>
                <w:rFonts w:ascii="Arial" w:cs="Arial" w:eastAsia="Arial" w:hAnsi="Arial"/>
                <w:sz w:val="18"/>
                <w:szCs w:val="18"/>
                <w:color w:val="auto"/>
                <w:w w:val="90"/>
              </w:rPr>
              <w:t>12,490</w:t>
            </w:r>
          </w:p>
        </w:tc>
        <w:tc>
          <w:tcPr>
            <w:tcW w:w="6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27,587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21,961</w:t>
            </w:r>
          </w:p>
        </w:tc>
        <w:tc>
          <w:tcPr>
            <w:tcW w:w="6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0"/>
              </w:rPr>
              <w:t>26,888</w:t>
            </w:r>
          </w:p>
        </w:tc>
        <w:tc>
          <w:tcPr>
            <w:tcW w:w="6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48,849</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w w:val="87"/>
              </w:rPr>
              <w:t>99,221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145,036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7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5"/>
              </w:rPr>
              <w:t>1st Qtr.</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2nd Qtr.</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4,533</w:t>
            </w:r>
          </w:p>
        </w:tc>
        <w:tc>
          <w:tcPr>
            <w:tcW w:w="13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7,393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671</w:t>
            </w:r>
          </w:p>
        </w:tc>
        <w:tc>
          <w:tcPr>
            <w:tcW w:w="13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1,021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1,369</w:t>
            </w:r>
          </w:p>
        </w:tc>
        <w:tc>
          <w:tcPr>
            <w:tcW w:w="1340" w:type="dxa"/>
            <w:vAlign w:val="bottom"/>
            <w:gridSpan w:val="4"/>
          </w:tcPr>
          <w:p>
            <w:pPr>
              <w:jc w:val="right"/>
              <w:ind w:right="640"/>
              <w:spacing w:after="0"/>
              <w:rPr>
                <w:sz w:val="20"/>
                <w:szCs w:val="20"/>
                <w:color w:val="auto"/>
              </w:rPr>
            </w:pPr>
            <w:r>
              <w:rPr>
                <w:rFonts w:ascii="Arial" w:cs="Arial" w:eastAsia="Arial" w:hAnsi="Arial"/>
                <w:sz w:val="18"/>
                <w:szCs w:val="18"/>
                <w:color w:val="auto"/>
              </w:rPr>
              <w:t>2,483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10,618</w:t>
            </w:r>
          </w:p>
        </w:tc>
        <w:tc>
          <w:tcPr>
            <w:tcW w:w="13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10,722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21,340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17,191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21,619</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140" w:type="dxa"/>
            <w:vAlign w:val="bottom"/>
            <w:vMerge w:val="restart"/>
          </w:tcPr>
          <w:p>
            <w:pPr>
              <w:jc w:val="right"/>
              <w:ind w:right="19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Net charge-offs of commercial loans and leases in the recent quarter reflect an $8 million partial charge-off of a relationship with a workforce service provider. Included in net charge-offs of commercial real estate loans were net charge-offs of loans to residential homebuilders and developers of $38 million and $3 million for the quarters ended June 30 and March 31, 2008, respectively. There were no such loans charged off in the quarter ended June 30, 2007. Essentially all of the $38 million of net charge-offs in the second quarter of 2008 were related to real estate located in the Mid-Atlantic region. The impact of declining real estate values that has contributed to higher levels of residential real estate loan delinquencies and charge-offs has been particularly noteworthy in the $1.1 billion portfolio of Alt-A residential mortgage loans held by the Company. Net charge-offs of Alt-A first mortgage loans in the second quarter of 2008 were $10 million, compared with $2 million and $12 million during the quarters ended June 30, 2007 and March 31, 2008, respectively. Included in net charge-offs of consumer loans and leases were net charge-offs during the quarters ended June 30, 2008, June 30, 2007 and March 31, 2008, respectively, of: indirect automobile loans of $11 million, $5 million and $10 million; recreational vehicle loans of $5 million, $3 million and $3 million; and home equity loans and lines of credit, including Alt-A second lien loans, of $9 million, $2 million and $6 million. Including both first and second lien mortgages, net charge-offs of Alt-A loans totaled $15 million, $3 million and $16 million for the quarters ended June 30, 2008, June 30, 2007 and March 31, 2008, respectively.</w:t>
      </w:r>
    </w:p>
    <w:p>
      <w:pPr>
        <w:spacing w:after="0" w:line="72"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Nonperforming loans, consisting of nonaccrual and restructured loans, totaled $587 million or 1.20% of total loans and leases outstanding at June 30, 2008, compared with $296 million or .68% at June 30, 2007, $447 million or .93% at December 31, 2007, and $495 million or 1.00% at March 31, 2008. Major factors contributing to the rise in nonperforming loans from the second quarter of 2007 were a $139 million increase in residential real estate loans and a $124 million rise in loans to builders and developers of residential real estate. The increase in nonperforming residential real estate loans was the result of the residential real estate market turmoil and its impact on the portfolio of Alt-A loans and also reflected a change in accounting procedure in December 2007 whereby residential real estate loans previously classified as nonaccrual when payments were 180 days past due now stop accruing interest when principal or interest is delinquent 90 days. The impact of the acceleration of the classification of such loans as nonaccrual resulted in an increase in nonperforming loans of $65 million, $84 million and $79 million at June 30, 2008, December 31, 2007 and March 31, 2008, respectively. The higher level of nonaccrual loans to builders and developers was largely due to deteriorating residential real estate values. The most significant factor contributing to the higher level of nonperforming loans at June 30, 2008 as compared with December 31, 2007 and March 31, 2008 was the addition of loans to builders and developers of residential real estate.</w:t>
      </w:r>
    </w:p>
    <w:p>
      <w:pPr>
        <w:spacing w:after="0" w:line="75" w:lineRule="exact"/>
        <w:rPr>
          <w:sz w:val="20"/>
          <w:szCs w:val="20"/>
          <w:color w:val="auto"/>
        </w:rPr>
      </w:pPr>
    </w:p>
    <w:p>
      <w:pPr>
        <w:ind w:firstLine="215"/>
        <w:spacing w:after="0" w:line="291" w:lineRule="auto"/>
        <w:rPr>
          <w:sz w:val="20"/>
          <w:szCs w:val="20"/>
          <w:color w:val="auto"/>
        </w:rPr>
      </w:pPr>
      <w:r>
        <w:rPr>
          <w:rFonts w:ascii="Arial" w:cs="Arial" w:eastAsia="Arial" w:hAnsi="Arial"/>
          <w:sz w:val="16"/>
          <w:szCs w:val="16"/>
          <w:color w:val="auto"/>
        </w:rPr>
        <w:t>Accruing loans past due 90 days or more were $94 million or .19% of total loans and leases at June 30, 2008, compared with $135 million or .31% a year earlier, $77 million or .16% at December 31, 2007 and $81 million or .17% at March 31, 2008. Those loans included $89 million, $70 million, $73 million and $77 million at June 30, 2008, June 30, 2007, December 31, 2007 and March 31, 2008, respectively, of loans guaranteed by government-related entities.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$78 million, $58 million, $67 million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and $72 million at June 30, 2008, June 30, 2007, December 31, 2007 and March 31, 2008, respectively. Loans past due 90 days or more and accruing interest that were guaranteed by government-related entities also included foreign commercial and industrial loans supported by the Export-Import Bank of the United States that totaled $10 million at June 30, 2008, compared with $12 million a year earlier, $5 million at December 31, 2007 and $4 million at March 31, 2008.</w:t>
      </w:r>
    </w:p>
    <w:p>
      <w:pPr>
        <w:spacing w:after="0" w:line="3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Commercial loans and leases classified as nonperforming aggregated $90 million at June 30, 2008, $115 million at June 30, 2007, $79 million at December 31, 2007 and $85 million at March 31, 2008. The decline in such loans from June 30, 2007 to the last three quarter-ends was due, in part, to a reduction of nonperforming loans to automobile dealers predominantly due to payments received. The rise in nonperforming commercial loans and leases at the current quarter-end as compared with December 31, 2007 and March 31, 2008 was largely due to the recent quarter’s addition of a $16 million relationship with a publishing company.</w:t>
      </w:r>
    </w:p>
    <w:p>
      <w:pPr>
        <w:spacing w:after="0" w:line="80"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Nonperforming commercial real estate loans totaled $227 million at June 30, 2008, $72 million at June 30, 2007, $118 million at December 31, 2007 and $141 million at March 31, 2008. Included in nonperforming commercial real estate loans were loans to residential homebuilders and developers of</w:t>
      </w:r>
    </w:p>
    <w:p>
      <w:pPr>
        <w:jc w:val="both"/>
        <w:ind w:right="100"/>
        <w:spacing w:after="0" w:line="255" w:lineRule="auto"/>
        <w:rPr>
          <w:sz w:val="20"/>
          <w:szCs w:val="20"/>
          <w:color w:val="auto"/>
        </w:rPr>
      </w:pPr>
      <w:r>
        <w:rPr>
          <w:rFonts w:ascii="Arial" w:cs="Arial" w:eastAsia="Arial" w:hAnsi="Arial"/>
          <w:sz w:val="18"/>
          <w:szCs w:val="18"/>
          <w:color w:val="auto"/>
        </w:rPr>
        <w:t>$161 million, $37 million, $85 million and $94 million at June 30, 2008, June 30, 2007, December 31, 2007 and March 31, 2008, respectively, reflecting the impact of the downturn in the residential real estate market, including declining real estate values. The collateral securing those loans is largely located in the Mid-Atlantic region.</w:t>
      </w:r>
    </w:p>
    <w:p>
      <w:pPr>
        <w:spacing w:after="0" w:line="8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Residential real estate loans classified as nonperforming were $200 million at June 30, 2008, $61 million at June 30, 2007, $181 million at December 31, 2007 and $198 million at March 31, 2008. As already noted, the significant increase in such loans from June 30, 2007 reflects the turmoil present in the residential real estate marketplace that has resulted in declining property values as well as the effect of the change in accounting procedure for nonaccrual residential real estate loans that became effective during the fourth quarter of 2007. Included in nonperforming residential real estate loans were nonperforming Alt-A loans which totaled $106 million, $19 million, $90 million and $107 million at June 30, 2008, June 30, 2007, December 31, 2007 and March 31, 2008, respectively. Residential real estate loans past due 90 days or more and accruing interest totaled $78 million at June 30, 2008, compared with $110 million a year-earlier, and $66 million and $72 million at December 31, 2007 and March 31, 2008, respectively. Such amounts consist predominantly of guaranteed loans repurchased from government-related entities.</w:t>
      </w:r>
    </w:p>
    <w:p>
      <w:pPr>
        <w:spacing w:after="0" w:line="71"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Nonperforming consumer loans and leases totaled $70 million at the recent quarter-end, compared with $48 million a year earlier, $69 million at December 31, 2007 and $71 million at March 31, 2008. Included in nonperforming consumer loans and leases at June 30, 2008, June 30, 2007, December 31, 2007 and March 31, 2008 were indirect automobile loans of $33 million, $22 million, $30 million and $32 million, respectively; recreational vehicle loans of $11 million, $4 million, $11 million and $12 million, respectively; and outstanding balances of home equity lines of credit of $13 million, $9 million,</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$12 million and $13 million, respectively. As a percentage of consumer loan balances outstanding, nonperforming consumer loans and leases were .67% and .47% at June 30, 2008 and 2007, respectively, .61% at December 31, 2007 and .63% at March 31, 2008.</w:t>
      </w:r>
    </w:p>
    <w:p>
      <w:pPr>
        <w:spacing w:after="0" w:line="76" w:lineRule="exact"/>
        <w:rPr>
          <w:sz w:val="20"/>
          <w:szCs w:val="20"/>
          <w:color w:val="auto"/>
        </w:rPr>
      </w:pPr>
    </w:p>
    <w:p>
      <w:pPr>
        <w:ind w:right="60" w:firstLine="215"/>
        <w:spacing w:after="0" w:line="308" w:lineRule="auto"/>
        <w:rPr>
          <w:sz w:val="20"/>
          <w:szCs w:val="20"/>
          <w:color w:val="auto"/>
        </w:rPr>
      </w:pPr>
      <w:r>
        <w:rPr>
          <w:rFonts w:ascii="Arial" w:cs="Arial" w:eastAsia="Arial" w:hAnsi="Arial"/>
          <w:sz w:val="17"/>
          <w:szCs w:val="17"/>
          <w:color w:val="auto"/>
        </w:rPr>
        <w:t>Assets acquired in settlement of defaulted loans were $53 million at each of June 30 and March 31, 2008, compared with $18 million at June 30, 2007 and $40 million at December 31, 2007. The increases from June 30, 2007 resulted from higher residential real estate loan defaults.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540"/>
              <w:spacing w:after="0"/>
              <w:rPr>
                <w:sz w:val="20"/>
                <w:szCs w:val="20"/>
                <w:color w:val="auto"/>
              </w:rPr>
            </w:pPr>
            <w:r>
              <w:rPr>
                <w:rFonts w:ascii="Arial" w:cs="Arial" w:eastAsia="Arial" w:hAnsi="Arial"/>
                <w:sz w:val="14"/>
                <w:szCs w:val="14"/>
                <w:color w:val="auto"/>
                <w:w w:val="93"/>
              </w:rPr>
              <w:t>2008 Quarters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ind w:left="320"/>
              <w:spacing w:after="0"/>
              <w:rPr>
                <w:sz w:val="20"/>
                <w:szCs w:val="20"/>
                <w:color w:val="auto"/>
              </w:rPr>
            </w:pPr>
            <w:r>
              <w:rPr>
                <w:rFonts w:ascii="Arial" w:cs="Arial" w:eastAsia="Arial" w:hAnsi="Arial"/>
                <w:sz w:val="14"/>
                <w:szCs w:val="14"/>
                <w:color w:val="auto"/>
              </w:rPr>
              <w:t>2007 Quarters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2"/>
              </w:rPr>
              <w:t>Second</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First</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Fourth</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Third</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Second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568,460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477,436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431,282</w:t>
            </w:r>
          </w:p>
        </w:tc>
        <w:tc>
          <w:tcPr>
            <w:tcW w:w="3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356,438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Renegotiated loans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18,905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17,084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15,884</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14,953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587,365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494,520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447,166</w:t>
            </w:r>
          </w:p>
        </w:tc>
        <w:tc>
          <w:tcPr>
            <w:tcW w:w="3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371,391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Real estate and other assets owned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52,606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52,805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40,175</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22,080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639,971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547,325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487,341</w:t>
            </w:r>
          </w:p>
        </w:tc>
        <w:tc>
          <w:tcPr>
            <w:tcW w:w="3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393,471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313,676</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93,894</w:t>
            </w:r>
          </w:p>
        </w:tc>
        <w:tc>
          <w:tcPr>
            <w:tcW w:w="100" w:type="dxa"/>
            <w:vAlign w:val="bottom"/>
          </w:tcPr>
          <w:p>
            <w:pPr>
              <w:spacing w:after="0"/>
              <w:rPr>
                <w:sz w:val="24"/>
                <w:szCs w:val="2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81,316</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77,319</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140,313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Nonperforming loans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24,658</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22,320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19,125</w:t>
            </w:r>
          </w:p>
        </w:tc>
        <w:tc>
          <w:tcPr>
            <w:tcW w:w="1780" w:type="dxa"/>
            <w:vAlign w:val="bottom"/>
            <w:gridSpan w:val="3"/>
          </w:tcPr>
          <w:p>
            <w:pPr>
              <w:jc w:val="right"/>
              <w:ind w:right="700"/>
              <w:spacing w:after="0"/>
              <w:rPr>
                <w:sz w:val="20"/>
                <w:szCs w:val="20"/>
                <w:color w:val="auto"/>
              </w:rPr>
            </w:pPr>
            <w:r>
              <w:rPr>
                <w:rFonts w:ascii="Arial" w:cs="Arial" w:eastAsia="Arial" w:hAnsi="Arial"/>
                <w:sz w:val="18"/>
                <w:szCs w:val="18"/>
                <w:color w:val="auto"/>
              </w:rPr>
              <w:t>15,999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89,163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76,511</w:t>
            </w: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72,705</w:t>
            </w: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69,956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Nonperforming loans to total loans and leases, net of</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.83%</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 real</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estate and other assets owned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 and</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leases, net of unearned discount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4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Predominantly residential mortgage loans.</w:t>
      </w:r>
    </w:p>
    <w:p>
      <w:pPr>
        <w:spacing w:after="0" w:line="117" w:lineRule="exact"/>
        <w:rPr>
          <w:sz w:val="20"/>
          <w:szCs w:val="20"/>
          <w:color w:val="auto"/>
        </w:rPr>
      </w:pPr>
    </w:p>
    <w:p>
      <w:pPr>
        <w:ind w:right="140" w:firstLine="225"/>
        <w:spacing w:after="0" w:line="284"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residential mortgage loans;</w:t>
      </w:r>
    </w:p>
    <w:p>
      <w:pPr>
        <w:spacing w:after="0" w:line="1" w:lineRule="exact"/>
        <w:rPr>
          <w:sz w:val="20"/>
          <w:szCs w:val="20"/>
          <w:color w:val="auto"/>
        </w:rPr>
      </w:pPr>
    </w:p>
    <w:p>
      <w:pPr>
        <w:ind w:right="80" w:firstLine="8"/>
        <w:spacing w:after="0" w:line="254"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38"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Management cautiously and conservatively evaluated the allowance for credit losses as of June 30, 2008 in light of (i) the declining residential real estate values and emergence of higher levels of delinquencies of residential real estate loans; (ii) the sluggish pace of economic growth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in late 2007 and early 2008. Although the national economy experienced moderate growth in 2007 with inflation being reasonably well contained, concerns exist in 2008 about a deepening economic downturn in both national and international markets; the level and volatility of energy prices; a weakened housing market; the troubled state of financial and credit markets; Federal Reserve positioning of monetary policy; sluggish job creation and rising unemployment, which could cause consumer spending to slow; the underlying impact on businesses’ operations and abilities to repay loans should consumer spending slow; continued stagnant population growth in the upstate New York and central Pennsylvania regions; and continued slowing of domestic automobile sales.</w:t>
      </w:r>
    </w:p>
    <w:p>
      <w:pPr>
        <w:spacing w:after="0" w:line="70"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Factors that influence the Company’s credit loss experience include overall economic conditions affecting businesses and consumers generally, such as those described above, but also residential and commercial real estate valuations, in particular, given the size of the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Management believes that the allowance for credit losses at June 30, 2008 was adequate to absorb credit losses inherent in the portfolio as of that date. The allowance for credit losses was $774 million, or 1.58% of total loans and leases at June 30, 2008, compared with $668 million or 1.53% a year earlier,</w:t>
      </w:r>
    </w:p>
    <w:p>
      <w:pPr>
        <w:spacing w:after="0" w:line="268" w:lineRule="auto"/>
        <w:rPr>
          <w:sz w:val="20"/>
          <w:szCs w:val="20"/>
          <w:color w:val="auto"/>
        </w:rPr>
      </w:pPr>
      <w:r>
        <w:rPr>
          <w:rFonts w:ascii="Arial" w:cs="Arial" w:eastAsia="Arial" w:hAnsi="Arial"/>
          <w:sz w:val="17"/>
          <w:szCs w:val="17"/>
          <w:color w:val="auto"/>
        </w:rPr>
        <w:t>$759 million or 1.58% at December 31, 2007 and $774 million or 1.57% at March 31, 2008. The increase in the level of the allowance as a percentage of outstanding loans and leases since June 30, 2007 reflects management’s evaluation of the loan and lease portfolio as described herein, including the impact of lower real estate values and higher levels of delinquencies and charge-offs in the Company’s portfolio of Alt-A residential real estate loans and in the residential real estate builder and developer loan portfolio. The December 2007 change in accounting procedure that accelerated the recognition of charge-offs on residential real estate loans and home equity lines of credit has damped the rise in the allowance as a percentage of loans. The excess of such loan balances over the net realizable value of the property collateralizing the loan is now charged off when the loans become 150 days delinquent, whereas previously the Company provided an allowance for credit losses for such amounts and charged off loans upon foreclosure of the underlying property. Nevertheless,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nonperforming loans was 132% at June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30, 2008, compared with 226% a year earlier, 170% at December 31, 2007 and 156% at March 31, 2008. Given the Company’s position as a secured lender, changes in that ratio are generally not an indicative measure of the adequacy of the Company’s allowance for credit losses. The level of the allowance reflects management’s evaluation of the loan and lease portfolio as of each respective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income aggregated $271 million in the second quarter of 2008, down 4% from $283 million in the year-earlier quarter and 13% below $313 million in the first quarter of 2008. The decrease in such income in the recent quarter as compared with the second quarter of 2007 was due largely to a recent quarter loss of $13 million related to M&amp;T’s pro-rata portion of the operating results of BLG, compared with earnings of $8 million in last year’s second quarter, and losses on investment securities of $5 million during the recent quarter. Partially offsetting those factors were increases in deposit account service charges and higher income from providing trust and mortgage banking services. The decline in other income from the first quarter of 2008 was predominantly the result of the $33 million gain realized in 2008’s initial quarter from the mandatory sale of a portion of M&amp;T’s common stock holdings of Visa and a $12 million decline in the contribution from M&amp;T’s pro-rata portion of the operating results of BLG. Partially offsetting those decreases were higher deposit account service charges.</w:t>
      </w:r>
    </w:p>
    <w:p>
      <w:pPr>
        <w:spacing w:after="0" w:line="84"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Mortgage banking revenues were $38 million in the recent quarter, up 8% from $36 million in the similar quarter of 2007, but down 5% from $40 million in the initial quarter of 2008. Mortgage banking revenues are comprised of both residential and commercial mortgage banking activities. The Company’s involvement in commercial mortgage banking activities is largely comprised of the origination, sales and servicing of loans in conjunction with the FNMA Delegated Underwriting and Servicing (“DUS”) program.</w:t>
      </w:r>
    </w:p>
    <w:p>
      <w:pPr>
        <w:spacing w:after="0" w:line="79"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$27 million in the recent quarter, compared with $28 million in the year-earlier period and $32 million in the first quarter of 2008. Contributing to the increased revenues in 2008’s first quarter as compared with the second quarters of 2008 and 2007 was the adoption of SEC Staff Accounting Bulletin (“SAB”) No. 109 for written loan commitments issued or modified after January 1, 2008. In November 2007, the SEC issued SAB No. 109,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amounts in the value of loan commitments accounted for as derivatives in 2007. As a result of the Company’s adoption of required changes in accounting pronouncements on January 1, 2008, an additional $5 million of residential mortgage banking revenues were recognized during the first quarter of 2008.</w:t>
      </w:r>
    </w:p>
    <w:p>
      <w:pPr>
        <w:spacing w:after="0" w:line="75"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Residential mortgage loans originated for sale to other investors were approximately $1.2 billion during each of the three-month periods ended March 31 and June 30, 2008, compared with $1.4 billion during the second quarter of 2007. Residential mortgage loans sold to investors totaled $1.3 billion in each of the second quarters of 2008 and 2007, compared with $1.1 billion in the first quarter of 2008. Realized gains from sales of residential mortgage loans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loan servicing rights and recognized net unrealized gains and losses attributable to residential mortgage loans held for sale, commitments to originate loans for sale and commitments to sell loans totaled to a gain of $6 million in the recent quarter, compared with gains of $8 million in the second quarter of 2007 and $10 million in the first quarter of 2008.</w:t>
      </w:r>
    </w:p>
    <w:p>
      <w:pPr>
        <w:spacing w:after="0" w:line="73" w:lineRule="exact"/>
        <w:rPr>
          <w:sz w:val="20"/>
          <w:szCs w:val="20"/>
          <w:color w:val="auto"/>
        </w:rPr>
      </w:pPr>
    </w:p>
    <w:p>
      <w:pPr>
        <w:ind w:right="20" w:firstLine="225"/>
        <w:spacing w:after="0" w:line="284" w:lineRule="auto"/>
        <w:rPr>
          <w:sz w:val="20"/>
          <w:szCs w:val="20"/>
          <w:color w:val="auto"/>
        </w:rPr>
      </w:pPr>
      <w:r>
        <w:rPr>
          <w:rFonts w:ascii="Arial" w:cs="Arial" w:eastAsia="Arial" w:hAnsi="Arial"/>
          <w:sz w:val="16"/>
          <w:szCs w:val="16"/>
          <w:color w:val="auto"/>
        </w:rPr>
        <w:t>Revenues from servicing residential mortgage loans for others were $20 million in each of the first two 2008 quarters, compared with $18 million in the second quarter of 2007. Included in servicing revenues were amounts related to purchased servicing rights associated with small balance commercial mortgage loans which totaled $7 million in the two most recent quarters, compared with $5 million in the second quarter of 2007. Residential mortgage loans serviced for others totaled $21.0 billion at June 30, 2008, compared with $17.1 billion at June 30, 2007 and $19.4 billion at December 31, 2007, including the small balance commercial mortgage loans noted above of approximately $5.8 billion and $3.4 billion at June 30, 2008 and 2007, respectively, and $4.9 billion at December 31, 2007. Capitalized residential mortgage servicing assets, net of a valuation allowance for impairment, were $173 million at June 30, 2008, compared with $161 million a year earlier and $170 million at December 31, 2007. Included in capitalized residential mortgage servicing assets were</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$64 million at June 30, 2008, $43 million at June 30, 2007 and $57 million at December 31, 2007 of purchased servicing rights associated with the small balance commercial mortgage loans noted above. Servicing rights for the small balance commercial mortgage loans were purchased from BLG or its affiliates. In addition, at June 30, 2008, capitalized servicing rights included $32 million for servicing rights for $4.3 billion of residential real estate loans that were purchased from affiliates of BLG. Additional information about the Company’s relationship with BLG and its affiliates is provided in note 9 of Notes to Financial Statements.</w:t>
      </w:r>
    </w:p>
    <w:p>
      <w:pPr>
        <w:spacing w:after="0" w:line="83"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Loans held for sale that are secured by residential real estate totaled $612 million at June 30, 2008, $1.0 billion at June 30, 2007 and $774 million at December 31, 2007. Commitments to sell loans and commitments to originate loans for sale at pre-determined rates were $671 million and $477 million, respectively, at June 30, 2008, $1.0 billion and $549 million, respectively, at June 30, 2007, and $772 million and $492 million, respectively, at December 31, 2007. Net unrealized losses on residential mortgage loans held for sale, commitments to sell loans, and commitments to originate loans for sale were</w:t>
      </w:r>
    </w:p>
    <w:p>
      <w:pPr>
        <w:spacing w:after="0" w:line="2"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$5 million at June 30, 2008, $3 million at June 30, 2007 and $7 million at December 31, 2007. Changes in such net unrealized losses are recorded in mortgage banking revenues and resulted in net decreases in revenues of $3 million and $2 million in the recent quarter and the second quarter of 2007, respectively, compared with a net increase of $5 million in the first quarter of 2008.</w:t>
      </w:r>
    </w:p>
    <w:p>
      <w:pPr>
        <w:spacing w:after="0" w:line="8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Commercial mortgage banking revenues were $11 million and $7 million in the second quarters of 2008 and 2007, respectively, and $8 million in the first quarter of 2008. Included in such amounts were revenues from loan origination and sales activities of $8 million and $4 million in the second quarters of 2008 and 2007, respectively, and $5 million in the initial 2008 quarter. The aforementioned adoption of required accounting changes prescribed by SAB No. 109 for written loan commitments accounted for as derivatives resulted in the accelerated recognition of approximately $2 million of commercial mortgage banking revenues during the first quarter of 2008. Commercial mortgage loan servicing revenues were $3 million in each of the second quarters of 2008 and 2007 and in the first quarter of 2008. Capitalized commercial mortgage servicing assets totaled $23 million and $21 million at June 30, 2008 and 2007, respectively, and $20 million at December 31, 2007. Commercial mortgage loans held for sale at June 30, 2008 and 2007 were $41 million and $30 million, respectively, and $79 million at December 31, 2007. Commitments to sell commercial mortgage loans and commitments to originate commercial mortgage loans for sale were $109 million and $68 million,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respectively, at June 30, 2008, $99 million and $69 million, respectively, at June 30, 2007 and $176 million and $97 million, respectively, at December 31, 2007. Net unrealized gains on commercial mortgage loans held for sale, commitments to sell commercial mortgage loans, and commitments to originate commercial mortgage loans for sale were $1 million at June 30, 2008. There were no net unrealized gains or losses on commercial mortgage loans held for sale and the related commitments at June 30 or December 31, 2007.</w:t>
      </w:r>
    </w:p>
    <w:p>
      <w:pPr>
        <w:spacing w:after="0" w:line="79"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Service charges on deposit accounts aggregated $110 million in the second quarter of 2008, compared with $105 million in the year-earlier quarter and $103 million in the first quarter of 2008. The increase from the immediately preceding quarter related to consumer deposit service charges and was due, in part, to lower seasonal volume levels typically experienced in the first quarter of each year. The increase from the year-earlier quarter reflects higher commercial service charges and consumer debit card interchange fees. Such increase also reflects the impact of the fourth quarter 2007 acquisition transactions. Trust income aggregated $40 million in each of the first and second quarters of 2008, and $38 million in last year’s second quarter. Brokerage services income, which includes revenues from the sale of mutual funds and annuities and securities brokerage fees, totaled $17 million in each of the second quarters of 2008 and 2007, compared with $15 million in the first quarter of 2008. Trading account and foreign exchange activity resulted in gains of $7 million during the second quarters of 2008 and 2007, and $5 million in the initial 2008 quarter.</w:t>
      </w:r>
    </w:p>
    <w:p>
      <w:pPr>
        <w:spacing w:after="0" w:line="7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M&amp;T’s pro-rata share of the operating income or loss of BLG in the recent quarter was a loss of $13 million, compared with a gain of $8 million in the second quarter of 2007 and a loss of $1 million in the first 2008 quarter. The decline in the operating results of BLG resulted from the disruptions in the commercial mortgage-backed securities market and reflected lower gains from loan securitization and sales activities, lower values ascribed to loans held for sale, and operating losses due to costs incurred in the recent quarter associated with severance and certain lease terminations. Despite the credit and liquidity disruptions that began in 2007, BLG had been successfully securitizing and selling significant volumes of small-balance commercial real estate loans up until the first quarter of 2008. In response to the deteriorating market conditions, BLG has reduced its originations activities, scaled back its workforce and begun using its contingent liquidity sources. The Company anticipates operating losses at BLG in the third quarter of 2008 due largely to reduced volume of and pricing for loan sales, as well as additional severance costs, but believes BLG has sufficient liquidity and an appropriately-sized business plan to preserve its franchise through this time of reduced liquidity in the securitization market. BLG is also evaluating alternatives for the placement of small-balance commercial real estate loan originations should the securitization market not improve. Significant fluctuations are expected as part of the normal business cycle of any mortgage origination and securitization business. The Company believes that the fundamental business model of BLG has not been significantly altered as a result of the market turmoil in the first two quarters of 2008 and that when sufficient liquidity returns to the marketplace, BLG should be capable of returning to a normalized business plan. Additionally,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for some portion of the $295 million book value of its investment in BLG. Information about the Company’s relationship with BLG and its affiliates is included in note 9 of Notes to Financial Statements.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Other revenues from operations totaled $77 million in the second quarter of 2008, compared with $73 million in the corresponding 2007 quarter and $76 million in the first quarter of 2008. Included in other revenues from operations were the following significant components. Letter of credit and other credit-related fees totaled $25 million and $22 million in the second quarter of 2008 and 2007, respectively, and $28 million in the first quarter of 2008. Tax-exempt income from bank owned life insurance, which includes increases in the cash surrender value of life insurance policies and benefits received, totaled $11 million in each of the second quarters of 2008 and 2007 and $12 million in the first quarter of 2008. Revenues from merchant discount and credit card fees were $10 million in each of the last two quarters, compared with $9 million in the quarter ended June 30, 2007. Insurance-related sales commissions and other revenues totaled $8 million in each of the second quarters of 2008 and 2007, and $9 million in 2008’s first quarter.</w:t>
      </w:r>
    </w:p>
    <w:p>
      <w:pPr>
        <w:spacing w:after="0" w:line="59"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Other income increased 12% to $584 million in the first half of 2008 from $520 million in the corresponding period in 2007. Increases in mortgage banking revenues, service charges on deposit accounts, gains on bank investment securities, and revenues from providing trust, loan syndication and brokerage services, were partially offset by losses from M&amp;T’s investment in BLG.</w:t>
      </w:r>
    </w:p>
    <w:p>
      <w:pPr>
        <w:spacing w:after="0" w:line="73"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Mortgage banking revenues were $78 million for the six-month period ended June 30, 2008, 58% above $49 million in the year-earlier period. Residential mortgage banking revenues increased to $60 million in the first half of 2008 from $35 million in the similar period of 2007. Residential mortgage loans originated for sale to other investors during the first six months of 2008 totaled $2.4 billion, compared with $2.9 billion in the corresponding 2007 period. Realized gains from sales of residential mortgage loans and loan servicing rights and recognized unrealized gains and losses on residential mortgage loans held for sale, commitments to originate loans for sale and commitments to sell loans totaled to a gain of $17 million during the six-month period ended June 30, 2008, compared with a loss of $5 million during the first six months of 2007. Reflected in the 2008 gains were approximately $7 million of revenues related to the January 1, 2008 adoption of SAB No. 109. Included in the 2007 loss was $18 million of losses related to Alt-A residential mortgage loans that were recognized during the first quarter of 2007. As previously discussed, in March 2007 the Company transferred $883 million of Alt-A loans originally held for sale to its held-for-investment loan portfolio. In accordance with GAAP, loans held for sale must be recorded at the lower of cost or market value. Accordingly, prior to reclassifying the Alt-A mortgage loans to the held-for-investment portfolio, the carrying value of such loans was reduced by</w:t>
      </w:r>
    </w:p>
    <w:p>
      <w:pPr>
        <w:spacing w:after="0" w:line="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$12 million. Those loans were reclassified because management believed at that time that the value of the Alt-A residential real estate loans was greater than the amount implied by the few bidders who were active in the market. Additionally, the Company may be contractually obligated to repurchase some previously sold residential real estate loans that do not ultimately meet investor sale criteria, including instances where mortgagors failed to make timely payments during the first 90 days subsequent to the sale date. Requests from investors for the Company to repurchase residential real estate loans increased significantly in early 2007, particularly related to Alt-A loans. As a result, during 2007’s first quarter the Company reduced mortgage banking revenues by $6 million related to declines in market values of previously sold residential real estate loans that the Company may be required to repurchase. Most of those loans have not been repurchased as of June 30, 2008.</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Revenues from servicing residential mortgage loans for others were $40 million and $35 million for the first half of 2008 and 2007, respectively. Included in such amounts were revenues related to purchased servicing rights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associated with the previously noted small balance commercial mortgage loans of $14 million and $9 million for the first six months of 2008 and 2007, respectively. Commercial mortgage banking revenues totaled $19 million during the first half of 2008, up from $14 million in the similar 2007 period due to higher revenues from loan origination and sales activities.</w:t>
      </w:r>
    </w:p>
    <w:p>
      <w:pPr>
        <w:spacing w:after="0" w:line="73"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Service charges on deposit accounts rose 7% to $214 million during the first half of 2008 from $199 million in the similar 2007 period, reflecting increases in both commercial and consumer service charges, the latter predominantly related to debit card usage. Trust income increased 8% to $81 million from</w:t>
      </w:r>
    </w:p>
    <w:p>
      <w:pPr>
        <w:ind w:right="20"/>
        <w:spacing w:after="0" w:line="281" w:lineRule="auto"/>
        <w:rPr>
          <w:sz w:val="20"/>
          <w:szCs w:val="20"/>
          <w:color w:val="auto"/>
        </w:rPr>
      </w:pPr>
      <w:r>
        <w:rPr>
          <w:rFonts w:ascii="Arial" w:cs="Arial" w:eastAsia="Arial" w:hAnsi="Arial"/>
          <w:sz w:val="16"/>
          <w:szCs w:val="16"/>
          <w:color w:val="auto"/>
        </w:rPr>
        <w:t>$75 million a year earlier, due largely to higher fee income from proprietary mutual funds. Brokerage services income increased 3% to $33 million during the first six months of 2008 from $32 million in the corresponding 2007 period. Trading account and foreign exchange activity resulted in gains of $11 million and $13 million for the six-month periods ended June 30, 2008 and 2007, respectively. M&amp;T’s February 2007 investment in BLG resulted in losses of $14 million for the six months ended June 30, 2008, compared with income of $6 million a year earlier. Investment securities gains totaled $28 million for the six-month period ended June 30, 2008, compared with gains of $1 million in the corresponding 2007 period. The increase was due to the recognition of the $33 million gain from the redemption of common shares of Visa during the first quarter of 2008, partially offset by the previously noted $6 million other-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than-temporary impairment charge in the recent quarter related to one private collateralized mortgage obligation. Other revenues from operations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$153 million in the first six months of 2008 and $144 million in the corresponding 2007 period. Included in other revenues from operations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 periods ended June 30, 2008 and 2007 were letter of credit and other credit-related fees of $54 million and $43 million, respectively, income from bank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life insurance of $23 million and $22 million, respectively, merchant discount and credit card fees of $19 million and $17 million, respectively,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insurance-related sales commissions and other revenues of $18 million and $16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Other expense totaled $420 million in the second quarter of 2008, 7% higher than $393 million in the corresponding quarter of 2007, but 1% lower than</w:t>
      </w:r>
    </w:p>
    <w:p>
      <w:pPr>
        <w:spacing w:after="0" w:line="3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$426 million in the first 2008 quarter. Included in the amounts noted above are expenses considered by management to be “nonoperating” in nature consisting of amortization of core deposit and other intangible assets of $17 million in the second quarter of 2008, $16 million in the second quarter of 2007 and</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$18 million in the first quarter of 2008, and merger-related expenses of $4 million in the three-month period ended March 31, 2008. There were no merger-related expenses in the second quarters of 2008 or 2007. Exclusive of these nonoperating expenses, noninterest operating expenses totaled $403 million in the recent quarter, compared with $376 million in the year-earlier quarter and $404 million in the first quarter of 2008.</w:t>
      </w:r>
    </w:p>
    <w:p>
      <w:pPr>
        <w:spacing w:after="0" w:line="65"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Other expense for the first two quarters of 2008 aggregated $845 million, up 7% from $792 million in the similar period of 2007. Included in those amounts are expenses considered to be “nonoperating” in nature consisting of amortization of core deposit and other intangible assets of $35 million in each of the first six months of 2008 and 2007, and merger-related expenses of $4 million in the first six months of 2008. Exclusive of these nonoperating expenses, noninterest operating expenses for the six-month period ended June 30, 2008 increased 7% to $807 million from $757 million in the corresponding 2007 period. Table 2 provides a reconciliation of other expense to noninterest operating expense.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Salaries and employee benefits expense totaled $236 million in the recent quarter, compared with $225 million in the second quarter of 2007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$252 million in the initial quarter of 2008. The higher expense level in the recent quarter as compared with the year-earlier quarter was largely the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salaries-related costs, reflecting the impact of the fourth quarter 2007 acquisition transactions, annual merit increases, and incentive compensation.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decline in salaries and benefits expense in the second quarter of 2008 as compared with the immediately preceding quarter was largely due to lower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payroll-related taxes and Company contributions for retirement savings plan benefits related to annual incentive compensation awards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made in 2008’s first quarter. For the first six months of 2008, salaries and employee benefits expense rose 6% to $488 million from $461 million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similar 2007 period. The largest factor leading to the increase was higher salaries-related costs, reflecting the impact of the fourth quarter 2007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annual merit increases and higher incentive compensation costs. The Company accounts for stock-based compensation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of Financial Accounting Standards (“SFAS”) No. 123 (revised 2004), “Share-Based Payment,” (“SFAS No. 123R”). As required,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accelerated the recognition of compensation costs for stock-based awards granted to retirement-eligible employees and employees who will become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retirement-eligible prior to full vesting of the award. As a result, stock-based compensation expense during each of the first quarters of 2008 and 2007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included $8 million that would have been recognized over the normal four-year vesting period if not for the accelerated expense recognition provisions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SFAS No. 123R. That acceleration had no effect on the value of stock-based compensation awarded to employees. Salaries and benefits expense included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of $10 million, $11 million and $18 million during the quarters ended June 30, 2008, June 30, 2007 and March 31, 2008,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 million and $30 million for the six-month periods ended June 30, 2008 and 2007, respectively. The number of full-time equivalent employees was 13,052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June 30, 2008, 12,701 at June 30, 2007, 13,246 at December 31, 2007 and 12,854 at March 31, 2008.</w:t>
      </w:r>
    </w:p>
    <w:p>
      <w:pPr>
        <w:spacing w:after="0" w:line="103" w:lineRule="exact"/>
        <w:rPr>
          <w:sz w:val="20"/>
          <w:szCs w:val="20"/>
          <w:color w:val="auto"/>
        </w:rPr>
      </w:pPr>
    </w:p>
    <w:p>
      <w:pPr>
        <w:ind w:firstLine="215"/>
        <w:spacing w:after="0" w:line="283" w:lineRule="auto"/>
        <w:rPr>
          <w:sz w:val="20"/>
          <w:szCs w:val="20"/>
          <w:color w:val="auto"/>
        </w:rPr>
      </w:pPr>
      <w:r>
        <w:rPr>
          <w:rFonts w:ascii="Arial" w:cs="Arial" w:eastAsia="Arial" w:hAnsi="Arial"/>
          <w:sz w:val="16"/>
          <w:szCs w:val="16"/>
          <w:color w:val="auto"/>
        </w:rPr>
        <w:t>As noted previously, during the first quarter of 2008, the Company reversed approximately $15 million of the $23 million accrued during the fourth quarter of 2007 for the Visa Covered Litigation. Excluding the nonoperating expense items described earlier from each quarter and the impact of the Covered Litigation-related accrual activity from the first quarter of 2008, nonpersonnel operating expenses were $167 million in the two most recent quarters, compared with $151 million in the second quarter of 2007. On the same basis, such expenses were $334 million and $295 million during the first six months of 2008 and 2007, respectively. The rise in nonpersonnel operating expenses in 2008’s second quarter as compared with the year-earlier quarter was due, in part, to higher costs for professional services, increased expenses related to the foreclosure process for residential real estate properties, and higher occupancy and advertising costs. As compared with the initial quarter of 2008, the recent quarter reflected higher costs for professional services, increased expenses related to the foreclosure process for residential real estate properties and higher advertising costs, offset predominantly by changes to the valuation allowance for the impairment of capitalized residential mortgage servicing rights. During the recent quarter, there was a $9 million reversal of a portion of such valuation allowance, while there was a $5 million addition to the valuation allowance in the first quarter of 2008. During the second quarter of 2007, a</w:t>
      </w:r>
    </w:p>
    <w:p>
      <w:pPr>
        <w:spacing w:after="0" w:line="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$5 million partial reversal of the valuation allowance was recorded. Contributing to the rise in nonpersonnel operating expenses in the first half of 2008 as compared with 2007 were higher costs for professional services, increased expenses related to the foreclosure process for residential real estate properties and higher advertising costs. For the six-month period ended June 30, partial reversals of the valuation allowance for the impairment of capitalized residential mortgage servicing rights totaled $5 million in 2008 and $6 million in 2007.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 revenues. The Company’s efficiency ratio was 52.4% during the recent quarter, compared with 50.2% during the year-earlier quarter and 52.8% in the first quarter of 2008. The efficiency ratios for the six-month periods ended June 30, 2008 and 2007 were 52.6% and 52.5%, respectively. Noninterest operating expenses used in calculating the efficiency ratio do not include the acquisition-related costs and amortization of core deposit and other intangible assets noted earlier, but do reflect the previously mentioned amounts associated with the Covered Litigation. If charges for amortization of core deposit and other intangible assets were included, the efficiency ratio for the three-month periods ended June 30, 2008, June 30, 2007 and March 31, 2008 would have been 54.6%, 52.4% and 55.3%, respectively, and for the six-month periods ended June 30, 2008 and 2007 would have been 54.9% and 55.0%,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provision for income taxes for the second quarter of 2008 was $78 million, compared with $108 million and $104 million in the second quarter of 2007 and first quarter of 2008, respectively. The effective tax rates were 32.7%, 33.6% and 33.9% for the quarters ended June 30, 2008, June 30, 2007 and March 31, 2008, respectively. For the first half of 2008 and 2007, the provision for income taxes totaled $181 million and $193 million, respectively, and the effective tax rates were 33.4% and 33.1%, respectively. The effective tax rate is affected by the level of income earned that is exempt from tax and by the level of income allocated to the various state and local jurisdictions where the Company operates, because tax rates differ among such jurisdictions.</w:t>
      </w:r>
    </w:p>
    <w:p>
      <w:pPr>
        <w:spacing w:after="0" w:line="50"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regulations within those jurisdictions, or interpretations of income tax regulations that differ from the Company’s interpretations by any of various tax authorities that may examine tax returns filed by M&amp;T or any of its subsidiaries. During the first quarter of 2008, the Company settled various federal and state examinations. The settlement of these examinations resulted in a decrease of $5.9 million of unrecognized tax benefits that did not affect the effective tax rate, but rather reduced the carrying value of goodwill associated with a past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Stockholders’ equity was $6.5 billion at June 30, 2008, representing 9.89% of total assets, compared with $6.2 billion or 10.67% of total assets a year earlier and $6.5 billion or 10.00% at December 31, 2007. On a per share basis, stockholders’ equity was $59.12 at June 30, 2008, compared with $57.59 and $58.99 at June 30 and December 31, 2007, respectively. Tangible equity per share, which excludes goodwill and core deposit and other intangible assets and applicable deferred tax balances, was $28.50 at the end of 2008’s second quarter, compared with $28.66 a year earlier and $27.98 at December 31, 2007. A reconciliation of total stockholders’ equity and tangible equity as of each of those respective dates is presented in table 2.</w:t>
      </w:r>
    </w:p>
    <w:p>
      <w:pPr>
        <w:spacing w:after="0" w:line="5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Stockholders’ equity reflects accumulated other comprehensive income or loss, which includes the net after-tax impact of unrealized gains or losses on investment securities classified as available for sale, gains or losses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associated with interest rate swap agreements designated as cash flow hedges, and adjustments to reflect the funded status of defined benefit pension and other postretirement plans. Net unrealized losses on available-for-sale investment securities, net of applicable tax effect, were $272 million, or $2.46 per common share, at June 30, 2008, compared with similar losses of $40 million, or $.37 per share, at June 30, 2007 and $59 million, or $.54 per share, at December 31, 2007. Such unrealized losses are generally due to changes in interest rates and/or a temporary lack of liquidity in the market, and represent the difference, net of applicable income tax effect, between the estimated fair value and amortized cost of investment securities classified as available for sale. Reflected in net unrealized losses at June 30, 2008 were pre-tax effect unrealized losses of $430 million on available-for-sale investment securities with an amortized cost of $6.2 billion and pre-tax effect unrealized gains of $27 million on securities with an amortized cost of $2.2 billion. The pre-tax effect unrealized losses reflect $302 million of losses on $3.6 billion of privately issued collateralized mortgage obligations ($104 million of such unrealized losses were on $893 million of securities using a Level 3 valuation, with the remainder classified as Level 2 valuations), $42 million of losses on $162 million of preferred stock issued by FNMA and the Federal Home Loan Mortgage Corporation (considered Level 2 valuations), and $40 million of losses on $216 million of trust preferred securities issued by financial institutions (considered Level 2 valuations).</w:t>
      </w:r>
    </w:p>
    <w:p>
      <w:pPr>
        <w:spacing w:after="0" w:line="65"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During the second quarter of 2008, an other-than-temporary impairment charge of $6 million (pre-tax) was recorded on one floating rate private collateralized mortgage obligation that was backed by option adjustable rate residential mortgages. As of June 30, 2008, based on a review of each of the other collateralized mortgage obligations noted above, the Company believed that it will receive all principal and interest payments on such securities. Accordingly, the Company concluded that the declines in the values of those securities were temporary and that any additional other-than-temporary impairment charges were not appropriate at June 30, 2008. Substantially all of the $42 million of unrealized losses on the variable-rate preferred stock issuances of government-sponsored entities occurred since late-2007. The Company concluded that as of June 30, 2008, the impairment was largely attributable to a temporary widening of rate of return spreads required by market participants that has resulted from the current interest rate environment and a lack of trading activity for such securities, reflecting the housing market downturn and its possible impact on those government-sponsored agencies. The United States Treasury Department and the Federal Reserve Board have publicly expressed Federal government support for FNMA and FHLMC and obtained approval for measures to provide liquidity and capital to the agencies, if necessary. These measures, coupled with changes in the level of interest rates and rate of return spreads, could significantly enhance the valuation of these investment securities. As such, the Company believed that as of June 30, 2008 it was not appropriate to conclude that the unrealized losses on those securities represented an other-than-temporary impairment. The Company intends to closely monitor legislative, regulatory and financial developments affecting these government-sponsored agencies and to evaluate the market’s reaction to those future developments to assess if the declines in value of these investment securities below the Company’s cost basis become other than temporary. The majority of the $40 million of unrealized losses on the trust preferred securities occurred in the last two quarters. Due to the short-term duration of the unrealized losses and the fact that the Company fully expects to receive all principal and interest payments on those securities, the Company concluded that the decline in the value was temporary and that an other-than-temporary impairment charge was not appropriate at June 30, 2008.</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As of June 30, 2008, the Company had the ability and intent to hold each of the impaired securities to recovery. The Company intends to closely monitor the performance of the privately issued mortgage-backed securities, the preferred stock of the government-sponsored agencies, and other securities to assess if changes in their underlying credit performance or other events cause the cost basis of those securities to become other than temporarily impaired. However, because the unrealized losses described have already been reflected in the financial statement values for investment securities and stockholders’ equity, any recognition of an other-than-temporary decline in value of these investment securities would have no effect on the Company’s consolidated financial condition. Additional information concerning fair value measurements and the Company’s approach to and classification of such measurements is included in note 10 of Notes to Financial Statements.</w:t>
      </w:r>
    </w:p>
    <w:p>
      <w:pPr>
        <w:spacing w:after="0" w:line="70"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Also reflected in accumulated other comprehensive income were net losses of $14 million, or $.13 per share, representing the remaining unamortized losses related to the termination of interest rate swap agreements that had been designated as cash flow hedges. Included in this amount were unamortized losses of $15 million related to swap agreements terminated by the Company during the first quarter of 2008 that had originally been entered into as a cash flow hedge of variable rate long-term borrowings. Net unrealized fair value losses associated with interest rate swap agreements designated as cash flow hedges were $10 million, or $.09 per share, at December 31, 2007. There were no outstanding interest rate swap agreements designated as cash flow hedges at June 30, 2007 or June 30, 2008. Adjustments to reflect the funded status of defined benefit pension and other postretirement plans as required under SFAS No. 158, net of applicable tax effect, reduced accumulated other comprehensive income by $47 million, or $.43 per share, at June 30, 2008, $29 million, or $.27 per share, at June 30, 2007, and $46 million, or $.42 per share, at December 31, 2007.</w:t>
      </w:r>
    </w:p>
    <w:p>
      <w:pPr>
        <w:spacing w:after="0" w:line="71"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February 2007, M&amp;T announced that it had been authorized by its Board of Directors to purchase up to 5,000,000 shares of its common stock. There were no repurchases during the first two quarters of 2008. Through June 30, 2008, M&amp;T had repurchased a total of 2,818,500 shares of common stock pursuant to that authorization at an average cost of $108.30 per share.</w:t>
      </w:r>
    </w:p>
    <w:p>
      <w:pPr>
        <w:spacing w:after="0" w:line="73" w:lineRule="exact"/>
        <w:rPr>
          <w:sz w:val="20"/>
          <w:szCs w:val="20"/>
          <w:color w:val="auto"/>
        </w:rPr>
      </w:pPr>
    </w:p>
    <w:p>
      <w:pPr>
        <w:ind w:right="220" w:firstLine="225"/>
        <w:spacing w:after="0" w:line="286" w:lineRule="auto"/>
        <w:rPr>
          <w:sz w:val="20"/>
          <w:szCs w:val="20"/>
          <w:color w:val="auto"/>
        </w:rPr>
      </w:pPr>
      <w:r>
        <w:rPr>
          <w:rFonts w:ascii="Arial" w:cs="Arial" w:eastAsia="Arial" w:hAnsi="Arial"/>
          <w:sz w:val="16"/>
          <w:szCs w:val="16"/>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As of June 30, 2008, core capital included $1.1 billion of trust preferred securities described in note 4 of Notes to Financial Statements and total capital further included $1.6 billion of subordinated capital notes. In December 2007, M&amp;T Bank issued $400 million of</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6.625% fixed rate subordinated notes due 2017 and in January 2008, M&amp;T Capital Trust IV issued $350 million of Enhanced Trust Preferred Securities that pay a fixed rate of interest of 8.50%. For further discussion of the Enhanced Trust Preferred Securities, see note 4 of Notes to Financial Statements.</w:t>
      </w:r>
    </w:p>
    <w:p>
      <w:pPr>
        <w:spacing w:after="0" w:line="31" w:lineRule="exact"/>
        <w:rPr>
          <w:sz w:val="20"/>
          <w:szCs w:val="20"/>
          <w:color w:val="auto"/>
        </w:rPr>
      </w:pPr>
    </w:p>
    <w:p>
      <w:pPr>
        <w:ind w:right="400" w:firstLine="222"/>
        <w:spacing w:after="0" w:line="259" w:lineRule="auto"/>
        <w:rPr>
          <w:sz w:val="20"/>
          <w:szCs w:val="20"/>
          <w:color w:val="auto"/>
        </w:rPr>
      </w:pPr>
      <w:r>
        <w:rPr>
          <w:rFonts w:ascii="Arial" w:cs="Arial" w:eastAsia="Arial" w:hAnsi="Arial"/>
          <w:sz w:val="18"/>
          <w:szCs w:val="18"/>
          <w:color w:val="auto"/>
        </w:rPr>
        <w:t>The Company generates significant amounts of regulatory capital from its ongoing operations. The rate of regulatory core capital generation, or net operating income (as previously defined) less the sum of dividends paid and the after-tax effect of merger-related expenses expressed as an annualized percentage of regulatory “core capital” at the beginning of each period was 8.63% during the second quarter of 2008, compared with 16.78% in the year-earlier quarter and 14.32% in the first quarter of 2008.</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June 30, 2008 are presented in the accompanying 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M&amp;T</w:t>
            </w:r>
          </w:p>
        </w:tc>
        <w:tc>
          <w:tcPr>
            <w:tcW w:w="5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M&amp;T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M&amp;T</w:t>
            </w:r>
          </w:p>
        </w:tc>
      </w:tr>
      <w:tr>
        <w:trPr>
          <w:trHeight w:val="167"/>
        </w:trPr>
        <w:tc>
          <w:tcPr>
            <w:tcW w:w="7120" w:type="dxa"/>
            <w:vAlign w:val="bottom"/>
          </w:tcPr>
          <w:p>
            <w:pPr>
              <w:spacing w:after="0"/>
              <w:rPr>
                <w:sz w:val="14"/>
                <w:szCs w:val="14"/>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(Consolidated)</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Bank</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Bank, N.A.</w:t>
            </w: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Core capital</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7.76%</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6.89%</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36.74%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Total capital</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11.85%</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11.01%</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37.42%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Leverage</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7.16%</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6.38%</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17.58%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accordance with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73"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Net income for the Business Banking segment totaled $30 million in the second quarter of 2008, down 15% from the $35 million earned in 2007’s second quarter, and 10% below the $33 million earned in the immediately preceding quarter. The unfavorable performance as compared with last year’s second quarter was largely due to a $5 million increase in the provision for credit losses, the result of higher net loan charge-offs, a $2 million decrease in net interest income and higher personnel costs of $2 million. The decline in net interest income was due to a 43 basis point narrowing of the net interest margin on deposit products, offset, in part, by the impact of a $162 million increase in average deposit balances. As compared with the first quarter of 2008, a $4 million decline in net interest income, largely due to the narrowing of the net interest margins on loans and deposits by 26 basis points and 25 basis points, respectively, and a $2 million increase in the provision for credit losses contributed to the decline in earnings. Net income for this segment totaled $62 million in the first six months of 2008, down from $66 million in the first half of 2007. The main factor contributing to the decline from the 2007 period was a $7 million increase in the provision for credit losses, the result of higher net charge-offs.</w:t>
      </w:r>
    </w:p>
    <w:p>
      <w:pPr>
        <w:spacing w:after="0" w:line="74"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Commercial Banking segment recorded net income of $54 million in the second quarter of 2008, unchanged from the year-earlier quarter, but down from $67 million in 2008’s first quarter. As compared with the corresponding 2007 quarter, a $10 million increase in the provision for credit losses, resulting from higher net charge-offs of loans, and higher personnel costs of $3 million were largely offset by a $5 million increase in net interest income, a $3 million increase in service charges on deposit accounts and higher fees received from providing loan syndication services. The rise in net interest income resulted from a $2.0 billion increase in average loan balances outstanding, partially offset by a 17 basis point narrowing of the net interest margin associated with such loans. The decline in net income in the recent quarter as compared with the first quarter of 2008 was due to a $13 million increase in the provision for credit losses, the result of higher net charge-offs, and lower net interest income of $11 million. The primary factor for the lower net interest income was a 38 basis point narrowing of the net interest margin on loans, offset, in part, by the impact of a $607 million increase in average loan balances outstanding. Net income for the Commercial Banking segment aggregated $120 million during the first six months of 2008, compared with $109 million in the corresponding 2007 period. Contributing to that improvement was higher net interest income of $21 million, predominantly the result of a $1.9 billion increase in average loan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balances outstanding; a $9 million increase in fees for providing loan syndication services; and higher service charges on deposit accounts of $5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those positive factors were a $10 million increase in the provision for credit losses and higher personnel costs of $6 million.</w:t>
      </w:r>
    </w:p>
    <w:p>
      <w:pPr>
        <w:spacing w:after="0" w:line="103" w:lineRule="exact"/>
        <w:rPr>
          <w:sz w:val="20"/>
          <w:szCs w:val="20"/>
          <w:color w:val="auto"/>
        </w:rPr>
      </w:pPr>
    </w:p>
    <w:p>
      <w:pPr>
        <w:ind w:right="220" w:firstLine="222"/>
        <w:spacing w:after="0" w:line="291" w:lineRule="auto"/>
        <w:rPr>
          <w:sz w:val="20"/>
          <w:szCs w:val="20"/>
          <w:color w:val="auto"/>
        </w:rPr>
      </w:pPr>
      <w:r>
        <w:rPr>
          <w:rFonts w:ascii="Arial" w:cs="Arial" w:eastAsia="Arial" w:hAnsi="Arial"/>
          <w:sz w:val="16"/>
          <w:szCs w:val="16"/>
          <w:color w:val="auto"/>
        </w:rPr>
        <w:t>The Commercial Real Estate segment’s net income totaled $43 million in each of the two most recent quarters, compared with $39 million in the second quarter of 2007. The favorable performance in the recent quarter as compared with the year-earlier quarter was the result of higher net interest income of</w:t>
      </w:r>
    </w:p>
    <w:p>
      <w:pPr>
        <w:spacing w:after="0" w:line="252" w:lineRule="auto"/>
        <w:rPr>
          <w:sz w:val="20"/>
          <w:szCs w:val="20"/>
          <w:color w:val="auto"/>
        </w:rPr>
      </w:pPr>
      <w:r>
        <w:rPr>
          <w:rFonts w:ascii="Arial" w:cs="Arial" w:eastAsia="Arial" w:hAnsi="Arial"/>
          <w:sz w:val="18"/>
          <w:szCs w:val="18"/>
          <w:color w:val="auto"/>
        </w:rPr>
        <w:t>$5 million, due to higher average loan balances outstanding of $2.0 billion, partially offset by a 28 basis point narrowing of the loan net interest margin, and a $2 million increase in commercial mortgage banking revenues. These favorable factors were offset, in part, by an increase of $2 million in personnel costs. As compared with the first quarter of 2008, higher personnel costs were offset by increases in commercial mortgage banking revenues and commercial real estate-related loan fees. For the six-month period ended June 30, 2008, the Commercial Real Estate segment’s net income totaled $85 million, compared with $73 million in the first six months of 2007. Factors contributing to the improved performance include higher net interest income of $18 million, a result of increases in average loan and deposit balances of $1.9 billion and $151 million, respectively, offset, in part, by a 13 basis point narrowing of the loan net interest margin, and an increase in commercial mortgage banking revenues of $4 million. Those factors were partially offset by a $4 million rise in personnel costs.</w:t>
      </w:r>
    </w:p>
    <w:p>
      <w:pPr>
        <w:spacing w:after="0" w:line="84" w:lineRule="exact"/>
        <w:rPr>
          <w:sz w:val="20"/>
          <w:szCs w:val="20"/>
          <w:color w:val="auto"/>
        </w:rPr>
      </w:pPr>
    </w:p>
    <w:p>
      <w:pPr>
        <w:jc w:val="both"/>
        <w:ind w:right="200" w:firstLine="222"/>
        <w:spacing w:after="0" w:line="288" w:lineRule="auto"/>
        <w:rPr>
          <w:sz w:val="20"/>
          <w:szCs w:val="20"/>
          <w:color w:val="auto"/>
        </w:rPr>
      </w:pPr>
      <w:r>
        <w:rPr>
          <w:rFonts w:ascii="Arial" w:cs="Arial" w:eastAsia="Arial" w:hAnsi="Arial"/>
          <w:sz w:val="16"/>
          <w:szCs w:val="16"/>
          <w:color w:val="auto"/>
        </w:rPr>
        <w:t>The Discretionary Portfolio segment contributed net income of $5 million in the second quarter of 2008, down from $21 million in the second quarter of 2007 and $16 million in the immediately preceding quarter. As compared with last year’s second quarter, the lower net income resulted from a $14 million increase in the provision for credit losses, the result of higher net charge-offs of Alt-A residential mortgage loans, higher foreclosure-related costs of</w:t>
      </w:r>
    </w:p>
    <w:p>
      <w:pPr>
        <w:ind w:right="40"/>
        <w:spacing w:after="0" w:line="268" w:lineRule="auto"/>
        <w:rPr>
          <w:sz w:val="20"/>
          <w:szCs w:val="20"/>
          <w:color w:val="auto"/>
        </w:rPr>
      </w:pPr>
      <w:r>
        <w:rPr>
          <w:rFonts w:ascii="Arial" w:cs="Arial" w:eastAsia="Arial" w:hAnsi="Arial"/>
          <w:sz w:val="17"/>
          <w:szCs w:val="17"/>
          <w:color w:val="auto"/>
        </w:rPr>
        <w:t>$4 million, and a $6 million other-than-temporary impairment charge recorded in the recent quarter related to one private collateralized mortgage obligation. The lower net income as compared with 2008’s first quarter reflects a $9 million decrease in net interest income, the result of an 11 basis point narrowing of this segment’s net interest margin, the recent quarter’s $6 million other-than-temporary impairment charge, and a $3 million increase in foreclosure-related expenses. This segment’s net income declined to $21 million in the first half of 2008 from $40 million in the similar 2007 period. The lower net income was mainly due to a $31 million increase in the provision for credit losses, the result of higher net charge-offs of Alt-A mortgage loans, a $7 million increase in other noninterest expense, primarily from foreclosure-related costs, and the previously mentioned other-than-temporary impairment charge of $6 million, partially offset by a $16 million rise in net interest income. The higher net interest income was primarily due to a 22 basis point widening of the net interest margin on investment securities and the favorable impact from higher average balances of investment securities and residential mortgage loans of $1.8 billion and $658 million, respectively.</w:t>
      </w:r>
    </w:p>
    <w:p>
      <w:pPr>
        <w:spacing w:after="0" w:line="74"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Residential Mortgage segment incurred a net loss of $10 million in the second quarter of 2008, compared with net income in the year-earlier quarter and in the first quarter of 2008 of $10 million and $5 million, respectively. As compared with the second quarter of 2007, the poorer results were primarily the result of a $39 million increase in the provision for credit losses, mainly due to higher net charge-offs of loans to builders and developers of residential real estate properties, offset, in part, by a higher partial reversal of the capitalized mortgage servicing rights valuation allowance of $4 million. The decrease in net income as compared with the first quarter of 2008 was primarily the result of a $36 million increase in the provision for credit losses, largely due to higher net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charge-offs of loans to builders and developers of residential real estate properties, and a $5 million decline in mortgage banking revenues, mainly resulting from required changes from accounting pronouncements that were effective January 1, 2008 that added $5 million to mortgage banking revenues in the initial 2008 quarter. Partially offsetting those unfavorable factors was the recognition of a partial reversal of the capitalized mortgage servicing rights valuation allowance in the second quarter of 2008 that totaled $9 million, compared with a $5 million addition to such allowance in the first 2008 quarter. For the first six months of 2008, this segment incurred a net loss of $5 million, compared with net income in the corresponding 2007 period of $8 million. That decline resulted from a $43 million increase in the provision for credit losses, mainly due to higher net charge-offs of loans to builders and developers of residential real estate properties, and a $7 million decrease in net interest income, partially offset by a $27 million increase in mortgage banking revenues that resulted largely from the $18 million loss recognized in 2007 related to Alt-A residential mortgage loans, and a $7 million current year increase from the adoption of accounting pronouncements that accelerated the recognition of certain mortgage banking revenues. The decrease in net interest income was predominantly the result of lower average loan balances outstanding of $470 million.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 for the Retail Banking segment totaled $63 million in the second quarter of 2008, down 26% from $85 million in the year-earlier quarter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 below $75 million earned in 2008’s first quarter. Factors contributing to the unfavorable performance as compared with 2007’s second quarter include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 million decline in net interest income, primarily due to a narrowing of the net interest margin on deposits, partially offset by a $1.4 billion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balances; higher personnel costs of $10 million, due in part to the impact of the late-2007 acquisitions; an increase in the provision for credit losses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and a $5 million increase in net occupancy expenses, reflecting higher operating costs related to the 2007 acquisition transactions. Contributing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unfavorable performance as compared with the first quarter of 2008 was a $15 million decrease in net interest income, largely due to the narrowing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interest margins for loans and deposits offset, in part, by the impact of a $518 million increase in average deposit balances, and a $3 million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credit losses, due to higher net charge-offs of loans. For the first six months of 2008, the Retail Banking segment’s net income declined 14%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$138 million from $161 million in the year-earlier period. Increases in personnel costs of $21 million, reflecting merit increases, higher benefits expense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late-2007 acquisitions; net occupancy expenses of $8 million, largely the result of the 2007 acquisitions; and $14 million in the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losses, due to higher net charge-offs of loans, were the main factors contributing to the unfavorable performance as compared with the first half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2007. Partially offsetting those factors were $6 million increases in each of net interest income and deposit service charges. The increase in net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income resulted from a $1.3 billion increase in average loan balances outstanding and higher deposit balances of $987 million, partially offset by a narrowing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segment’s net interest margin.</w:t>
      </w:r>
    </w:p>
    <w:p>
      <w:pPr>
        <w:spacing w:after="0" w:line="103"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“All Other” category reflects other activities of the Company that are not directly attributable to the reported segments as determined in accordance with SFAS No. 131, such as the M&amp;T Investment Group, which includes the Company’s trust, brokerage and insurance businesses. Also reflected in this category are the amortization of core deposit and other intangible assets resulting from the acquisitions of financial institutions, M&amp;T’s equity in the earnings of BLG, merger-related expenses resulting from acquisitions and the net impact of the Company’s allocation methodologies for internal funds transfer pricing and the provision for credit losses. The various components of the “All Other” category resulted in net losses of $23</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million in the second quarter of 2008, $30 million in the year-earlier quarter, and $37 million in the first quarter of 2008. The lower net loss in the recent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 as compared with the second quarter of 2007 resulted from the favorable impact from the Company’s allocation methodologies for internal transfers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funding charges and credits associated with earning assets and interest-bearing liabilities of the Company’s reportable segments and the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losses, offset, in part, by a recent quarter $10 million after-tax effect reduction of net income resulting from M&amp;T’s investment in BLG, inclusive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to fund that investment, while the results for the second quarter of 2007 included a $2 million addition to net income from that investment.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lower net loss in 2008’s second quarter as compared with its first quarter also reflects the impact from the Company’s allocation methodologies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internal transfers for funding charges and credits associated with earning assets and interest-bearing liabilities of the Company’s reportable segments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credit losses, plus a $19 million decrease in personnel-related costs, largely due to lower stock-based compensation expense, payroll-related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taxes and other employee benefits related to incentive compensation payments made in 2008’s first quarter. Partially offsetting those factors were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previously mentioned $33 million gain realized in the first quarter of 2008 from the mandatory partial redemption of Visa stock owned by M&amp;T Bank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related to the reversal in that quarter of the Visa litigation-related accruals initially made in the fourth quarter of 2007, and a $7 million reduction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net income resulting from M&amp;T’s investment in BLG (inclusive of interest expense to fund that investment). For the first six months of 2008, the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Other” category reported a net loss of $60 million, compared with a $66 million net loss in the first half of 2007. The lower net loss experienced in 2008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reflects the $33 million gain from the sale of Visa stock and the $15 million partial reversal of Visa litigation-related accruals. Partially offsetting those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favorable factors were the Company’s allocation methodologies for internal transfers for funding charges and credits associated with earning assets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interest-bearing liabilities of the Company’s reportable segments and the provision for credit losses, a $13 million reduction of net income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M&amp;T’s investment in BLG (inclusive of interest expense to fund that investment), and an $8 million increase in professional service costs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and support units included in the “All Other” category.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Effective January 1, 2008, the Company adopted SFAS No. 157, “Fair Value Measurements,” for fair value measurements of certain of its financial instruments. The provisions of SFAS No. 157 that pertain to measurement of non-financial assets and liabilities have been deferred by the FASB until 2009.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The adoption of SFAS No. 157 did not have a material effect on the Company’s financial position or results of operations. At June 30, 2008, approximately $1.0 billion or 11% of the Company’s $9.1 billion of assets and liabilities measured using fair value measurements on a recurring basis were classified as Level 3 valuations. The Level 3 classified assets and liabilities are primarily comprised of approximately $1.0 billion of available-for-sale investment securities. Such securities are mainly comprised of privately issued collateralized mortgage obligations that have been classified as a Level 3 valuation because of limited trading activities or less observable valuation inputs. Fair valuation losses on Level 3 available-for-sale investment securities of $28 million and $89 million were</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recognized during the second quarter of 2008 and the six-month period ended June 30, 2008, respectively, as a reduction of other comprehensive income, with no gains or losses recognized through earnings. As previously disclosed, as of June 30, 2008 the Company believed, with the exception of the $6 million other-than-temporary impairment charge on the floating rate private collateralized mortgage obligation already noted, which was classified as a Level 2 investment security, that all principal and interest payments on its portfolio of collateralized mortgage obligations will be received and therefore, the Company believed that the aforementioned unrealized losses will not ultimately be realized. Nevertheless, as previously noted, the Company closely monitors the repayment performance of investment securities and underlying collateral on a regular basis and as a result of such monitoring it is possible that additional investment securities could be identified as other-than-temporarily impaired in future periods. Approximately $85 million of available for sale investment securities were transferred out of a Level 3 classification and into a Level 2 classification during the second quarter of 2008 due to increased transparency in the inputs used to determine fair value. Additionally, at June 30, 2008 commitments to originate mortgage loans for sale with a net fair value of $4 million have been classified as a Level 3 valuation. Approximately $2 million of fair value changes on commitments to originate mortgage loans for sale were recognized in mortgage banking revenues during the second quarter of 2008. Upon loan origination, the fair value of the derivative loan commitments becomes part of the basis of the closed loans held for sale. Approximately $6 million of fair value was transferred from Level 3 to Level 2 classification to reflect the closing of commitments into originated loans held for sale during the second quarter of 2008. Additional information concerning fair value measurements and the Company’s approach to and classification of such measurements is included in note 10 of Notes to Financial Statements.</w:t>
      </w:r>
    </w:p>
    <w:p>
      <w:pPr>
        <w:spacing w:after="0" w:line="64"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December 2007, the Financial Accounting Standards Board (“FASB”) issued a revised SFAS No. 141, “Business Combinations” (“SFAS No. 141R”). SFAS No. 141R retains the fundamental requirements of SFAS No. 141 that the acquisition method of accounting be used for all business combinations and for an acquirer to be identified for each business combination. SFAS No. 141R defines the acquirer as the entity that obtains control of one or more businesses in the business combination and establishes the acquisition date as the date the acquirer achieves control. SFAS No. 141R retains the guidance in SFAS</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 141 for identifying and recognizing intangible assets separately from goodwill. With limited exceptions, the statement requires an acquirer to recognize the assets acquired, the liabilities assumed and any noncontrolling interest in the acquiree at the acquisition date, measured at their fair value as of that date. That replaces SFAS No. 141’s cost-allocation process, which required the cost of an acquisition to be allocated to the individual assets acquired and liabilities assumed based on their estimated fair values. As a result, certain acquisition-related costs previously included in the cost of an acquisition will be required to be expensed as incurred. In addition, certain restructuring costs previously recognized as if they were an assumed liability from an acquisition, will be required to be expensed. SFAS No. 141R also requires the acquirer in a business combination achieved in stages (sometimes referred to as a step acquisition) to recognize the identifiable assets and liabilities, as well as the noncontrolling interest in the acquiree, at the full amounts of their fair values. SFAS No. 141R also requires an acquirer to recognize assets acquired and liabilities assumed arising from contractual contingencies as of the acquisition date, measured at their acquisition-date fair values. An acquirer is required to recognize assets or liabilities arising from all other contingencies (noncontractual contingencies) as of the acquisition date, measured at their acquisition-date fair values, only if it is more likely than not that they meet the definition of an asset or a liability in FASB Concepts Statement No. 6, “Elements of Financial Statements.” The statement requires the acquirer to recognize goodwill as of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SFAS No. 141R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SFAS No. 141R should be applied prospectively to business combinations for which the acquisition date is on or after the beginning of the first annual reporting period beginning on or after December 15, 2008. Earlier adoption is prohibited. The Company is still evaluating the provisions of SFAS No. 141R, but believes that its adoption will significantly impact its accounting for any acquisitions it may consummate in 2009 and beyond.</w:t>
      </w:r>
    </w:p>
    <w:p>
      <w:pPr>
        <w:spacing w:after="0" w:line="71" w:lineRule="exact"/>
        <w:rPr>
          <w:sz w:val="20"/>
          <w:szCs w:val="20"/>
          <w:color w:val="auto"/>
        </w:rPr>
      </w:pPr>
    </w:p>
    <w:p>
      <w:pPr>
        <w:ind w:right="40" w:firstLine="215"/>
        <w:spacing w:after="0" w:line="253" w:lineRule="auto"/>
        <w:rPr>
          <w:sz w:val="20"/>
          <w:szCs w:val="20"/>
          <w:color w:val="auto"/>
        </w:rPr>
      </w:pPr>
      <w:r>
        <w:rPr>
          <w:rFonts w:ascii="Arial" w:cs="Arial" w:eastAsia="Arial" w:hAnsi="Arial"/>
          <w:sz w:val="18"/>
          <w:szCs w:val="18"/>
          <w:color w:val="auto"/>
        </w:rPr>
        <w:t>Also in December 2007, the FASB issued SFAS No. 160, “Noncontrolling Interests in Consolidated Financial Statements — an amendment of ARB No. 51.” A noncontrolling interest, sometimes called a minority interest, is a portion of equity in a subsidiary not attributable, directly or indirectly, to a parent. SFAS No. 160 requires that the ownership interest in subsidiaries held by parties other than the parent be clearly identified, labeled and presented in the consolidated statement of financial position within equity, but separate from the parent’s equity. The amount of consolidated net income attributable to the parent and to the noncontrolling interest is required to be clearly identified and presented on the face of the consolidated statement of income. SFAS No. 160 also requires entities to provide disclosures that clearly identify and distinguish between the interests of the parent and the interests of the noncontrolling owners. SFAS No. 160 should be applied prospectively as of the beginning of a fiscal year beginning on or after December 15, 2008. Earlier adoption is prohibited. The Company does not anticipate that the adoption of SFAS No. 160 will have a significant impact on the reporting of its financial position or results of its operations.</w:t>
      </w:r>
    </w:p>
    <w:p>
      <w:pPr>
        <w:spacing w:after="0" w:line="8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February 2008, the FASB issued FASB Staff Position FAS 140-3, “Accounting for Transfers and Servicing of Financial Assets and Extinguishment of Liabilities” (“FSP FAS 140-3”). FSP FAS 140-3 was issued to provide guidance on accounting for a transfer of a financial asset and repurchase financing. FSP FAS 140-3 presumes that an initial transfer of a financial asset and a repurchase financing are considered part of the same arrangement (“linked transaction”) under SFAS No. 140, “Accounting for Transfers and Servicing of Financial Assets and Extinguishments of Liabilities.” However, if certain criteria are met, the initial transfer and repurchase financing should not be evaluated as a linked transaction and should be evaluated separately under SFAS No. 140. FSP FAS 140-3 is effective for financial statements issued for fiscal years beginning after November 15, 2008 and interim periods within those fiscal years. Earlier application is not permitted. FSP FAS 140-3 should be applied prospectively to initial transfers and repurchase financings for which the initial transfer is executed on or after the beginning of the fiscal year for which FSP FAS 140-3 is effective. The Company is still evaluating the provisions of FSP FAS 140-3, but does not believe its adoption will have a material impact on its financial position or results of operations.</w:t>
      </w:r>
    </w:p>
    <w:p>
      <w:pPr>
        <w:spacing w:after="0" w:line="59"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FASB issued SFAS No. 161, “Disclosures about Derivative Instruments and Hedging Activities,” in March 2008. SFAS No. 161 requires enhanced disclosures about an entity’s derivative and hedging activities including (a) how and why an entity uses derivative instruments, (b) how derivative instruments and related hedging items are accounted for under SFAS No. 133, “Accounting for Derivative Instruments and Hedging Activities,” and its related interpretations, and (c) how derivative instruments and related hedged items affect an entity’s financial position, financial performance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cash flows. SFAS No. 161 is effective for financial statements issued for fiscal years and interim periods beginning after November 15, 2008, with earlier application encouraged. The Company is currently evaluating SFAS No. 161 and intends to comply with its disclosure requirements as required.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credit losses and market values on loans, other assets and collateral securing loans;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Financial Accounting Standards Board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80"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89"/>
              </w:rPr>
              <w:t>Table 1</w:t>
            </w: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 Quarters</w:t>
            </w: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 Quarters</w:t>
            </w: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51"/>
              <w:spacing w:after="0" w:line="142" w:lineRule="exact"/>
              <w:rPr>
                <w:sz w:val="20"/>
                <w:szCs w:val="20"/>
                <w:color w:val="auto"/>
              </w:rPr>
            </w:pPr>
            <w:r>
              <w:rPr>
                <w:rFonts w:ascii="Arial" w:cs="Arial" w:eastAsia="Arial" w:hAnsi="Arial"/>
                <w:sz w:val="14"/>
                <w:szCs w:val="14"/>
                <w:color w:val="auto"/>
              </w:rPr>
              <w:t>Second</w:t>
            </w:r>
          </w:p>
        </w:tc>
        <w:tc>
          <w:tcPr>
            <w:tcW w:w="1120" w:type="dxa"/>
            <w:vAlign w:val="bottom"/>
            <w:tcBorders>
              <w:bottom w:val="single" w:sz="8" w:color="auto"/>
            </w:tcBorders>
          </w:tcPr>
          <w:p>
            <w:pPr>
              <w:jc w:val="right"/>
              <w:ind w:right="590"/>
              <w:spacing w:after="0" w:line="142" w:lineRule="exact"/>
              <w:rPr>
                <w:sz w:val="20"/>
                <w:szCs w:val="20"/>
                <w:color w:val="auto"/>
              </w:rPr>
            </w:pPr>
            <w:r>
              <w:rPr>
                <w:rFonts w:ascii="Arial" w:cs="Arial" w:eastAsia="Arial" w:hAnsi="Arial"/>
                <w:sz w:val="14"/>
                <w:szCs w:val="14"/>
                <w:color w:val="auto"/>
              </w:rPr>
              <w:t>First</w:t>
            </w:r>
          </w:p>
        </w:tc>
        <w:tc>
          <w:tcPr>
            <w:tcW w:w="1460" w:type="dxa"/>
            <w:vAlign w:val="bottom"/>
            <w:tcBorders>
              <w:bottom w:val="single" w:sz="8" w:color="auto"/>
            </w:tcBorders>
          </w:tcPr>
          <w:p>
            <w:pPr>
              <w:jc w:val="right"/>
              <w:ind w:right="510"/>
              <w:spacing w:after="0" w:line="142" w:lineRule="exact"/>
              <w:rPr>
                <w:sz w:val="20"/>
                <w:szCs w:val="20"/>
                <w:color w:val="auto"/>
              </w:rPr>
            </w:pPr>
            <w:r>
              <w:rPr>
                <w:rFonts w:ascii="Arial" w:cs="Arial" w:eastAsia="Arial" w:hAnsi="Arial"/>
                <w:sz w:val="14"/>
                <w:szCs w:val="14"/>
                <w:color w:val="auto"/>
              </w:rPr>
              <w:t>Fourth</w:t>
            </w:r>
          </w:p>
        </w:tc>
        <w:tc>
          <w:tcPr>
            <w:tcW w:w="1860" w:type="dxa"/>
            <w:vAlign w:val="bottom"/>
            <w:tcBorders>
              <w:bottom w:val="single" w:sz="8" w:color="auto"/>
            </w:tcBorders>
          </w:tcPr>
          <w:p>
            <w:pPr>
              <w:jc w:val="right"/>
              <w:ind w:right="931"/>
              <w:spacing w:after="0" w:line="142" w:lineRule="exact"/>
              <w:rPr>
                <w:sz w:val="20"/>
                <w:szCs w:val="20"/>
                <w:color w:val="auto"/>
              </w:rPr>
            </w:pPr>
            <w:r>
              <w:rPr>
                <w:rFonts w:ascii="Arial" w:cs="Arial" w:eastAsia="Arial" w:hAnsi="Arial"/>
                <w:sz w:val="14"/>
                <w:szCs w:val="14"/>
                <w:color w:val="auto"/>
              </w:rPr>
              <w:t>Third</w:t>
            </w:r>
          </w:p>
        </w:tc>
        <w:tc>
          <w:tcPr>
            <w:tcW w:w="112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i w:val="1"/>
                <w:iCs w:val="1"/>
                <w:color w:val="auto"/>
                <w:w w:val="99"/>
              </w:rPr>
              <w:t>Amounts in thousands, except per</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i w:val="1"/>
                <w:iCs w:val="1"/>
                <w:color w:val="auto"/>
              </w:rPr>
              <w:t>share</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(taxable-</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 basis)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86"/>
              </w:rPr>
              <w:t>823,425</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889,945</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918,200</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898,126</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883,148</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866,172</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86"/>
              </w:rPr>
              <w:t>330,942</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405,312</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442,364</w:t>
            </w:r>
          </w:p>
        </w:tc>
        <w:tc>
          <w:tcPr>
            <w:tcW w:w="186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425,326</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416,264</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410,622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86"/>
              </w:rPr>
              <w:t>492,483</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484,633</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475,836</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472,800</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466,884</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455,550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380" w:type="dxa"/>
            <w:vAlign w:val="bottom"/>
          </w:tcPr>
          <w:p>
            <w:pPr>
              <w:spacing w:after="0"/>
              <w:rPr>
                <w:sz w:val="18"/>
                <w:szCs w:val="18"/>
                <w:color w:val="auto"/>
              </w:rPr>
            </w:pPr>
          </w:p>
        </w:tc>
        <w:tc>
          <w:tcPr>
            <w:tcW w:w="1460" w:type="dxa"/>
            <w:vAlign w:val="bottom"/>
          </w:tcPr>
          <w:p>
            <w:pPr>
              <w:jc w:val="right"/>
              <w:ind w:right="791"/>
              <w:spacing w:after="0"/>
              <w:rPr>
                <w:sz w:val="20"/>
                <w:szCs w:val="20"/>
                <w:color w:val="auto"/>
              </w:rPr>
            </w:pPr>
            <w:r>
              <w:rPr>
                <w:rFonts w:ascii="Arial" w:cs="Arial" w:eastAsia="Arial" w:hAnsi="Arial"/>
                <w:sz w:val="18"/>
                <w:szCs w:val="18"/>
                <w:color w:val="auto"/>
                <w:w w:val="86"/>
              </w:rPr>
              <w:t>100,000</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60,000</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101,000</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34,000</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30,000</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27,000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86"/>
              </w:rPr>
              <w:t>271,182</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312,663</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160,490</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252,899</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283,117</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236,483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86"/>
              </w:rPr>
              <w:t>419,710</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425,704</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445,473</w:t>
            </w:r>
          </w:p>
        </w:tc>
        <w:tc>
          <w:tcPr>
            <w:tcW w:w="186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390,528</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392,651</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399,037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86"/>
              </w:rPr>
              <w:t>243,955</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311,592</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89,853</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301,171</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9"/>
              </w:rPr>
              <w:t>327,350</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265,996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380" w:type="dxa"/>
            <w:vAlign w:val="bottom"/>
          </w:tcPr>
          <w:p>
            <w:pPr>
              <w:spacing w:after="0"/>
              <w:rPr>
                <w:sz w:val="18"/>
                <w:szCs w:val="18"/>
                <w:color w:val="auto"/>
              </w:rPr>
            </w:pP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77,839</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103,613</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19,297</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96,872</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108,209</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84,900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5,851</w:t>
            </w:r>
          </w:p>
        </w:tc>
        <w:tc>
          <w:tcPr>
            <w:tcW w:w="11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5,783</w:t>
            </w: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5,626</w:t>
            </w:r>
          </w:p>
        </w:tc>
        <w:tc>
          <w:tcPr>
            <w:tcW w:w="18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rPr>
              <w:t>5,112</w:t>
            </w:r>
          </w:p>
        </w:tc>
        <w:tc>
          <w:tcPr>
            <w:tcW w:w="11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4,972</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5,123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86"/>
              </w:rPr>
              <w:t>160,265</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202,196</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64,930</w:t>
            </w:r>
          </w:p>
        </w:tc>
        <w:tc>
          <w:tcPr>
            <w:tcW w:w="186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199,187</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214,169</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175,973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Per common share data</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1.45</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1.84</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.60</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1.86</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1.98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1.44</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1.82</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1.83</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1.95</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.70</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.70</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.60</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common shares</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460" w:type="dxa"/>
            <w:vAlign w:val="bottom"/>
          </w:tcPr>
          <w:p>
            <w:pPr>
              <w:jc w:val="right"/>
              <w:ind w:right="791"/>
              <w:spacing w:after="0"/>
              <w:rPr>
                <w:sz w:val="20"/>
                <w:szCs w:val="20"/>
                <w:color w:val="auto"/>
              </w:rPr>
            </w:pPr>
            <w:r>
              <w:rPr>
                <w:rFonts w:ascii="Arial" w:cs="Arial" w:eastAsia="Arial" w:hAnsi="Arial"/>
                <w:sz w:val="18"/>
                <w:szCs w:val="18"/>
                <w:color w:val="auto"/>
                <w:w w:val="86"/>
              </w:rPr>
              <w:t>110,191</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110,017</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107,859</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107,056</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107,939</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109,694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w w:val="86"/>
              </w:rPr>
              <w:t>111,227</w:t>
            </w:r>
          </w:p>
        </w:tc>
        <w:tc>
          <w:tcPr>
            <w:tcW w:w="11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9"/>
              </w:rPr>
              <w:t>110,967</w:t>
            </w: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109,034</w:t>
            </w:r>
          </w:p>
        </w:tc>
        <w:tc>
          <w:tcPr>
            <w:tcW w:w="186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rPr>
              <w:t>108,957</w:t>
            </w:r>
          </w:p>
        </w:tc>
        <w:tc>
          <w:tcPr>
            <w:tcW w:w="11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9"/>
              </w:rPr>
              <w:t>109,919</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112,187</w:t>
            </w:r>
          </w:p>
        </w:tc>
        <w:tc>
          <w:tcPr>
            <w:tcW w:w="20" w:type="dxa"/>
            <w:vAlign w:val="bottom"/>
          </w:tcPr>
          <w:p>
            <w:pPr>
              <w:spacing w:after="0"/>
              <w:rPr>
                <w:sz w:val="18"/>
                <w:szCs w:val="18"/>
                <w:color w:val="auto"/>
              </w:rPr>
            </w:pPr>
          </w:p>
        </w:tc>
      </w:tr>
      <w:tr>
        <w:trPr>
          <w:trHeight w:val="20"/>
        </w:trPr>
        <w:tc>
          <w:tcPr>
            <w:tcW w:w="2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Performance ratios, annualized</w:t>
            </w: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Return on</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Average assets</w:t>
            </w:r>
          </w:p>
        </w:tc>
        <w:tc>
          <w:tcPr>
            <w:tcW w:w="380" w:type="dxa"/>
            <w:vAlign w:val="bottom"/>
          </w:tcPr>
          <w:p>
            <w:pPr>
              <w:spacing w:after="0"/>
              <w:rPr>
                <w:sz w:val="18"/>
                <w:szCs w:val="18"/>
                <w:color w:val="auto"/>
              </w:rPr>
            </w:pPr>
          </w:p>
        </w:tc>
        <w:tc>
          <w:tcPr>
            <w:tcW w:w="1460" w:type="dxa"/>
            <w:vAlign w:val="bottom"/>
          </w:tcPr>
          <w:p>
            <w:pPr>
              <w:jc w:val="right"/>
              <w:ind w:right="631"/>
              <w:spacing w:after="0"/>
              <w:rPr>
                <w:sz w:val="20"/>
                <w:szCs w:val="20"/>
                <w:color w:val="auto"/>
              </w:rPr>
            </w:pPr>
            <w:r>
              <w:rPr>
                <w:rFonts w:ascii="Arial" w:cs="Arial" w:eastAsia="Arial" w:hAnsi="Arial"/>
                <w:sz w:val="18"/>
                <w:szCs w:val="18"/>
                <w:color w:val="auto"/>
              </w:rPr>
              <w:t>.98%</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1.25%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1860" w:type="dxa"/>
            <w:vAlign w:val="bottom"/>
          </w:tcPr>
          <w:p>
            <w:pPr>
              <w:jc w:val="right"/>
              <w:ind w:right="671"/>
              <w:spacing w:after="0"/>
              <w:rPr>
                <w:sz w:val="20"/>
                <w:szCs w:val="20"/>
                <w:color w:val="auto"/>
              </w:rPr>
            </w:pPr>
            <w:r>
              <w:rPr>
                <w:rFonts w:ascii="Arial" w:cs="Arial" w:eastAsia="Arial" w:hAnsi="Arial"/>
                <w:sz w:val="18"/>
                <w:szCs w:val="18"/>
                <w:color w:val="auto"/>
              </w:rPr>
              <w:t>1.37%</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1.49%</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Average common stockholders’</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9.96%</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12.49%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4.05%</w:t>
            </w:r>
          </w:p>
        </w:tc>
        <w:tc>
          <w:tcPr>
            <w:tcW w:w="1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12.78%</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13.92%</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Net interest margin on average</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earning assets (taxable-</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equivalent basis)</w:t>
            </w:r>
          </w:p>
        </w:tc>
        <w:tc>
          <w:tcPr>
            <w:tcW w:w="380" w:type="dxa"/>
            <w:vAlign w:val="bottom"/>
          </w:tcPr>
          <w:p>
            <w:pPr>
              <w:spacing w:after="0"/>
              <w:rPr>
                <w:sz w:val="20"/>
                <w:szCs w:val="20"/>
                <w:color w:val="auto"/>
              </w:rPr>
            </w:pPr>
          </w:p>
        </w:tc>
        <w:tc>
          <w:tcPr>
            <w:tcW w:w="1460" w:type="dxa"/>
            <w:vAlign w:val="bottom"/>
          </w:tcPr>
          <w:p>
            <w:pPr>
              <w:jc w:val="right"/>
              <w:ind w:right="631"/>
              <w:spacing w:after="0"/>
              <w:rPr>
                <w:sz w:val="20"/>
                <w:szCs w:val="20"/>
                <w:color w:val="auto"/>
              </w:rPr>
            </w:pPr>
            <w:r>
              <w:rPr>
                <w:rFonts w:ascii="Arial" w:cs="Arial" w:eastAsia="Arial" w:hAnsi="Arial"/>
                <w:sz w:val="18"/>
                <w:szCs w:val="18"/>
                <w:color w:val="auto"/>
              </w:rPr>
              <w:t>3.39%</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3.38%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3.45%</w:t>
            </w:r>
          </w:p>
        </w:tc>
        <w:tc>
          <w:tcPr>
            <w:tcW w:w="1860" w:type="dxa"/>
            <w:vAlign w:val="bottom"/>
          </w:tcPr>
          <w:p>
            <w:pPr>
              <w:jc w:val="right"/>
              <w:ind w:right="671"/>
              <w:spacing w:after="0"/>
              <w:rPr>
                <w:sz w:val="20"/>
                <w:szCs w:val="20"/>
                <w:color w:val="auto"/>
              </w:rPr>
            </w:pPr>
            <w:r>
              <w:rPr>
                <w:rFonts w:ascii="Arial" w:cs="Arial" w:eastAsia="Arial" w:hAnsi="Arial"/>
                <w:sz w:val="18"/>
                <w:szCs w:val="18"/>
                <w:color w:val="auto"/>
              </w:rPr>
              <w:t>3.65%</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3.67%</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to total</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net of</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discount</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1.20%</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.93%</w:t>
            </w:r>
          </w:p>
        </w:tc>
        <w:tc>
          <w:tcPr>
            <w:tcW w:w="1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.83%</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color w:val="auto"/>
              </w:rPr>
              <w:t>54.57%</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55.27%</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56.39%</w:t>
            </w:r>
          </w:p>
        </w:tc>
        <w:tc>
          <w:tcPr>
            <w:tcW w:w="186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53.80%</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52.37%</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7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operating (tangible) results</w:t>
            </w:r>
          </w:p>
        </w:tc>
        <w:tc>
          <w:tcPr>
            <w:tcW w:w="3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Net operating income (in</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thousands)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91"/>
              <w:spacing w:after="0"/>
              <w:rPr>
                <w:sz w:val="20"/>
                <w:szCs w:val="20"/>
                <w:color w:val="auto"/>
              </w:rPr>
            </w:pPr>
            <w:r>
              <w:rPr>
                <w:rFonts w:ascii="Arial" w:cs="Arial" w:eastAsia="Arial" w:hAnsi="Arial"/>
                <w:sz w:val="18"/>
                <w:szCs w:val="18"/>
                <w:color w:val="auto"/>
                <w:w w:val="86"/>
              </w:rPr>
              <w:t>170,361</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215,597</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83,719</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208,749</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224,190</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187,162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operating income per</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1.53</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1.94</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.77</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1.92</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2.04</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Annualized return on</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rPr>
              <w:t>1.10%</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w:t>
            </w:r>
          </w:p>
        </w:tc>
        <w:tc>
          <w:tcPr>
            <w:tcW w:w="186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rPr>
              <w:t>1.51%</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1.65%</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00"/>
              <w:spacing w:after="0" w:line="201" w:lineRule="exact"/>
              <w:rPr>
                <w:sz w:val="20"/>
                <w:szCs w:val="20"/>
                <w:color w:val="auto"/>
              </w:rPr>
            </w:pPr>
            <w:r>
              <w:rPr>
                <w:rFonts w:ascii="Arial" w:cs="Arial" w:eastAsia="Arial" w:hAnsi="Arial"/>
                <w:sz w:val="18"/>
                <w:szCs w:val="18"/>
                <w:color w:val="auto"/>
              </w:rPr>
              <w:t>Average tangible common</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0"/>
                <w:szCs w:val="20"/>
                <w:color w:val="auto"/>
              </w:rPr>
            </w:pPr>
          </w:p>
        </w:tc>
        <w:tc>
          <w:tcPr>
            <w:tcW w:w="1460" w:type="dxa"/>
            <w:vAlign w:val="bottom"/>
          </w:tcPr>
          <w:p>
            <w:pPr>
              <w:jc w:val="right"/>
              <w:ind w:right="631"/>
              <w:spacing w:after="0"/>
              <w:rPr>
                <w:sz w:val="20"/>
                <w:szCs w:val="20"/>
                <w:color w:val="auto"/>
              </w:rPr>
            </w:pPr>
            <w:r>
              <w:rPr>
                <w:rFonts w:ascii="Arial" w:cs="Arial" w:eastAsia="Arial" w:hAnsi="Arial"/>
                <w:sz w:val="18"/>
                <w:szCs w:val="18"/>
                <w:color w:val="auto"/>
              </w:rPr>
              <w:t>22.20%</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27.86%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10.49%</w:t>
            </w:r>
          </w:p>
        </w:tc>
        <w:tc>
          <w:tcPr>
            <w:tcW w:w="1860" w:type="dxa"/>
            <w:vAlign w:val="bottom"/>
          </w:tcPr>
          <w:p>
            <w:pPr>
              <w:jc w:val="right"/>
              <w:ind w:right="671"/>
              <w:spacing w:after="0"/>
              <w:rPr>
                <w:sz w:val="20"/>
                <w:szCs w:val="20"/>
                <w:color w:val="auto"/>
              </w:rPr>
            </w:pPr>
            <w:r>
              <w:rPr>
                <w:rFonts w:ascii="Arial" w:cs="Arial" w:eastAsia="Arial" w:hAnsi="Arial"/>
                <w:sz w:val="18"/>
                <w:szCs w:val="18"/>
                <w:color w:val="auto"/>
              </w:rPr>
              <w:t>26.80%</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29.35%</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3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rPr>
              <w:t>52.41%</w:t>
            </w: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52.85%</w:t>
            </w:r>
          </w:p>
        </w:tc>
        <w:tc>
          <w:tcPr>
            <w:tcW w:w="1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54.30%</w:t>
            </w:r>
          </w:p>
        </w:tc>
        <w:tc>
          <w:tcPr>
            <w:tcW w:w="186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51.64%</w:t>
            </w: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50.18%</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18"/>
                <w:szCs w:val="18"/>
                <w:color w:val="auto"/>
              </w:rPr>
            </w:pPr>
          </w:p>
        </w:tc>
      </w:tr>
      <w:tr>
        <w:trPr>
          <w:trHeight w:val="20"/>
        </w:trPr>
        <w:tc>
          <w:tcPr>
            <w:tcW w:w="2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Average balances</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65,584</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65,015</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61,549</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57,862</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57,523</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57,207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380" w:type="dxa"/>
            <w:vAlign w:val="bottom"/>
          </w:tcPr>
          <w:p>
            <w:pPr>
              <w:spacing w:after="0"/>
              <w:rPr>
                <w:sz w:val="18"/>
                <w:szCs w:val="18"/>
                <w:color w:val="auto"/>
              </w:rPr>
            </w:pP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62,201</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61,614</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58,355</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54,766</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54,415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54,085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58,465</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57,713</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54,765</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51,325</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50,982</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50,693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380" w:type="dxa"/>
            <w:vAlign w:val="bottom"/>
          </w:tcPr>
          <w:p>
            <w:pPr>
              <w:spacing w:after="0"/>
              <w:rPr>
                <w:sz w:val="18"/>
                <w:szCs w:val="18"/>
                <w:color w:val="auto"/>
              </w:rPr>
            </w:pP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8,770</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8,924</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7,905</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7,260</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6,886</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7,214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Loans and leases, net of</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discount</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49,522</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48,575</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46,055</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43,750</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43,572</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43,114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80" w:type="dxa"/>
            <w:vAlign w:val="bottom"/>
          </w:tcPr>
          <w:p>
            <w:pPr>
              <w:spacing w:after="0"/>
              <w:rPr>
                <w:sz w:val="18"/>
                <w:szCs w:val="18"/>
                <w:color w:val="auto"/>
              </w:rPr>
            </w:pP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39,711</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39,999</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38,565</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36,936</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37,048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37,966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 (c)</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6,469</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6,513</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6,360</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6,186</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6,172</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200"/>
              <w:spacing w:after="0" w:line="201" w:lineRule="exact"/>
              <w:rPr>
                <w:sz w:val="20"/>
                <w:szCs w:val="20"/>
                <w:color w:val="auto"/>
              </w:rPr>
            </w:pPr>
            <w:r>
              <w:rPr>
                <w:rFonts w:ascii="Arial" w:cs="Arial" w:eastAsia="Arial" w:hAnsi="Arial"/>
                <w:sz w:val="18"/>
                <w:szCs w:val="18"/>
                <w:color w:val="auto"/>
              </w:rPr>
              <w:t>Tangible stockholders’ equity</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7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3,086</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3,112</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3,166</w:t>
            </w:r>
          </w:p>
        </w:tc>
        <w:tc>
          <w:tcPr>
            <w:tcW w:w="186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rPr>
              <w:t>3,090</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3,064</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65,893</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66,086</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64,876</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60,008</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57,869</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57,842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62,517</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62,696</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61,467</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56,919</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54,767</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54,727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380" w:type="dxa"/>
            <w:vAlign w:val="bottom"/>
          </w:tcPr>
          <w:p>
            <w:pPr>
              <w:spacing w:after="0"/>
              <w:rPr>
                <w:sz w:val="18"/>
                <w:szCs w:val="18"/>
                <w:color w:val="auto"/>
              </w:rPr>
            </w:pPr>
          </w:p>
        </w:tc>
        <w:tc>
          <w:tcPr>
            <w:tcW w:w="1460" w:type="dxa"/>
            <w:vAlign w:val="bottom"/>
          </w:tcPr>
          <w:p>
            <w:pPr>
              <w:jc w:val="right"/>
              <w:ind w:right="791"/>
              <w:spacing w:after="0"/>
              <w:rPr>
                <w:sz w:val="20"/>
                <w:szCs w:val="20"/>
                <w:color w:val="auto"/>
              </w:rPr>
            </w:pPr>
            <w:r>
              <w:rPr>
                <w:rFonts w:ascii="Arial" w:cs="Arial" w:eastAsia="Arial" w:hAnsi="Arial"/>
                <w:sz w:val="18"/>
                <w:szCs w:val="18"/>
                <w:color w:val="auto"/>
              </w:rPr>
              <w:t>57,949</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58,030</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57,163</w:t>
            </w:r>
          </w:p>
        </w:tc>
        <w:tc>
          <w:tcPr>
            <w:tcW w:w="1860" w:type="dxa"/>
            <w:vAlign w:val="bottom"/>
          </w:tcPr>
          <w:p>
            <w:pPr>
              <w:jc w:val="right"/>
              <w:ind w:right="811"/>
              <w:spacing w:after="0"/>
              <w:rPr>
                <w:sz w:val="20"/>
                <w:szCs w:val="20"/>
                <w:color w:val="auto"/>
              </w:rPr>
            </w:pPr>
            <w:r>
              <w:rPr>
                <w:rFonts w:ascii="Arial" w:cs="Arial" w:eastAsia="Arial" w:hAnsi="Arial"/>
                <w:sz w:val="18"/>
                <w:szCs w:val="18"/>
                <w:color w:val="auto"/>
              </w:rPr>
              <w:t>53,267</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51,131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51,046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8,659</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8,676</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8,962</w:t>
            </w:r>
          </w:p>
        </w:tc>
        <w:tc>
          <w:tcPr>
            <w:tcW w:w="186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rPr>
              <w:t>8,003</w:t>
            </w: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6,982</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7,028</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419"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Loans and leases, net of</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49,115</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49,279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48,022</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44,778</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43,744</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43,507</w:t>
            </w:r>
          </w:p>
        </w:tc>
      </w:tr>
      <w:tr>
        <w:trPr>
          <w:trHeight w:val="230"/>
        </w:trPr>
        <w:tc>
          <w:tcPr>
            <w:tcW w:w="20" w:type="dxa"/>
            <w:vAlign w:val="bottom"/>
          </w:tcPr>
          <w:p>
            <w:pPr>
              <w:spacing w:after="0"/>
              <w:rPr>
                <w:sz w:val="20"/>
                <w:szCs w:val="20"/>
                <w:color w:val="auto"/>
              </w:rPr>
            </w:pPr>
          </w:p>
        </w:tc>
        <w:tc>
          <w:tcPr>
            <w:tcW w:w="2740" w:type="dxa"/>
            <w:vAlign w:val="bottom"/>
          </w:tcPr>
          <w:p>
            <w:pPr>
              <w:ind w:left="400"/>
              <w:spacing w:after="0"/>
              <w:rPr>
                <w:sz w:val="20"/>
                <w:szCs w:val="20"/>
                <w:color w:val="auto"/>
              </w:rPr>
            </w:pPr>
            <w:r>
              <w:rPr>
                <w:rFonts w:ascii="Arial" w:cs="Arial" w:eastAsia="Arial" w:hAnsi="Arial"/>
                <w:sz w:val="18"/>
                <w:szCs w:val="18"/>
                <w:color w:val="auto"/>
              </w:rPr>
              <w:t>unearned discount</w:t>
            </w: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41,926</w:t>
            </w:r>
          </w:p>
        </w:tc>
        <w:tc>
          <w:tcPr>
            <w:tcW w:w="1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41,533</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41,266</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38,473</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39,419</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38,938</w:t>
            </w: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Stockholders’ equity (c)</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6,519</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6,488</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6,485</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6,238</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6,175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6,253</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Tangible stockholders’ equity</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3,143</w:t>
            </w:r>
          </w:p>
        </w:tc>
        <w:tc>
          <w:tcPr>
            <w:tcW w:w="1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3,098</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3,076</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3,149</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3,073</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3,138</w:t>
            </w: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Equity per common share</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59.12</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58.92</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58.99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58.40</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57.59</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57.32</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Tangible equity per common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share</w:t>
            </w: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28.50</w:t>
            </w:r>
          </w:p>
        </w:tc>
        <w:tc>
          <w:tcPr>
            <w:tcW w:w="14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28.14</w:t>
            </w: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27.98</w:t>
            </w: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29.48</w:t>
            </w: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28.66</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28.77</w:t>
            </w:r>
          </w:p>
        </w:tc>
      </w:tr>
      <w:tr>
        <w:trPr>
          <w:trHeight w:val="20"/>
        </w:trPr>
        <w:tc>
          <w:tcPr>
            <w:tcW w:w="27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Market price per common share</w:t>
            </w:r>
          </w:p>
        </w:tc>
        <w:tc>
          <w:tcPr>
            <w:tcW w:w="1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w:t>
            </w: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  98.38</w:t>
            </w:r>
          </w:p>
        </w:tc>
        <w:tc>
          <w:tcPr>
            <w:tcW w:w="1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94.03</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108.32</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115.81</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114.33</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125.13</w:t>
            </w: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Low</w:t>
            </w: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69.90</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70.49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77.39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97.26</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104.00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112.05</w:t>
            </w: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Closing</w:t>
            </w: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70.54</w:t>
            </w:r>
          </w:p>
        </w:tc>
        <w:tc>
          <w:tcPr>
            <w:tcW w:w="14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80.48</w:t>
            </w: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81.57</w:t>
            </w: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103.45</w:t>
            </w: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106.90</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115.83</w:t>
            </w:r>
          </w:p>
        </w:tc>
      </w:tr>
      <w:tr>
        <w:trPr>
          <w:trHeight w:val="20"/>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pacing w:after="0" w:line="76" w:lineRule="exact"/>
        <w:rPr>
          <w:rFonts w:ascii="Arial" w:cs="Arial" w:eastAsia="Arial" w:hAnsi="Arial"/>
          <w:sz w:val="18"/>
          <w:szCs w:val="18"/>
          <w:color w:val="auto"/>
        </w:rPr>
      </w:pPr>
    </w:p>
    <w:p>
      <w:pPr>
        <w:jc w:val="both"/>
        <w:ind w:left="460" w:right="160" w:hanging="452"/>
        <w:spacing w:after="0" w:line="32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Arial" w:cs="Arial" w:eastAsia="Arial" w:hAnsi="Arial"/>
          <w:sz w:val="16"/>
          <w:szCs w:val="16"/>
          <w:color w:val="auto"/>
        </w:rPr>
      </w:pPr>
    </w:p>
    <w:p>
      <w:pPr>
        <w:ind w:left="460" w:right="480" w:hanging="452"/>
        <w:spacing w:after="0" w:line="34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w w:val="89"/>
              </w:rPr>
              <w:t>Table 2</w:t>
            </w:r>
          </w:p>
        </w:tc>
      </w:tr>
      <w:tr>
        <w:trPr>
          <w:trHeight w:val="432"/>
        </w:trPr>
        <w:tc>
          <w:tcPr>
            <w:tcW w:w="5900" w:type="dxa"/>
            <w:vAlign w:val="bottom"/>
            <w:gridSpan w:val="5"/>
          </w:tcPr>
          <w:p>
            <w:pPr>
              <w:spacing w:after="0"/>
              <w:rPr>
                <w:sz w:val="20"/>
                <w:szCs w:val="20"/>
                <w:color w:val="auto"/>
              </w:rPr>
            </w:pPr>
            <w:r>
              <w:rPr>
                <w:rFonts w:ascii="Arial" w:cs="Arial" w:eastAsia="Arial" w:hAnsi="Arial"/>
                <w:sz w:val="18"/>
                <w:szCs w:val="18"/>
                <w:color w:val="auto"/>
                <w:w w:val="99"/>
              </w:rPr>
              <w:t>RECONCILIATION OF QUARTERLY GAAP TO NON-GAAP MEASURES</w:t>
            </w: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 Quarters</w:t>
            </w: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 Quarters</w:t>
            </w:r>
          </w:p>
        </w:tc>
        <w:tc>
          <w:tcPr>
            <w:tcW w:w="1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71"/>
              <w:spacing w:after="0" w:line="142"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770"/>
              <w:spacing w:after="0" w:line="142" w:lineRule="exact"/>
              <w:rPr>
                <w:sz w:val="20"/>
                <w:szCs w:val="20"/>
                <w:color w:val="auto"/>
              </w:rPr>
            </w:pPr>
            <w:r>
              <w:rPr>
                <w:rFonts w:ascii="Arial" w:cs="Arial" w:eastAsia="Arial" w:hAnsi="Arial"/>
                <w:sz w:val="14"/>
                <w:szCs w:val="14"/>
                <w:color w:val="auto"/>
              </w:rPr>
              <w:t>First</w:t>
            </w:r>
          </w:p>
        </w:tc>
        <w:tc>
          <w:tcPr>
            <w:tcW w:w="128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Fourth</w:t>
            </w:r>
          </w:p>
        </w:tc>
        <w:tc>
          <w:tcPr>
            <w:tcW w:w="1880" w:type="dxa"/>
            <w:vAlign w:val="bottom"/>
            <w:tcBorders>
              <w:bottom w:val="single" w:sz="8" w:color="auto"/>
            </w:tcBorders>
          </w:tcPr>
          <w:p>
            <w:pPr>
              <w:jc w:val="right"/>
              <w:ind w:right="931"/>
              <w:spacing w:after="0" w:line="142" w:lineRule="exact"/>
              <w:rPr>
                <w:sz w:val="20"/>
                <w:szCs w:val="20"/>
                <w:color w:val="auto"/>
              </w:rPr>
            </w:pPr>
            <w:r>
              <w:rPr>
                <w:rFonts w:ascii="Arial" w:cs="Arial" w:eastAsia="Arial" w:hAnsi="Arial"/>
                <w:sz w:val="14"/>
                <w:szCs w:val="14"/>
                <w:color w:val="auto"/>
              </w:rPr>
              <w:t>Third</w:t>
            </w:r>
          </w:p>
        </w:tc>
        <w:tc>
          <w:tcPr>
            <w:tcW w:w="1100" w:type="dxa"/>
            <w:vAlign w:val="bottom"/>
            <w:tcBorders>
              <w:bottom w:val="single" w:sz="8" w:color="auto"/>
            </w:tcBorders>
          </w:tcPr>
          <w:p>
            <w:pPr>
              <w:jc w:val="right"/>
              <w:ind w:right="490"/>
              <w:spacing w:after="0" w:line="142" w:lineRule="exact"/>
              <w:rPr>
                <w:sz w:val="20"/>
                <w:szCs w:val="20"/>
                <w:color w:val="auto"/>
              </w:rPr>
            </w:pPr>
            <w:r>
              <w:rPr>
                <w:rFonts w:ascii="Arial" w:cs="Arial" w:eastAsia="Arial" w:hAnsi="Arial"/>
                <w:sz w:val="14"/>
                <w:szCs w:val="14"/>
                <w:color w:val="auto"/>
              </w:rPr>
              <w:t>Second</w:t>
            </w:r>
          </w:p>
        </w:tc>
        <w:tc>
          <w:tcPr>
            <w:tcW w:w="126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w w:val="89"/>
              </w:rPr>
              <w:t>160,265</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w w:val="89"/>
              </w:rPr>
              <w:t>202,196</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64,930</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199,187</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w w:val="89"/>
              </w:rPr>
              <w:t>214,169</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175,973</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10,096</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11,241</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9,719</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9,562</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10,021</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11,189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2,160</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9,070</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operating income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89"/>
              </w:rPr>
              <w:t>170,361</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89"/>
              </w:rPr>
              <w:t>215,597</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83,719</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208,749</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9"/>
              </w:rPr>
              <w:t>224,190</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187,162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 common</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1.44</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1.82</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1.83</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1.95</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other intangible assets (a)</w:t>
            </w:r>
          </w:p>
        </w:tc>
        <w:tc>
          <w:tcPr>
            <w:tcW w:w="420" w:type="dxa"/>
            <w:vAlign w:val="bottom"/>
          </w:tcPr>
          <w:p>
            <w:pPr>
              <w:spacing w:after="0"/>
              <w:rPr>
                <w:sz w:val="20"/>
                <w:szCs w:val="20"/>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.09</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.10</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.09</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.09</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.09</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.08</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Diluted net operating earnings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per share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1.53</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1.94</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.77</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1.92</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w w:val="89"/>
              </w:rPr>
              <w:t>419,710</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w w:val="89"/>
              </w:rPr>
              <w:t>425,704</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445,473</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390,528</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w w:val="89"/>
              </w:rPr>
              <w:t>392,651</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399,037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core deposit and</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5"/>
              </w:rPr>
              <w:t>(16,615)</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5"/>
              </w:rPr>
              <w:t>(18,483)</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(15,971)</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(15,702)</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5"/>
              </w:rPr>
              <w:t>(16,457)</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(18,356)</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(3,547)</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(14,887)</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89"/>
              </w:rPr>
              <w:t>403,095</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89"/>
              </w:rPr>
              <w:t>403,674</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414,615</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374,826</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89"/>
              </w:rPr>
              <w:t>376,194</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380,681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62</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1,333</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20" w:type="dxa"/>
            <w:vAlign w:val="bottom"/>
          </w:tcPr>
          <w:p>
            <w:pPr>
              <w:spacing w:after="0"/>
              <w:rPr>
                <w:sz w:val="18"/>
                <w:szCs w:val="18"/>
                <w:color w:val="auto"/>
              </w:rPr>
            </w:pP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49</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238</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367</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1,474</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3,069</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11,842</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3,547</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14,887</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65,584</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65,015</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61,549</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57,862</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57,523</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57,207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(3,192)</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(3,196)</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(3,006)</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(222)</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(239)</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(208)</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34</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62,201</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61,614</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58,355</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54,766</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54,415</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54,085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Average equity</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Average equity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6,469</w:t>
            </w:r>
          </w:p>
        </w:tc>
        <w:tc>
          <w:tcPr>
            <w:tcW w:w="13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6,513</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6,360</w:t>
            </w:r>
          </w:p>
        </w:tc>
        <w:tc>
          <w:tcPr>
            <w:tcW w:w="188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rPr>
              <w:t>6,186</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6,172</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(3,192)</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(3,196)</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(3,006)</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(222)</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(239)</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(208)</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34</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21</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24</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equity</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3,086</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3,112</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3,166</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3,090</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3,064</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8"/>
                <w:szCs w:val="18"/>
                <w:color w:val="auto"/>
              </w:rPr>
            </w:pPr>
          </w:p>
        </w:tc>
      </w:tr>
      <w:tr>
        <w:trPr>
          <w:trHeight w:val="20"/>
        </w:trPr>
        <w:tc>
          <w:tcPr>
            <w:tcW w:w="2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end of quarter</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65,893</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66,086</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64,876</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60,008</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57,869</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57,842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(3,192)</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(3,192)</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(3,196)</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(214)</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(230)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(249)</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(200)</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(216)</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32</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36</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23</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62,517</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62,696</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61,467</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56,919</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54,767</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54,727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Total equity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71"/>
              <w:spacing w:after="0"/>
              <w:rPr>
                <w:sz w:val="20"/>
                <w:szCs w:val="20"/>
                <w:color w:val="auto"/>
              </w:rPr>
            </w:pPr>
            <w:r>
              <w:rPr>
                <w:rFonts w:ascii="Arial" w:cs="Arial" w:eastAsia="Arial" w:hAnsi="Arial"/>
                <w:sz w:val="18"/>
                <w:szCs w:val="18"/>
                <w:color w:val="auto"/>
              </w:rPr>
              <w:t>6,519</w:t>
            </w: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6,488</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6,485</w:t>
            </w:r>
          </w:p>
        </w:tc>
        <w:tc>
          <w:tcPr>
            <w:tcW w:w="1880" w:type="dxa"/>
            <w:vAlign w:val="bottom"/>
          </w:tcPr>
          <w:p>
            <w:pPr>
              <w:jc w:val="right"/>
              <w:ind w:right="791"/>
              <w:spacing w:after="0"/>
              <w:rPr>
                <w:sz w:val="20"/>
                <w:szCs w:val="20"/>
                <w:color w:val="auto"/>
              </w:rPr>
            </w:pPr>
            <w:r>
              <w:rPr>
                <w:rFonts w:ascii="Arial" w:cs="Arial" w:eastAsia="Arial" w:hAnsi="Arial"/>
                <w:sz w:val="18"/>
                <w:szCs w:val="18"/>
                <w:color w:val="auto"/>
              </w:rPr>
              <w:t>6,238</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6,175</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6,253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(3,192)</w:t>
            </w: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(3,192)</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(3,196)</w:t>
            </w:r>
          </w:p>
        </w:tc>
        <w:tc>
          <w:tcPr>
            <w:tcW w:w="188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(2,909)</w:t>
            </w: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(2,909)</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Core deposit and other intangible</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p>
        </w:tc>
        <w:tc>
          <w:tcPr>
            <w:tcW w:w="1460" w:type="dxa"/>
            <w:vAlign w:val="bottom"/>
          </w:tcPr>
          <w:p>
            <w:pPr>
              <w:jc w:val="right"/>
              <w:ind w:right="711"/>
              <w:spacing w:after="0"/>
              <w:rPr>
                <w:sz w:val="20"/>
                <w:szCs w:val="20"/>
                <w:color w:val="auto"/>
              </w:rPr>
            </w:pPr>
            <w:r>
              <w:rPr>
                <w:rFonts w:ascii="Arial" w:cs="Arial" w:eastAsia="Arial" w:hAnsi="Arial"/>
                <w:sz w:val="18"/>
                <w:szCs w:val="18"/>
                <w:color w:val="auto"/>
              </w:rPr>
              <w:t>(214)</w:t>
            </w:r>
          </w:p>
        </w:tc>
        <w:tc>
          <w:tcPr>
            <w:tcW w:w="1300" w:type="dxa"/>
            <w:vAlign w:val="bottom"/>
          </w:tcPr>
          <w:p>
            <w:pPr>
              <w:jc w:val="right"/>
              <w:ind w:right="550"/>
              <w:spacing w:after="0"/>
              <w:rPr>
                <w:sz w:val="20"/>
                <w:szCs w:val="20"/>
                <w:color w:val="auto"/>
              </w:rPr>
            </w:pPr>
            <w:r>
              <w:rPr>
                <w:rFonts w:ascii="Arial" w:cs="Arial" w:eastAsia="Arial" w:hAnsi="Arial"/>
                <w:sz w:val="18"/>
                <w:szCs w:val="18"/>
                <w:color w:val="auto"/>
              </w:rPr>
              <w:t>(230)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(249)</w:t>
            </w:r>
          </w:p>
        </w:tc>
        <w:tc>
          <w:tcPr>
            <w:tcW w:w="1880" w:type="dxa"/>
            <w:vAlign w:val="bottom"/>
          </w:tcPr>
          <w:p>
            <w:pPr>
              <w:jc w:val="right"/>
              <w:ind w:right="731"/>
              <w:spacing w:after="0"/>
              <w:rPr>
                <w:sz w:val="20"/>
                <w:szCs w:val="20"/>
                <w:color w:val="auto"/>
              </w:rPr>
            </w:pPr>
            <w:r>
              <w:rPr>
                <w:rFonts w:ascii="Arial" w:cs="Arial" w:eastAsia="Arial" w:hAnsi="Arial"/>
                <w:sz w:val="18"/>
                <w:szCs w:val="18"/>
                <w:color w:val="auto"/>
              </w:rPr>
              <w:t>(200)</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(216)</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32</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36</w:t>
            </w:r>
          </w:p>
        </w:tc>
        <w:tc>
          <w:tcPr>
            <w:tcW w:w="188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23</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equity</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3,143</w:t>
            </w: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3,098</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3,076</w:t>
            </w:r>
          </w:p>
        </w:tc>
        <w:tc>
          <w:tcPr>
            <w:tcW w:w="18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3,149</w:t>
            </w: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3,073</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3,138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any related tax effect.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19" w:right="239" w:bottom="0"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820" w:type="dxa"/>
            <w:vAlign w:val="bottom"/>
            <w:gridSpan w:val="8"/>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Average</w:t>
            </w:r>
          </w:p>
        </w:tc>
        <w:tc>
          <w:tcPr>
            <w:tcW w:w="1280" w:type="dxa"/>
            <w:vAlign w:val="bottom"/>
          </w:tcPr>
          <w:p>
            <w:pPr>
              <w:jc w:val="right"/>
              <w:spacing w:after="0"/>
              <w:rPr>
                <w:sz w:val="20"/>
                <w:szCs w:val="20"/>
                <w:color w:val="auto"/>
              </w:rPr>
            </w:pPr>
            <w:r>
              <w:rPr>
                <w:rFonts w:ascii="Arial" w:cs="Arial" w:eastAsia="Arial" w:hAnsi="Arial"/>
                <w:sz w:val="14"/>
                <w:szCs w:val="14"/>
                <w:color w:val="auto"/>
                <w:w w:val="91"/>
              </w:rPr>
              <w:t>2008 Second Quarter</w:t>
            </w: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color w:val="auto"/>
                <w:w w:val="91"/>
              </w:rPr>
              <w:t>Average</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Average</w:t>
            </w:r>
          </w:p>
        </w:tc>
        <w:tc>
          <w:tcPr>
            <w:tcW w:w="1200" w:type="dxa"/>
            <w:vAlign w:val="bottom"/>
          </w:tcPr>
          <w:p>
            <w:pPr>
              <w:jc w:val="right"/>
              <w:spacing w:after="0"/>
              <w:rPr>
                <w:sz w:val="20"/>
                <w:szCs w:val="20"/>
                <w:color w:val="auto"/>
              </w:rPr>
            </w:pPr>
            <w:r>
              <w:rPr>
                <w:rFonts w:ascii="Arial" w:cs="Arial" w:eastAsia="Arial" w:hAnsi="Arial"/>
                <w:sz w:val="14"/>
                <w:szCs w:val="14"/>
                <w:color w:val="auto"/>
                <w:w w:val="98"/>
              </w:rPr>
              <w:t>2008 First Quarter</w:t>
            </w:r>
          </w:p>
        </w:tc>
        <w:tc>
          <w:tcPr>
            <w:tcW w:w="840" w:type="dxa"/>
            <w:vAlign w:val="bottom"/>
            <w:vMerge w:val="restart"/>
          </w:tcPr>
          <w:p>
            <w:pPr>
              <w:ind w:left="60"/>
              <w:spacing w:after="0"/>
              <w:rPr>
                <w:sz w:val="20"/>
                <w:szCs w:val="20"/>
                <w:color w:val="auto"/>
              </w:rPr>
            </w:pPr>
            <w:r>
              <w:rPr>
                <w:rFonts w:ascii="Arial" w:cs="Arial" w:eastAsia="Arial" w:hAnsi="Arial"/>
                <w:sz w:val="14"/>
                <w:szCs w:val="14"/>
                <w:color w:val="auto"/>
              </w:rPr>
              <w:t>Average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Average</w:t>
            </w:r>
          </w:p>
        </w:tc>
        <w:tc>
          <w:tcPr>
            <w:tcW w:w="1260" w:type="dxa"/>
            <w:vAlign w:val="bottom"/>
          </w:tcPr>
          <w:p>
            <w:pPr>
              <w:jc w:val="right"/>
              <w:spacing w:after="0"/>
              <w:rPr>
                <w:sz w:val="20"/>
                <w:szCs w:val="20"/>
                <w:color w:val="auto"/>
              </w:rPr>
            </w:pPr>
            <w:r>
              <w:rPr>
                <w:rFonts w:ascii="Arial" w:cs="Arial" w:eastAsia="Arial" w:hAnsi="Arial"/>
                <w:sz w:val="14"/>
                <w:szCs w:val="14"/>
                <w:color w:val="auto"/>
                <w:w w:val="94"/>
              </w:rPr>
              <w:t>2007 Fourth Quarter</w:t>
            </w:r>
          </w:p>
        </w:tc>
        <w:tc>
          <w:tcPr>
            <w:tcW w:w="720" w:type="dxa"/>
            <w:vAlign w:val="bottom"/>
            <w:vMerge w:val="restart"/>
          </w:tcPr>
          <w:p>
            <w:pPr>
              <w:ind w:left="4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w w:val="96"/>
              </w:rPr>
              <w:t>Average balance in millions; interest in thousands</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0"/>
              </w:rPr>
              <w:t>Balance</w:t>
            </w:r>
          </w:p>
        </w:tc>
        <w:tc>
          <w:tcPr>
            <w:tcW w:w="1280" w:type="dxa"/>
            <w:vAlign w:val="bottom"/>
          </w:tcPr>
          <w:p>
            <w:pPr>
              <w:jc w:val="right"/>
              <w:ind w:right="291"/>
              <w:spacing w:after="0"/>
              <w:rPr>
                <w:sz w:val="20"/>
                <w:szCs w:val="20"/>
                <w:color w:val="auto"/>
              </w:rPr>
            </w:pPr>
            <w:r>
              <w:rPr>
                <w:rFonts w:ascii="Arial" w:cs="Arial" w:eastAsia="Arial" w:hAnsi="Arial"/>
                <w:sz w:val="14"/>
                <w:szCs w:val="14"/>
                <w:color w:val="auto"/>
              </w:rPr>
              <w:t>Interest</w:t>
            </w:r>
          </w:p>
        </w:tc>
        <w:tc>
          <w:tcPr>
            <w:tcW w:w="800" w:type="dxa"/>
            <w:vAlign w:val="bottom"/>
          </w:tcPr>
          <w:p>
            <w:pPr>
              <w:jc w:val="right"/>
              <w:ind w:right="431"/>
              <w:spacing w:after="0"/>
              <w:rPr>
                <w:sz w:val="20"/>
                <w:szCs w:val="20"/>
                <w:color w:val="auto"/>
              </w:rPr>
            </w:pPr>
            <w:r>
              <w:rPr>
                <w:rFonts w:ascii="Arial" w:cs="Arial" w:eastAsia="Arial" w:hAnsi="Arial"/>
                <w:sz w:val="14"/>
                <w:szCs w:val="14"/>
                <w:color w:val="auto"/>
                <w:w w:val="87"/>
              </w:rPr>
              <w:t>Rate</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200" w:type="dxa"/>
            <w:vAlign w:val="bottom"/>
          </w:tcPr>
          <w:p>
            <w:pPr>
              <w:jc w:val="right"/>
              <w:ind w:right="231"/>
              <w:spacing w:after="0"/>
              <w:rPr>
                <w:sz w:val="20"/>
                <w:szCs w:val="20"/>
                <w:color w:val="auto"/>
              </w:rPr>
            </w:pPr>
            <w:r>
              <w:rPr>
                <w:rFonts w:ascii="Arial" w:cs="Arial" w:eastAsia="Arial" w:hAnsi="Arial"/>
                <w:sz w:val="14"/>
                <w:szCs w:val="14"/>
                <w:color w:val="auto"/>
              </w:rPr>
              <w:t>Interest</w:t>
            </w:r>
          </w:p>
        </w:tc>
        <w:tc>
          <w:tcPr>
            <w:tcW w:w="840" w:type="dxa"/>
            <w:vAlign w:val="bottom"/>
          </w:tcPr>
          <w:p>
            <w:pPr>
              <w:ind w:left="60"/>
              <w:spacing w:after="0"/>
              <w:rPr>
                <w:sz w:val="20"/>
                <w:szCs w:val="20"/>
                <w:color w:val="auto"/>
              </w:rPr>
            </w:pPr>
            <w:r>
              <w:rPr>
                <w:rFonts w:ascii="Arial" w:cs="Arial" w:eastAsia="Arial" w:hAnsi="Arial"/>
                <w:sz w:val="14"/>
                <w:szCs w:val="14"/>
                <w:color w:val="auto"/>
              </w:rPr>
              <w:t>Rate</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Balance</w:t>
            </w: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Interest</w:t>
            </w:r>
          </w:p>
        </w:tc>
        <w:tc>
          <w:tcPr>
            <w:tcW w:w="720" w:type="dxa"/>
            <w:vAlign w:val="bottom"/>
          </w:tcPr>
          <w:p>
            <w:pPr>
              <w:ind w:left="4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Earning assets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13,800</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$176,353</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5.14%</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13,308</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200,509</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6.06%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12,551</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218,318</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18,491</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266,323</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5.76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17,994</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285,831</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6.35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16,459</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293,135</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6,026</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91,035</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6.04</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5,977</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92,179</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6.17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6,327</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97,009</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11,205</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178,598</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6.41</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11,296</w:t>
            </w:r>
          </w:p>
        </w:tc>
        <w:tc>
          <w:tcPr>
            <w:tcW w:w="12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193,938</w:t>
            </w: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6.91</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12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198,509</w:t>
            </w: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49,522</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712,309</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5.79</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48,575</w:t>
            </w: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772,457</w:t>
            </w: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6.40</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46,055</w:t>
            </w:r>
          </w:p>
        </w:tc>
        <w:tc>
          <w:tcPr>
            <w:tcW w:w="12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806,971</w:t>
            </w: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1.14</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103</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6"/>
              </w:rPr>
              <w:t>Federal funds sold and agreements to</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492</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1.96</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956</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2.99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8,871</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143</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.90</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259</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1.39</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253</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U.S. Treasury and federal agencies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40,996</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4.76</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3,523</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41,757</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4.77</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26,828</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2,455</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7.03</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2,436</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6.56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2,046</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67,008</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5.22</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5,252</w:t>
            </w:r>
          </w:p>
        </w:tc>
        <w:tc>
          <w:tcPr>
            <w:tcW w:w="12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72,036</w:t>
            </w: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5.52</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5,420</w:t>
            </w:r>
          </w:p>
        </w:tc>
        <w:tc>
          <w:tcPr>
            <w:tcW w:w="12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73,128</w:t>
            </w: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8,770</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110,459</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5.07</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8,924</w:t>
            </w: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116,229</w:t>
            </w: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5.24</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7,905</w:t>
            </w:r>
          </w:p>
        </w:tc>
        <w:tc>
          <w:tcPr>
            <w:tcW w:w="12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102,002</w:t>
            </w: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58,465</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823,425</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5.66</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57,713</w:t>
            </w:r>
          </w:p>
        </w:tc>
        <w:tc>
          <w:tcPr>
            <w:tcW w:w="12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889,945</w:t>
            </w: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6.20</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54,765</w:t>
            </w:r>
          </w:p>
        </w:tc>
        <w:tc>
          <w:tcPr>
            <w:tcW w:w="12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918,200</w:t>
            </w: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(792)</w:t>
            </w: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1,297</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1,302</w:t>
            </w: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6,783</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6,193</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65,584</w:t>
            </w:r>
          </w:p>
        </w:tc>
        <w:tc>
          <w:tcPr>
            <w:tcW w:w="1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65,015</w:t>
            </w:r>
          </w:p>
        </w:tc>
        <w:tc>
          <w:tcPr>
            <w:tcW w:w="1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61,549</w:t>
            </w:r>
          </w:p>
        </w:tc>
        <w:tc>
          <w:tcPr>
            <w:tcW w:w="1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Liabilities and stockholders’ equity</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629</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.49</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1,018</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.85</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1,465</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18,092</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60,317</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1.34</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16,843</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66,622</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1.59</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15,265</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65,635</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79,467</w:t>
            </w:r>
          </w:p>
        </w:tc>
        <w:tc>
          <w:tcPr>
            <w:tcW w:w="8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3.47</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10,416</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106,643</w:t>
            </w:r>
          </w:p>
        </w:tc>
        <w:tc>
          <w:tcPr>
            <w:tcW w:w="8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4.12</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10,353</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118,612</w:t>
            </w:r>
          </w:p>
        </w:tc>
        <w:tc>
          <w:tcPr>
            <w:tcW w:w="7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22,075</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2.06</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38,373</w:t>
            </w: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3.20</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4,975</w:t>
            </w:r>
          </w:p>
        </w:tc>
        <w:tc>
          <w:tcPr>
            <w:tcW w:w="12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56,674</w:t>
            </w: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32,134</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162,488</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2.03</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32,564</w:t>
            </w:r>
          </w:p>
        </w:tc>
        <w:tc>
          <w:tcPr>
            <w:tcW w:w="12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212,656</w:t>
            </w: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2.63</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31,084</w:t>
            </w:r>
          </w:p>
        </w:tc>
        <w:tc>
          <w:tcPr>
            <w:tcW w:w="12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242,386</w:t>
            </w: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6,869</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42,612</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2.49</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7,153</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61,621</w:t>
            </w:r>
          </w:p>
        </w:tc>
        <w:tc>
          <w:tcPr>
            <w:tcW w:w="840" w:type="dxa"/>
            <w:vAlign w:val="bottom"/>
          </w:tcPr>
          <w:p>
            <w:pPr>
              <w:jc w:val="right"/>
              <w:ind w:right="251"/>
              <w:spacing w:after="0"/>
              <w:rPr>
                <w:sz w:val="20"/>
                <w:szCs w:val="20"/>
                <w:color w:val="auto"/>
              </w:rPr>
            </w:pPr>
            <w:r>
              <w:rPr>
                <w:rFonts w:ascii="Arial" w:cs="Arial" w:eastAsia="Arial" w:hAnsi="Arial"/>
                <w:sz w:val="18"/>
                <w:szCs w:val="18"/>
                <w:color w:val="auto"/>
              </w:rPr>
              <w:t>3.46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5,899</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68,639</w:t>
            </w:r>
          </w:p>
        </w:tc>
        <w:tc>
          <w:tcPr>
            <w:tcW w:w="720" w:type="dxa"/>
            <w:vAlign w:val="bottom"/>
          </w:tcPr>
          <w:p>
            <w:pPr>
              <w:jc w:val="right"/>
              <w:ind w:right="15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11,407</w:t>
            </w:r>
          </w:p>
        </w:tc>
        <w:tc>
          <w:tcPr>
            <w:tcW w:w="12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125,842</w:t>
            </w: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4.44</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10,270</w:t>
            </w:r>
          </w:p>
        </w:tc>
        <w:tc>
          <w:tcPr>
            <w:tcW w:w="12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131,035</w:t>
            </w: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5.13</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9,809</w:t>
            </w:r>
          </w:p>
        </w:tc>
        <w:tc>
          <w:tcPr>
            <w:tcW w:w="12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131,339</w:t>
            </w: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Total interest-bearing liabilities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50,410</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330,942</w:t>
            </w: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2.64</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49,987</w:t>
            </w: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405,312</w:t>
            </w: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3.26</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46,792</w:t>
            </w:r>
          </w:p>
        </w:tc>
        <w:tc>
          <w:tcPr>
            <w:tcW w:w="12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442,364</w:t>
            </w: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7,435</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7,481</w:t>
            </w: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1,080</w:t>
            </w:r>
          </w:p>
        </w:tc>
        <w:tc>
          <w:tcPr>
            <w:tcW w:w="1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916</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59,115</w:t>
            </w:r>
          </w:p>
        </w:tc>
        <w:tc>
          <w:tcPr>
            <w:tcW w:w="1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58,502</w:t>
            </w:r>
          </w:p>
        </w:tc>
        <w:tc>
          <w:tcPr>
            <w:tcW w:w="1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55,189</w:t>
            </w:r>
          </w:p>
        </w:tc>
        <w:tc>
          <w:tcPr>
            <w:tcW w:w="1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6,469</w:t>
            </w: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6,513</w:t>
            </w:r>
          </w:p>
        </w:tc>
        <w:tc>
          <w:tcPr>
            <w:tcW w:w="1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6,360</w:t>
            </w:r>
          </w:p>
        </w:tc>
        <w:tc>
          <w:tcPr>
            <w:tcW w:w="1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Total liabilities and stockholders’</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65,584</w:t>
            </w:r>
          </w:p>
        </w:tc>
        <w:tc>
          <w:tcPr>
            <w:tcW w:w="1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65,015</w:t>
            </w:r>
          </w:p>
        </w:tc>
        <w:tc>
          <w:tcPr>
            <w:tcW w:w="1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61,549</w:t>
            </w:r>
          </w:p>
        </w:tc>
        <w:tc>
          <w:tcPr>
            <w:tcW w:w="1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3.02</w:t>
            </w:r>
          </w:p>
        </w:tc>
        <w:tc>
          <w:tcPr>
            <w:tcW w:w="8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2.94</w:t>
            </w:r>
          </w:p>
        </w:tc>
        <w:tc>
          <w:tcPr>
            <w:tcW w:w="7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.37</w:t>
            </w:r>
          </w:p>
        </w:tc>
        <w:tc>
          <w:tcPr>
            <w:tcW w:w="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.44</w:t>
            </w: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6"/>
              </w:rPr>
              <w:t>Net interest income/margin on earning</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$492,483</w:t>
            </w:r>
          </w:p>
        </w:tc>
        <w:tc>
          <w:tcPr>
            <w:tcW w:w="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3.39%</w:t>
            </w: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484,633</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3.38%</w:t>
            </w:r>
          </w:p>
        </w:tc>
        <w:tc>
          <w:tcPr>
            <w:tcW w:w="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475,836</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6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2"/>
              </w:rPr>
              <w:t>Table 3 (continued)</w:t>
            </w:r>
          </w:p>
        </w:tc>
      </w:tr>
      <w:tr>
        <w:trPr>
          <w:trHeight w:val="432"/>
        </w:trPr>
        <w:tc>
          <w:tcPr>
            <w:tcW w:w="7760" w:type="dxa"/>
            <w:vAlign w:val="bottom"/>
            <w:gridSpan w:val="6"/>
          </w:tcPr>
          <w:p>
            <w:pPr>
              <w:spacing w:after="0"/>
              <w:rPr>
                <w:sz w:val="20"/>
                <w:szCs w:val="20"/>
                <w:color w:val="auto"/>
              </w:rPr>
            </w:pPr>
            <w:r>
              <w:rPr>
                <w:rFonts w:ascii="Arial" w:cs="Arial" w:eastAsia="Arial" w:hAnsi="Arial"/>
                <w:sz w:val="18"/>
                <w:szCs w:val="18"/>
                <w:color w:val="auto"/>
                <w:w w:val="99"/>
              </w:rPr>
              <w:t>AVERAGE BALANCE SHEETS AND ANNUALIZED TAXABLE-EQUIVALENT RATES (continued)</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color w:val="auto"/>
              </w:rPr>
              <w:t>2007 Third Quarter</w:t>
            </w: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2"/>
          </w:tcPr>
          <w:p>
            <w:pPr>
              <w:jc w:val="right"/>
              <w:ind w:right="1191"/>
              <w:spacing w:after="0"/>
              <w:rPr>
                <w:sz w:val="20"/>
                <w:szCs w:val="20"/>
                <w:color w:val="auto"/>
              </w:rPr>
            </w:pPr>
            <w:r>
              <w:rPr>
                <w:rFonts w:ascii="Arial" w:cs="Arial" w:eastAsia="Arial" w:hAnsi="Arial"/>
                <w:sz w:val="14"/>
                <w:szCs w:val="14"/>
                <w:color w:val="auto"/>
              </w:rPr>
              <w:t>2007 Second Quarter</w:t>
            </w: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ind w:right="231"/>
              <w:spacing w:after="0" w:line="149" w:lineRule="exact"/>
              <w:rPr>
                <w:sz w:val="20"/>
                <w:szCs w:val="20"/>
                <w:color w:val="auto"/>
              </w:rPr>
            </w:pPr>
            <w:r>
              <w:rPr>
                <w:rFonts w:ascii="Arial" w:cs="Arial" w:eastAsia="Arial" w:hAnsi="Arial"/>
                <w:sz w:val="14"/>
                <w:szCs w:val="14"/>
                <w:color w:val="auto"/>
                <w:w w:val="91"/>
              </w:rPr>
              <w:t>Average</w:t>
            </w:r>
          </w:p>
        </w:tc>
        <w:tc>
          <w:tcPr>
            <w:tcW w:w="1600" w:type="dxa"/>
            <w:vAlign w:val="bottom"/>
          </w:tcPr>
          <w:p>
            <w:pPr>
              <w:spacing w:after="0"/>
              <w:rPr>
                <w:sz w:val="12"/>
                <w:szCs w:val="12"/>
                <w:color w:val="auto"/>
              </w:rPr>
            </w:pPr>
          </w:p>
        </w:tc>
        <w:tc>
          <w:tcPr>
            <w:tcW w:w="1620" w:type="dxa"/>
            <w:vAlign w:val="bottom"/>
          </w:tcPr>
          <w:p>
            <w:pPr>
              <w:jc w:val="right"/>
              <w:ind w:right="831"/>
              <w:spacing w:after="0" w:line="149" w:lineRule="exact"/>
              <w:rPr>
                <w:sz w:val="20"/>
                <w:szCs w:val="20"/>
                <w:color w:val="auto"/>
              </w:rPr>
            </w:pPr>
            <w:r>
              <w:rPr>
                <w:rFonts w:ascii="Arial" w:cs="Arial" w:eastAsia="Arial" w:hAnsi="Arial"/>
                <w:sz w:val="14"/>
                <w:szCs w:val="14"/>
                <w:color w:val="auto"/>
              </w:rPr>
              <w:t>Average</w:t>
            </w:r>
          </w:p>
        </w:tc>
        <w:tc>
          <w:tcPr>
            <w:tcW w:w="92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Average</w:t>
            </w:r>
          </w:p>
        </w:tc>
        <w:tc>
          <w:tcPr>
            <w:tcW w:w="1280" w:type="dxa"/>
            <w:vAlign w:val="bottom"/>
          </w:tcPr>
          <w:p>
            <w:pPr>
              <w:spacing w:after="0"/>
              <w:rPr>
                <w:sz w:val="12"/>
                <w:szCs w:val="12"/>
                <w:color w:val="auto"/>
              </w:rPr>
            </w:pPr>
          </w:p>
        </w:tc>
        <w:tc>
          <w:tcPr>
            <w:tcW w:w="1460" w:type="dxa"/>
            <w:vAlign w:val="bottom"/>
          </w:tcPr>
          <w:p>
            <w:pPr>
              <w:ind w:left="600"/>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460" w:type="dxa"/>
            <w:vAlign w:val="bottom"/>
          </w:tcPr>
          <w:p>
            <w:pPr>
              <w:spacing w:after="0"/>
              <w:rPr>
                <w:sz w:val="15"/>
                <w:szCs w:val="15"/>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color w:val="auto"/>
                <w:w w:val="90"/>
              </w:rPr>
              <w:t>Balance</w:t>
            </w:r>
          </w:p>
        </w:tc>
        <w:tc>
          <w:tcPr>
            <w:tcW w:w="1600" w:type="dxa"/>
            <w:vAlign w:val="bottom"/>
          </w:tcPr>
          <w:p>
            <w:pPr>
              <w:jc w:val="right"/>
              <w:ind w:right="411"/>
              <w:spacing w:after="0"/>
              <w:rPr>
                <w:sz w:val="20"/>
                <w:szCs w:val="20"/>
                <w:color w:val="auto"/>
              </w:rPr>
            </w:pPr>
            <w:r>
              <w:rPr>
                <w:rFonts w:ascii="Arial" w:cs="Arial" w:eastAsia="Arial" w:hAnsi="Arial"/>
                <w:sz w:val="14"/>
                <w:szCs w:val="14"/>
                <w:color w:val="auto"/>
              </w:rPr>
              <w:t>Interest</w:t>
            </w:r>
          </w:p>
        </w:tc>
        <w:tc>
          <w:tcPr>
            <w:tcW w:w="1620" w:type="dxa"/>
            <w:vAlign w:val="bottom"/>
          </w:tcPr>
          <w:p>
            <w:pPr>
              <w:jc w:val="right"/>
              <w:ind w:right="1031"/>
              <w:spacing w:after="0"/>
              <w:rPr>
                <w:sz w:val="20"/>
                <w:szCs w:val="20"/>
                <w:color w:val="auto"/>
              </w:rPr>
            </w:pPr>
            <w:r>
              <w:rPr>
                <w:rFonts w:ascii="Arial" w:cs="Arial" w:eastAsia="Arial" w:hAnsi="Arial"/>
                <w:sz w:val="14"/>
                <w:szCs w:val="14"/>
                <w:color w:val="auto"/>
              </w:rPr>
              <w:t>Rate</w:t>
            </w:r>
          </w:p>
        </w:tc>
        <w:tc>
          <w:tcPr>
            <w:tcW w:w="920" w:type="dxa"/>
            <w:vAlign w:val="bottom"/>
          </w:tcPr>
          <w:p>
            <w:pPr>
              <w:jc w:val="right"/>
              <w:ind w:right="231"/>
              <w:spacing w:after="0"/>
              <w:rPr>
                <w:sz w:val="20"/>
                <w:szCs w:val="20"/>
                <w:color w:val="auto"/>
              </w:rPr>
            </w:pPr>
            <w:r>
              <w:rPr>
                <w:rFonts w:ascii="Arial" w:cs="Arial" w:eastAsia="Arial" w:hAnsi="Arial"/>
                <w:sz w:val="14"/>
                <w:szCs w:val="14"/>
                <w:color w:val="auto"/>
              </w:rPr>
              <w:t>Balance</w:t>
            </w:r>
          </w:p>
        </w:tc>
        <w:tc>
          <w:tcPr>
            <w:tcW w:w="1280" w:type="dxa"/>
            <w:vAlign w:val="bottom"/>
          </w:tcPr>
          <w:p>
            <w:pPr>
              <w:jc w:val="right"/>
              <w:ind w:right="51"/>
              <w:spacing w:after="0"/>
              <w:rPr>
                <w:sz w:val="20"/>
                <w:szCs w:val="20"/>
                <w:color w:val="auto"/>
              </w:rPr>
            </w:pPr>
            <w:r>
              <w:rPr>
                <w:rFonts w:ascii="Arial" w:cs="Arial" w:eastAsia="Arial" w:hAnsi="Arial"/>
                <w:sz w:val="14"/>
                <w:szCs w:val="14"/>
                <w:color w:val="auto"/>
              </w:rPr>
              <w:t>Interest</w:t>
            </w:r>
          </w:p>
        </w:tc>
        <w:tc>
          <w:tcPr>
            <w:tcW w:w="1460" w:type="dxa"/>
            <w:vAlign w:val="bottom"/>
          </w:tcPr>
          <w:p>
            <w:pPr>
              <w:ind w:left="600"/>
              <w:spacing w:after="0"/>
              <w:rPr>
                <w:sz w:val="20"/>
                <w:szCs w:val="20"/>
                <w:color w:val="auto"/>
              </w:rPr>
            </w:pPr>
            <w:r>
              <w:rPr>
                <w:rFonts w:ascii="Arial" w:cs="Arial" w:eastAsia="Arial" w:hAnsi="Arial"/>
                <w:sz w:val="14"/>
                <w:szCs w:val="14"/>
                <w:color w:val="auto"/>
              </w:rPr>
              <w:t>Rate</w:t>
            </w:r>
          </w:p>
        </w:tc>
      </w:tr>
      <w:tr>
        <w:trPr>
          <w:trHeight w:val="216"/>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Earning assets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and leases, net of unearned</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12,239</w:t>
            </w:r>
          </w:p>
        </w:tc>
        <w:tc>
          <w:tcPr>
            <w:tcW w:w="1600" w:type="dxa"/>
            <w:vAlign w:val="bottom"/>
          </w:tcPr>
          <w:p>
            <w:pPr>
              <w:jc w:val="right"/>
              <w:ind w:right="331"/>
              <w:spacing w:after="0"/>
              <w:rPr>
                <w:sz w:val="20"/>
                <w:szCs w:val="20"/>
                <w:color w:val="auto"/>
              </w:rPr>
            </w:pPr>
            <w:r>
              <w:rPr>
                <w:rFonts w:ascii="Arial" w:cs="Arial" w:eastAsia="Arial" w:hAnsi="Arial"/>
                <w:sz w:val="18"/>
                <w:szCs w:val="18"/>
                <w:color w:val="auto"/>
              </w:rPr>
              <w:t>$223,525</w:t>
            </w:r>
          </w:p>
        </w:tc>
        <w:tc>
          <w:tcPr>
            <w:tcW w:w="1620" w:type="dxa"/>
            <w:vAlign w:val="bottom"/>
          </w:tcPr>
          <w:p>
            <w:pPr>
              <w:jc w:val="right"/>
              <w:ind w:right="591"/>
              <w:spacing w:after="0"/>
              <w:rPr>
                <w:sz w:val="20"/>
                <w:szCs w:val="20"/>
                <w:color w:val="auto"/>
              </w:rPr>
            </w:pPr>
            <w:r>
              <w:rPr>
                <w:rFonts w:ascii="Arial" w:cs="Arial" w:eastAsia="Arial" w:hAnsi="Arial"/>
                <w:sz w:val="18"/>
                <w:szCs w:val="18"/>
                <w:color w:val="auto"/>
              </w:rPr>
              <w:t>7.25%</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12,155</w:t>
            </w:r>
          </w:p>
        </w:tc>
        <w:tc>
          <w:tcPr>
            <w:tcW w:w="1280" w:type="dxa"/>
            <w:vAlign w:val="bottom"/>
          </w:tcPr>
          <w:p>
            <w:pPr>
              <w:jc w:val="right"/>
              <w:spacing w:after="0"/>
              <w:rPr>
                <w:sz w:val="20"/>
                <w:szCs w:val="20"/>
                <w:color w:val="auto"/>
              </w:rPr>
            </w:pPr>
            <w:r>
              <w:rPr>
                <w:rFonts w:ascii="Arial" w:cs="Arial" w:eastAsia="Arial" w:hAnsi="Arial"/>
                <w:sz w:val="18"/>
                <w:szCs w:val="18"/>
                <w:color w:val="auto"/>
              </w:rPr>
              <w:t>219,011</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7.23%</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7"/>
              </w:rPr>
              <w:t>15,474</w:t>
            </w:r>
          </w:p>
        </w:tc>
        <w:tc>
          <w:tcPr>
            <w:tcW w:w="1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291,569</w:t>
            </w:r>
          </w:p>
        </w:tc>
        <w:tc>
          <w:tcPr>
            <w:tcW w:w="16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7.54</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15,578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290,130</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7.45</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5,915</w:t>
            </w:r>
          </w:p>
        </w:tc>
        <w:tc>
          <w:tcPr>
            <w:tcW w:w="1600" w:type="dxa"/>
            <w:vAlign w:val="bottom"/>
          </w:tcPr>
          <w:p>
            <w:pPr>
              <w:jc w:val="right"/>
              <w:ind w:right="331"/>
              <w:spacing w:after="0"/>
              <w:rPr>
                <w:sz w:val="20"/>
                <w:szCs w:val="20"/>
                <w:color w:val="auto"/>
              </w:rPr>
            </w:pPr>
            <w:r>
              <w:rPr>
                <w:rFonts w:ascii="Arial" w:cs="Arial" w:eastAsia="Arial" w:hAnsi="Arial"/>
                <w:sz w:val="18"/>
                <w:szCs w:val="18"/>
                <w:color w:val="auto"/>
              </w:rPr>
              <w:t>95,629</w:t>
            </w:r>
          </w:p>
        </w:tc>
        <w:tc>
          <w:tcPr>
            <w:tcW w:w="1620" w:type="dxa"/>
            <w:vAlign w:val="bottom"/>
          </w:tcPr>
          <w:p>
            <w:pPr>
              <w:jc w:val="right"/>
              <w:ind w:right="731"/>
              <w:spacing w:after="0"/>
              <w:rPr>
                <w:sz w:val="20"/>
                <w:szCs w:val="20"/>
                <w:color w:val="auto"/>
              </w:rPr>
            </w:pPr>
            <w:r>
              <w:rPr>
                <w:rFonts w:ascii="Arial" w:cs="Arial" w:eastAsia="Arial" w:hAnsi="Arial"/>
                <w:sz w:val="18"/>
                <w:szCs w:val="18"/>
                <w:color w:val="auto"/>
              </w:rPr>
              <w:t>6.47</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5,875</w:t>
            </w:r>
          </w:p>
        </w:tc>
        <w:tc>
          <w:tcPr>
            <w:tcW w:w="1280" w:type="dxa"/>
            <w:vAlign w:val="bottom"/>
          </w:tcPr>
          <w:p>
            <w:pPr>
              <w:jc w:val="right"/>
              <w:spacing w:after="0"/>
              <w:rPr>
                <w:sz w:val="20"/>
                <w:szCs w:val="20"/>
                <w:color w:val="auto"/>
              </w:rPr>
            </w:pPr>
            <w:r>
              <w:rPr>
                <w:rFonts w:ascii="Arial" w:cs="Arial" w:eastAsia="Arial" w:hAnsi="Arial"/>
                <w:sz w:val="18"/>
                <w:szCs w:val="18"/>
                <w:color w:val="auto"/>
              </w:rPr>
              <w:t>95,327</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6.49</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10,122</w:t>
            </w:r>
          </w:p>
        </w:tc>
        <w:tc>
          <w:tcPr>
            <w:tcW w:w="16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191,628</w:t>
            </w:r>
          </w:p>
        </w:tc>
        <w:tc>
          <w:tcPr>
            <w:tcW w:w="16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7.51</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9,964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185,553</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7.47</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loans and leases, net</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43,750</w:t>
            </w: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802,351</w:t>
            </w:r>
          </w:p>
        </w:tc>
        <w:tc>
          <w:tcPr>
            <w:tcW w:w="16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7.28</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43,572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790,021</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7.27</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w:t>
            </w:r>
          </w:p>
        </w:tc>
        <w:tc>
          <w:tcPr>
            <w:tcW w:w="1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64</w:t>
            </w:r>
          </w:p>
        </w:tc>
        <w:tc>
          <w:tcPr>
            <w:tcW w:w="16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3.27</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3.12</w:t>
            </w: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resell securities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248</w:t>
            </w:r>
          </w:p>
        </w:tc>
        <w:tc>
          <w:tcPr>
            <w:tcW w:w="1600" w:type="dxa"/>
            <w:vAlign w:val="bottom"/>
          </w:tcPr>
          <w:p>
            <w:pPr>
              <w:jc w:val="right"/>
              <w:ind w:right="331"/>
              <w:spacing w:after="0"/>
              <w:rPr>
                <w:sz w:val="20"/>
                <w:szCs w:val="20"/>
                <w:color w:val="auto"/>
              </w:rPr>
            </w:pPr>
            <w:r>
              <w:rPr>
                <w:rFonts w:ascii="Arial" w:cs="Arial" w:eastAsia="Arial" w:hAnsi="Arial"/>
                <w:sz w:val="18"/>
                <w:szCs w:val="18"/>
                <w:color w:val="auto"/>
              </w:rPr>
              <w:t>3,429</w:t>
            </w:r>
          </w:p>
        </w:tc>
        <w:tc>
          <w:tcPr>
            <w:tcW w:w="1620" w:type="dxa"/>
            <w:vAlign w:val="bottom"/>
          </w:tcPr>
          <w:p>
            <w:pPr>
              <w:jc w:val="right"/>
              <w:ind w:right="731"/>
              <w:spacing w:after="0"/>
              <w:rPr>
                <w:sz w:val="20"/>
                <w:szCs w:val="20"/>
                <w:color w:val="auto"/>
              </w:rPr>
            </w:pPr>
            <w:r>
              <w:rPr>
                <w:rFonts w:ascii="Arial" w:cs="Arial" w:eastAsia="Arial" w:hAnsi="Arial"/>
                <w:sz w:val="18"/>
                <w:szCs w:val="18"/>
                <w:color w:val="auto"/>
              </w:rPr>
              <w:t>5.47</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448</w:t>
            </w:r>
          </w:p>
        </w:tc>
        <w:tc>
          <w:tcPr>
            <w:tcW w:w="1280" w:type="dxa"/>
            <w:vAlign w:val="bottom"/>
          </w:tcPr>
          <w:p>
            <w:pPr>
              <w:jc w:val="right"/>
              <w:spacing w:after="0"/>
              <w:rPr>
                <w:sz w:val="20"/>
                <w:szCs w:val="20"/>
                <w:color w:val="auto"/>
              </w:rPr>
            </w:pPr>
            <w:r>
              <w:rPr>
                <w:rFonts w:ascii="Arial" w:cs="Arial" w:eastAsia="Arial" w:hAnsi="Arial"/>
                <w:sz w:val="18"/>
                <w:szCs w:val="18"/>
                <w:color w:val="auto"/>
              </w:rPr>
              <w:t>6,734</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6.03</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59</w:t>
            </w:r>
          </w:p>
        </w:tc>
        <w:tc>
          <w:tcPr>
            <w:tcW w:w="1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145</w:t>
            </w:r>
          </w:p>
        </w:tc>
        <w:tc>
          <w:tcPr>
            <w:tcW w:w="16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.98</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Investment securities**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2,156</w:t>
            </w:r>
          </w:p>
        </w:tc>
        <w:tc>
          <w:tcPr>
            <w:tcW w:w="1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23,935</w:t>
            </w:r>
          </w:p>
        </w:tc>
        <w:tc>
          <w:tcPr>
            <w:tcW w:w="16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4.40</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2,151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4.33</w:t>
            </w: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Obligations of states and political</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subdivisions</w:t>
            </w:r>
          </w:p>
        </w:tc>
        <w:tc>
          <w:tcPr>
            <w:tcW w:w="4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108</w:t>
            </w:r>
          </w:p>
        </w:tc>
        <w:tc>
          <w:tcPr>
            <w:tcW w:w="1600" w:type="dxa"/>
            <w:vAlign w:val="bottom"/>
          </w:tcPr>
          <w:p>
            <w:pPr>
              <w:jc w:val="right"/>
              <w:ind w:right="331"/>
              <w:spacing w:after="0"/>
              <w:rPr>
                <w:sz w:val="20"/>
                <w:szCs w:val="20"/>
                <w:color w:val="auto"/>
              </w:rPr>
            </w:pPr>
            <w:r>
              <w:rPr>
                <w:rFonts w:ascii="Arial" w:cs="Arial" w:eastAsia="Arial" w:hAnsi="Arial"/>
                <w:sz w:val="18"/>
                <w:szCs w:val="18"/>
                <w:color w:val="auto"/>
              </w:rPr>
              <w:t>2,040</w:t>
            </w:r>
          </w:p>
        </w:tc>
        <w:tc>
          <w:tcPr>
            <w:tcW w:w="1620" w:type="dxa"/>
            <w:vAlign w:val="bottom"/>
          </w:tcPr>
          <w:p>
            <w:pPr>
              <w:jc w:val="right"/>
              <w:ind w:right="731"/>
              <w:spacing w:after="0"/>
              <w:rPr>
                <w:sz w:val="20"/>
                <w:szCs w:val="20"/>
                <w:color w:val="auto"/>
              </w:rPr>
            </w:pPr>
            <w:r>
              <w:rPr>
                <w:rFonts w:ascii="Arial" w:cs="Arial" w:eastAsia="Arial" w:hAnsi="Arial"/>
                <w:sz w:val="18"/>
                <w:szCs w:val="18"/>
                <w:color w:val="auto"/>
              </w:rPr>
              <w:t>7.55</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122</w:t>
            </w:r>
          </w:p>
        </w:tc>
        <w:tc>
          <w:tcPr>
            <w:tcW w:w="1280" w:type="dxa"/>
            <w:vAlign w:val="bottom"/>
          </w:tcPr>
          <w:p>
            <w:pPr>
              <w:jc w:val="right"/>
              <w:spacing w:after="0"/>
              <w:rPr>
                <w:sz w:val="20"/>
                <w:szCs w:val="20"/>
                <w:color w:val="auto"/>
              </w:rPr>
            </w:pPr>
            <w:r>
              <w:rPr>
                <w:rFonts w:ascii="Arial" w:cs="Arial" w:eastAsia="Arial" w:hAnsi="Arial"/>
                <w:sz w:val="18"/>
                <w:szCs w:val="18"/>
                <w:color w:val="auto"/>
              </w:rPr>
              <w:t>2,299</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7.53</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4,996</w:t>
            </w:r>
          </w:p>
        </w:tc>
        <w:tc>
          <w:tcPr>
            <w:tcW w:w="16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66,162</w:t>
            </w:r>
          </w:p>
        </w:tc>
        <w:tc>
          <w:tcPr>
            <w:tcW w:w="16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5.25</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4,613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60,554</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5.27</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investment securities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7,260</w:t>
            </w: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92,137</w:t>
            </w:r>
          </w:p>
        </w:tc>
        <w:tc>
          <w:tcPr>
            <w:tcW w:w="16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5.04</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6,886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86,091</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5.01</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earning assets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51,325</w:t>
            </w:r>
          </w:p>
        </w:tc>
        <w:tc>
          <w:tcPr>
            <w:tcW w:w="16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898,126</w:t>
            </w:r>
          </w:p>
        </w:tc>
        <w:tc>
          <w:tcPr>
            <w:tcW w:w="16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6.94</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50,982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883,148</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6.95</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60" w:type="dxa"/>
            <w:vAlign w:val="bottom"/>
          </w:tcPr>
          <w:p>
            <w:pPr>
              <w:spacing w:after="0"/>
              <w:rPr>
                <w:sz w:val="19"/>
                <w:szCs w:val="19"/>
                <w:color w:val="auto"/>
              </w:rPr>
            </w:pPr>
          </w:p>
        </w:tc>
        <w:tc>
          <w:tcPr>
            <w:tcW w:w="820" w:type="dxa"/>
            <w:vAlign w:val="bottom"/>
          </w:tcPr>
          <w:p>
            <w:pPr>
              <w:jc w:val="right"/>
              <w:ind w:right="171"/>
              <w:spacing w:after="0"/>
              <w:rPr>
                <w:sz w:val="20"/>
                <w:szCs w:val="20"/>
                <w:color w:val="auto"/>
              </w:rPr>
            </w:pPr>
            <w:r>
              <w:rPr>
                <w:rFonts w:ascii="Arial" w:cs="Arial" w:eastAsia="Arial" w:hAnsi="Arial"/>
                <w:sz w:val="18"/>
                <w:szCs w:val="18"/>
                <w:color w:val="auto"/>
              </w:rPr>
              <w:t>(675)</w:t>
            </w: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(667)</w:t>
            </w: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1,235</w:t>
            </w: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1,244</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5,977</w:t>
            </w:r>
          </w:p>
        </w:tc>
        <w:tc>
          <w:tcPr>
            <w:tcW w:w="1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5,964</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57,862</w:t>
            </w:r>
          </w:p>
        </w:tc>
        <w:tc>
          <w:tcPr>
            <w:tcW w:w="16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57,523</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464</w:t>
            </w:r>
          </w:p>
        </w:tc>
        <w:tc>
          <w:tcPr>
            <w:tcW w:w="1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982</w:t>
            </w:r>
          </w:p>
        </w:tc>
        <w:tc>
          <w:tcPr>
            <w:tcW w:w="16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.84</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453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14,908</w:t>
            </w:r>
          </w:p>
        </w:tc>
        <w:tc>
          <w:tcPr>
            <w:tcW w:w="1600" w:type="dxa"/>
            <w:vAlign w:val="bottom"/>
          </w:tcPr>
          <w:p>
            <w:pPr>
              <w:jc w:val="right"/>
              <w:ind w:right="331"/>
              <w:spacing w:after="0"/>
              <w:rPr>
                <w:sz w:val="20"/>
                <w:szCs w:val="20"/>
                <w:color w:val="auto"/>
              </w:rPr>
            </w:pPr>
            <w:r>
              <w:rPr>
                <w:rFonts w:ascii="Arial" w:cs="Arial" w:eastAsia="Arial" w:hAnsi="Arial"/>
                <w:sz w:val="18"/>
                <w:szCs w:val="18"/>
                <w:color w:val="auto"/>
              </w:rPr>
              <w:t>62,883</w:t>
            </w:r>
          </w:p>
        </w:tc>
        <w:tc>
          <w:tcPr>
            <w:tcW w:w="1620" w:type="dxa"/>
            <w:vAlign w:val="bottom"/>
          </w:tcPr>
          <w:p>
            <w:pPr>
              <w:jc w:val="right"/>
              <w:ind w:right="731"/>
              <w:spacing w:after="0"/>
              <w:rPr>
                <w:sz w:val="20"/>
                <w:szCs w:val="20"/>
                <w:color w:val="auto"/>
              </w:rPr>
            </w:pPr>
            <w:r>
              <w:rPr>
                <w:rFonts w:ascii="Arial" w:cs="Arial" w:eastAsia="Arial" w:hAnsi="Arial"/>
                <w:sz w:val="18"/>
                <w:szCs w:val="18"/>
                <w:color w:val="auto"/>
              </w:rPr>
              <w:t>1.67</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15,027</w:t>
            </w:r>
          </w:p>
        </w:tc>
        <w:tc>
          <w:tcPr>
            <w:tcW w:w="1280" w:type="dxa"/>
            <w:vAlign w:val="bottom"/>
          </w:tcPr>
          <w:p>
            <w:pPr>
              <w:jc w:val="right"/>
              <w:spacing w:after="0"/>
              <w:rPr>
                <w:sz w:val="20"/>
                <w:szCs w:val="20"/>
                <w:color w:val="auto"/>
              </w:rPr>
            </w:pPr>
            <w:r>
              <w:rPr>
                <w:rFonts w:ascii="Arial" w:cs="Arial" w:eastAsia="Arial" w:hAnsi="Arial"/>
                <w:sz w:val="18"/>
                <w:szCs w:val="18"/>
                <w:color w:val="auto"/>
              </w:rPr>
              <w:t>60,953</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9,880</w:t>
            </w:r>
          </w:p>
        </w:tc>
        <w:tc>
          <w:tcPr>
            <w:tcW w:w="1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117,064</w:t>
            </w:r>
          </w:p>
        </w:tc>
        <w:tc>
          <w:tcPr>
            <w:tcW w:w="16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rPr>
              <w:t>4.70</w:t>
            </w: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10,523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124,020</w:t>
            </w:r>
          </w:p>
        </w:tc>
        <w:tc>
          <w:tcPr>
            <w:tcW w:w="14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4.73</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foreign office</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4,324</w:t>
            </w: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55,666</w:t>
            </w:r>
          </w:p>
        </w:tc>
        <w:tc>
          <w:tcPr>
            <w:tcW w:w="16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5.11</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3,706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48,001</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5.19</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interest-bearing deposits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29,576</w:t>
            </w:r>
          </w:p>
        </w:tc>
        <w:tc>
          <w:tcPr>
            <w:tcW w:w="16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236,595</w:t>
            </w:r>
          </w:p>
        </w:tc>
        <w:tc>
          <w:tcPr>
            <w:tcW w:w="16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3.17</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29,709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233,998</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3.16</w:t>
            </w: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Short-term borrowings</w:t>
            </w:r>
          </w:p>
        </w:tc>
        <w:tc>
          <w:tcPr>
            <w:tcW w:w="460" w:type="dxa"/>
            <w:vAlign w:val="bottom"/>
          </w:tcPr>
          <w:p>
            <w:pPr>
              <w:spacing w:after="0"/>
              <w:rPr>
                <w:sz w:val="19"/>
                <w:szCs w:val="19"/>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5,228</w:t>
            </w:r>
          </w:p>
        </w:tc>
        <w:tc>
          <w:tcPr>
            <w:tcW w:w="1600" w:type="dxa"/>
            <w:vAlign w:val="bottom"/>
          </w:tcPr>
          <w:p>
            <w:pPr>
              <w:jc w:val="right"/>
              <w:ind w:right="331"/>
              <w:spacing w:after="0"/>
              <w:rPr>
                <w:sz w:val="20"/>
                <w:szCs w:val="20"/>
                <w:color w:val="auto"/>
              </w:rPr>
            </w:pPr>
            <w:r>
              <w:rPr>
                <w:rFonts w:ascii="Arial" w:cs="Arial" w:eastAsia="Arial" w:hAnsi="Arial"/>
                <w:sz w:val="18"/>
                <w:szCs w:val="18"/>
                <w:color w:val="auto"/>
              </w:rPr>
              <w:t>68,376</w:t>
            </w:r>
          </w:p>
        </w:tc>
        <w:tc>
          <w:tcPr>
            <w:tcW w:w="1620" w:type="dxa"/>
            <w:vAlign w:val="bottom"/>
          </w:tcPr>
          <w:p>
            <w:pPr>
              <w:jc w:val="right"/>
              <w:ind w:right="731"/>
              <w:spacing w:after="0"/>
              <w:rPr>
                <w:sz w:val="20"/>
                <w:szCs w:val="20"/>
                <w:color w:val="auto"/>
              </w:rPr>
            </w:pPr>
            <w:r>
              <w:rPr>
                <w:rFonts w:ascii="Arial" w:cs="Arial" w:eastAsia="Arial" w:hAnsi="Arial"/>
                <w:sz w:val="18"/>
                <w:szCs w:val="18"/>
                <w:color w:val="auto"/>
              </w:rPr>
              <w:t>5.19</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5,555</w:t>
            </w:r>
          </w:p>
        </w:tc>
        <w:tc>
          <w:tcPr>
            <w:tcW w:w="1280" w:type="dxa"/>
            <w:vAlign w:val="bottom"/>
          </w:tcPr>
          <w:p>
            <w:pPr>
              <w:jc w:val="right"/>
              <w:spacing w:after="0"/>
              <w:rPr>
                <w:sz w:val="20"/>
                <w:szCs w:val="20"/>
                <w:color w:val="auto"/>
              </w:rPr>
            </w:pPr>
            <w:r>
              <w:rPr>
                <w:rFonts w:ascii="Arial" w:cs="Arial" w:eastAsia="Arial" w:hAnsi="Arial"/>
                <w:sz w:val="18"/>
                <w:szCs w:val="18"/>
                <w:color w:val="auto"/>
              </w:rPr>
              <w:t>73,500</w:t>
            </w:r>
          </w:p>
        </w:tc>
        <w:tc>
          <w:tcPr>
            <w:tcW w:w="1460" w:type="dxa"/>
            <w:vAlign w:val="bottom"/>
          </w:tcPr>
          <w:p>
            <w:pPr>
              <w:jc w:val="right"/>
              <w:ind w:right="191"/>
              <w:spacing w:after="0"/>
              <w:rPr>
                <w:sz w:val="20"/>
                <w:szCs w:val="20"/>
                <w:color w:val="auto"/>
              </w:rPr>
            </w:pPr>
            <w:r>
              <w:rPr>
                <w:rFonts w:ascii="Arial" w:cs="Arial" w:eastAsia="Arial" w:hAnsi="Arial"/>
                <w:sz w:val="18"/>
                <w:szCs w:val="18"/>
                <w:color w:val="auto"/>
              </w:rPr>
              <w:t>5.31</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8,661</w:t>
            </w:r>
          </w:p>
        </w:tc>
        <w:tc>
          <w:tcPr>
            <w:tcW w:w="16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120,355</w:t>
            </w:r>
          </w:p>
        </w:tc>
        <w:tc>
          <w:tcPr>
            <w:tcW w:w="16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5.51</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7,905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108,766</w:t>
            </w: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5.52</w:t>
            </w: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interest-bearing liabilities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43,465</w:t>
            </w: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425,326</w:t>
            </w:r>
          </w:p>
        </w:tc>
        <w:tc>
          <w:tcPr>
            <w:tcW w:w="16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3.88</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43,169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416,264</w:t>
            </w:r>
          </w:p>
        </w:tc>
        <w:tc>
          <w:tcPr>
            <w:tcW w:w="14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3.87</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7,360</w:t>
            </w: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7,339</w:t>
            </w:r>
          </w:p>
        </w:tc>
        <w:tc>
          <w:tcPr>
            <w:tcW w:w="1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851</w:t>
            </w:r>
          </w:p>
        </w:tc>
        <w:tc>
          <w:tcPr>
            <w:tcW w:w="16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843</w:t>
            </w:r>
          </w:p>
        </w:tc>
        <w:tc>
          <w:tcPr>
            <w:tcW w:w="1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51,676</w:t>
            </w:r>
          </w:p>
        </w:tc>
        <w:tc>
          <w:tcPr>
            <w:tcW w:w="16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51,351</w:t>
            </w: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6,186</w:t>
            </w:r>
          </w:p>
        </w:tc>
        <w:tc>
          <w:tcPr>
            <w:tcW w:w="16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6,172</w:t>
            </w:r>
          </w:p>
        </w:tc>
        <w:tc>
          <w:tcPr>
            <w:tcW w:w="1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liabilities and stockholders’</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equity</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57,862</w:t>
            </w:r>
          </w:p>
        </w:tc>
        <w:tc>
          <w:tcPr>
            <w:tcW w:w="16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57,523</w:t>
            </w:r>
          </w:p>
        </w:tc>
        <w:tc>
          <w:tcPr>
            <w:tcW w:w="1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r>
      <w:tr>
        <w:trPr>
          <w:trHeight w:val="20"/>
        </w:trPr>
        <w:tc>
          <w:tcPr>
            <w:tcW w:w="3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interest spread</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31"/>
              <w:spacing w:after="0"/>
              <w:rPr>
                <w:sz w:val="20"/>
                <w:szCs w:val="20"/>
                <w:color w:val="auto"/>
              </w:rPr>
            </w:pPr>
            <w:r>
              <w:rPr>
                <w:rFonts w:ascii="Arial" w:cs="Arial" w:eastAsia="Arial" w:hAnsi="Arial"/>
                <w:sz w:val="18"/>
                <w:szCs w:val="18"/>
                <w:color w:val="auto"/>
              </w:rPr>
              <w:t>3.06</w:t>
            </w:r>
          </w:p>
        </w:tc>
        <w:tc>
          <w:tcPr>
            <w:tcW w:w="9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3.08</w:t>
            </w:r>
          </w:p>
        </w:tc>
      </w:tr>
      <w:tr>
        <w:trPr>
          <w:trHeight w:val="216"/>
        </w:trPr>
        <w:tc>
          <w:tcPr>
            <w:tcW w:w="20" w:type="dxa"/>
            <w:vAlign w:val="bottom"/>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rPr>
              <w:t>.59</w:t>
            </w:r>
          </w:p>
        </w:tc>
        <w:tc>
          <w:tcPr>
            <w:tcW w:w="9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.59</w:t>
            </w:r>
          </w:p>
        </w:tc>
      </w:tr>
      <w:tr>
        <w:trPr>
          <w:trHeight w:val="209"/>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interest income/margin on earning</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$472,800</w:t>
            </w:r>
          </w:p>
        </w:tc>
        <w:tc>
          <w:tcPr>
            <w:tcW w:w="162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3.65%</w:t>
            </w: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466,884</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3.67%</w:t>
            </w:r>
          </w:p>
        </w:tc>
      </w:tr>
      <w:tr>
        <w:trPr>
          <w:trHeight w:val="20"/>
        </w:trPr>
        <w:tc>
          <w:tcPr>
            <w:tcW w:w="2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20" w:firstLine="233"/>
        <w:spacing w:after="0" w:line="312" w:lineRule="auto"/>
        <w:tabs>
          <w:tab w:leader="none" w:pos="4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2008.</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2008 that have materially affected, or are reasonably likely to materially affect, M&amp;T’s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480" w:hanging="247"/>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20"/>
        </w:numPr>
        <w:rPr>
          <w:rFonts w:ascii="Arial" w:cs="Arial" w:eastAsia="Arial" w:hAnsi="Arial"/>
          <w:sz w:val="18"/>
          <w:szCs w:val="18"/>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02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100"/>
              <w:spacing w:after="0" w:line="123" w:lineRule="exact"/>
              <w:rPr>
                <w:sz w:val="20"/>
                <w:szCs w:val="20"/>
                <w:color w:val="auto"/>
              </w:rPr>
            </w:pPr>
            <w:r>
              <w:rPr>
                <w:rFonts w:ascii="Arial" w:cs="Arial" w:eastAsia="Arial" w:hAnsi="Arial"/>
                <w:sz w:val="14"/>
                <w:szCs w:val="14"/>
                <w:color w:val="auto"/>
                <w:w w:val="97"/>
              </w:rPr>
              <w:t>(d) 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(c) Total</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(or Units)</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 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Number</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(b) 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0"/>
              </w:rPr>
              <w:t>of Shares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0"/>
              </w:rPr>
              <w:t>Price 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7"/>
              </w:rPr>
              <w:t>per 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740" w:type="dxa"/>
            <w:vAlign w:val="bottom"/>
            <w:gridSpan w:val="3"/>
          </w:tcPr>
          <w:p>
            <w:pPr>
              <w:jc w:val="center"/>
              <w:ind w:left="1536"/>
              <w:spacing w:after="0"/>
              <w:rPr>
                <w:sz w:val="20"/>
                <w:szCs w:val="20"/>
                <w:color w:val="auto"/>
              </w:rPr>
            </w:pPr>
            <w:r>
              <w:rPr>
                <w:rFonts w:ascii="Arial" w:cs="Arial" w:eastAsia="Arial" w:hAnsi="Arial"/>
                <w:sz w:val="14"/>
                <w:szCs w:val="14"/>
                <w:color w:val="auto"/>
                <w:w w:val="90"/>
              </w:rPr>
              <w:t>Purchased (1)</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color w:val="auto"/>
                <w:w w:val="98"/>
              </w:rPr>
              <w:t>(or Unit)</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66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2008</w:t>
            </w:r>
          </w:p>
        </w:tc>
        <w:tc>
          <w:tcPr>
            <w:tcW w:w="3740" w:type="dxa"/>
            <w:vAlign w:val="bottom"/>
            <w:tcBorders>
              <w:top w:val="single" w:sz="8" w:color="auto"/>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2,309</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6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May 1 – May 31, 2008</w:t>
            </w:r>
          </w:p>
        </w:tc>
        <w:tc>
          <w:tcPr>
            <w:tcW w:w="3740" w:type="dxa"/>
            <w:vAlign w:val="bottom"/>
            <w:gridSpan w:val="3"/>
          </w:tcPr>
          <w:p>
            <w:pPr>
              <w:jc w:val="right"/>
              <w:ind w:right="660"/>
              <w:spacing w:after="0"/>
              <w:rPr>
                <w:sz w:val="20"/>
                <w:szCs w:val="20"/>
                <w:color w:val="auto"/>
              </w:rPr>
            </w:pPr>
            <w:r>
              <w:rPr>
                <w:rFonts w:ascii="Arial" w:cs="Arial" w:eastAsia="Arial" w:hAnsi="Arial"/>
                <w:sz w:val="18"/>
                <w:szCs w:val="18"/>
                <w:color w:val="auto"/>
              </w:rPr>
              <w:t>1,071</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93.27</w:t>
            </w:r>
          </w:p>
        </w:tc>
        <w:tc>
          <w:tcPr>
            <w:tcW w:w="68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June 1 – June 30, 2008</w:t>
            </w:r>
          </w:p>
        </w:tc>
        <w:tc>
          <w:tcPr>
            <w:tcW w:w="2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28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3,380</w:t>
            </w:r>
          </w:p>
        </w:tc>
        <w:tc>
          <w:tcPr>
            <w:tcW w:w="66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91.77</w:t>
            </w: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vMerge w:val="restart"/>
          </w:tcPr>
          <w:p>
            <w:pPr>
              <w:ind w:left="4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14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as is permitted under M&amp;T’s stock option plans.</w:t>
      </w:r>
    </w:p>
    <w:p>
      <w:pPr>
        <w:spacing w:after="0" w:line="1"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Information concerning the matters submitted to a vote of stockholders at M&amp;T’s Annual Meeting of Stockholders held on April 15, 2008 was previously reported in response to Item 4 of Part II of M&amp;T’s Quarterly Report on Form 10-Q for the quarter ended March 31,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640"/>
        <w:spacing w:after="0"/>
        <w:rPr>
          <w:sz w:val="20"/>
          <w:szCs w:val="20"/>
          <w:color w:val="auto"/>
        </w:rPr>
      </w:pPr>
      <w:r>
        <w:rPr>
          <w:rFonts w:ascii="Arial" w:cs="Arial" w:eastAsia="Arial" w:hAnsi="Arial"/>
          <w:sz w:val="14"/>
          <w:szCs w:val="14"/>
          <w:color w:val="auto"/>
        </w:rPr>
        <w:t>Exhibit</w:t>
      </w:r>
    </w:p>
    <w:p>
      <w:pPr>
        <w:jc w:val="center"/>
        <w:ind w:right="106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90"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Chief Executive Officer under Section 302 of the Sarbanes-Oxley Act of 2002. Filed herewith.</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Chief Financial Officer under Section 302 of the Sarbanes-Oxley Act of 2002. Filed herewith.</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 Filed herewith.</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July 31, 2008</w:t>
      </w:r>
      <w:r>
        <w:rPr>
          <w:sz w:val="20"/>
          <w:szCs w:val="20"/>
          <w:color w:val="auto"/>
        </w:rPr>
        <w:tab/>
      </w:r>
      <w:r>
        <w:rPr>
          <w:rFonts w:ascii="Arial" w:cs="Arial" w:eastAsia="Arial" w:hAnsi="Arial"/>
          <w:sz w:val="16"/>
          <w:szCs w:val="16"/>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2023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 Chief Financial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jc w:val="center"/>
        <w:ind w:right="10180"/>
        <w:spacing w:after="0"/>
        <w:rPr>
          <w:sz w:val="20"/>
          <w:szCs w:val="20"/>
          <w:color w:val="auto"/>
        </w:rPr>
      </w:pPr>
      <w:r>
        <w:rPr>
          <w:rFonts w:ascii="Arial" w:cs="Arial" w:eastAsia="Arial" w:hAnsi="Arial"/>
          <w:sz w:val="14"/>
          <w:szCs w:val="14"/>
          <w:color w:val="auto"/>
        </w:rPr>
        <w:t>Exhibit</w:t>
      </w:r>
    </w:p>
    <w:p>
      <w:pPr>
        <w:jc w:val="center"/>
        <w:ind w:right="1018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90"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ind w:left="700" w:right="40" w:hanging="5422"/>
        <w:spacing w:after="0" w:line="496" w:lineRule="auto"/>
        <w:tabs>
          <w:tab w:leader="none" w:pos="680" w:val="left"/>
        </w:tabs>
        <w:rPr>
          <w:sz w:val="20"/>
          <w:szCs w:val="20"/>
          <w:color w:val="auto"/>
        </w:rPr>
      </w:pPr>
      <w:r>
        <w:rPr>
          <w:rFonts w:ascii="Arial" w:cs="Arial" w:eastAsia="Arial" w:hAnsi="Arial"/>
          <w:sz w:val="18"/>
          <w:szCs w:val="18"/>
          <w:color w:val="auto"/>
        </w:rPr>
        <w:t>32.2</w:t>
        <w:tab/>
        <w:t>Certification of Chief Financial Officer under 18 U.S.C. §1350 pursuant to Section 906 of the Sarbanes-Oxley Act of 2002. Filed herewith. -67-</w:t>
      </w:r>
    </w:p>
    <w:p>
      <w:pPr>
        <w:sectPr>
          <w:pgSz w:w="11900" w:h="16838" w:orient="portrait"/>
          <w:cols w:equalWidth="0" w:num="1">
            <w:col w:w="10760"/>
          </w:cols>
          <w:pgMar w:left="240" w:top="419" w:right="8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right="240" w:hanging="272"/>
        <w:spacing w:after="0" w:line="264"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280" w:right="140" w:hanging="272"/>
        <w:spacing w:after="0" w:line="264"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280" w:right="360" w:hanging="272"/>
        <w:spacing w:after="0" w:line="308" w:lineRule="auto"/>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280" w:right="240" w:hanging="272"/>
        <w:spacing w:after="0" w:line="277"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2008</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907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Robert G. Wilmers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right="240" w:hanging="272"/>
        <w:spacing w:after="0" w:line="26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280" w:right="140" w:hanging="272"/>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280" w:right="20" w:hanging="272"/>
        <w:spacing w:after="0" w:line="277"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280" w:right="360" w:hanging="272"/>
        <w:spacing w:after="0" w:line="308" w:lineRule="auto"/>
        <w:tabs>
          <w:tab w:leader="none" w:pos="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280" w:right="240" w:hanging="272"/>
        <w:spacing w:after="0" w:line="277"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2008</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907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660" w:right="160" w:hanging="43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2008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4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660" w:right="160" w:hanging="43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2008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509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lowerRoman"/>
      <w:start w:val="3"/>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3"/>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2019-12-11T12:01:39Z</dcterms:created>
  <dcterms:modified xsi:type="dcterms:W3CDTF">2019-12-11T12:01:39Z</dcterms:modified>
</cp:coreProperties>
</file>