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90"/>
              </w:rPr>
              <w:t>New York</w:t>
            </w:r>
          </w:p>
        </w:tc>
        <w:tc>
          <w:tcPr>
            <w:tcW w:w="5140" w:type="dxa"/>
            <w:vAlign w:val="bottom"/>
          </w:tcPr>
          <w:p>
            <w:pPr>
              <w:jc w:val="right"/>
              <w:ind w:right="44"/>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4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94"/>
              </w:rPr>
              <w:t>One M &amp; T Plaza</w:t>
            </w:r>
          </w:p>
        </w:tc>
        <w:tc>
          <w:tcPr>
            <w:tcW w:w="5140" w:type="dxa"/>
            <w:vAlign w:val="bottom"/>
          </w:tcPr>
          <w:p>
            <w:pPr>
              <w:spacing w:after="0"/>
              <w:rPr>
                <w:sz w:val="24"/>
                <w:szCs w:val="24"/>
                <w:color w:val="auto"/>
              </w:rPr>
            </w:pPr>
          </w:p>
        </w:tc>
      </w:tr>
      <w:tr>
        <w:trPr>
          <w:trHeight w:val="231"/>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Buffalo, New York</w:t>
            </w:r>
          </w:p>
        </w:tc>
        <w:tc>
          <w:tcPr>
            <w:tcW w:w="5140" w:type="dxa"/>
            <w:vAlign w:val="bottom"/>
          </w:tcPr>
          <w:p>
            <w:pPr>
              <w:jc w:val="right"/>
              <w:ind w:right="244"/>
              <w:spacing w:after="0"/>
              <w:rPr>
                <w:sz w:val="20"/>
                <w:szCs w:val="20"/>
                <w:color w:val="auto"/>
              </w:rPr>
            </w:pPr>
            <w:r>
              <w:rPr>
                <w:rFonts w:ascii="Arial" w:cs="Arial" w:eastAsia="Arial" w:hAnsi="Arial"/>
                <w:sz w:val="18"/>
                <w:szCs w:val="18"/>
                <w:b w:val="1"/>
                <w:bCs w:val="1"/>
                <w:color w:val="auto"/>
              </w:rPr>
              <w:t>14203</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140" w:type="dxa"/>
            <w:vAlign w:val="bottom"/>
          </w:tcPr>
          <w:p>
            <w:pPr>
              <w:jc w:val="right"/>
              <w:ind w:right="2884"/>
              <w:spacing w:after="0"/>
              <w:rPr>
                <w:sz w:val="20"/>
                <w:szCs w:val="20"/>
                <w:color w:val="auto"/>
              </w:rPr>
            </w:pPr>
            <w:r>
              <w:rPr>
                <w:rFonts w:ascii="Arial" w:cs="Arial" w:eastAsia="Arial" w:hAnsi="Arial"/>
                <w:sz w:val="18"/>
                <w:szCs w:val="18"/>
                <w:b w:val="1"/>
                <w:bCs w:val="1"/>
                <w:color w:val="auto"/>
              </w:rPr>
              <w:t>(716) 842-5445</w:t>
            </w:r>
          </w:p>
        </w:tc>
      </w:tr>
      <w:tr>
        <w:trPr>
          <w:trHeight w:val="174"/>
        </w:trPr>
        <w:tc>
          <w:tcPr>
            <w:tcW w:w="2340" w:type="dxa"/>
            <w:vAlign w:val="bottom"/>
          </w:tcPr>
          <w:p>
            <w:pPr>
              <w:spacing w:after="0"/>
              <w:rPr>
                <w:sz w:val="15"/>
                <w:szCs w:val="15"/>
                <w:color w:val="auto"/>
              </w:rPr>
            </w:pPr>
          </w:p>
        </w:tc>
        <w:tc>
          <w:tcPr>
            <w:tcW w:w="51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7940" w:space="160"/>
            <w:col w:w="160" w:space="80"/>
            <w:col w:w="260" w:space="180"/>
            <w:col w:w="160" w:space="80"/>
            <w:col w:w="240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October 31, 2011: 125,626,022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September 30,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40" w:type="dxa"/>
            <w:vAlign w:val="bottom"/>
            <w:tcBorders>
              <w:bottom w:val="single" w:sz="8" w:color="auto"/>
            </w:tcBorders>
            <w:gridSpan w:val="12"/>
          </w:tcPr>
          <w:p>
            <w:pPr>
              <w:spacing w:after="0"/>
              <w:rPr>
                <w:sz w:val="20"/>
                <w:szCs w:val="20"/>
                <w:color w:val="auto"/>
              </w:rPr>
            </w:pPr>
            <w:r>
              <w:rPr>
                <w:rFonts w:ascii="Arial" w:cs="Arial" w:eastAsia="Arial" w:hAnsi="Arial"/>
                <w:sz w:val="14"/>
                <w:szCs w:val="14"/>
                <w:color w:val="auto"/>
                <w:w w:val="93"/>
              </w:rPr>
              <w:t>Table of Contents of Information Required in Report</w:t>
            </w:r>
          </w:p>
        </w:tc>
        <w:tc>
          <w:tcPr>
            <w:tcW w:w="7960" w:type="dxa"/>
            <w:vAlign w:val="bottom"/>
            <w:gridSpan w:val="11"/>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257"/>
        </w:trPr>
        <w:tc>
          <w:tcPr>
            <w:tcW w:w="110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320" w:type="dxa"/>
            <w:vAlign w:val="bottom"/>
          </w:tcPr>
          <w:p>
            <w:pPr>
              <w:spacing w:after="0"/>
              <w:rPr>
                <w:sz w:val="22"/>
                <w:szCs w:val="22"/>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26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BALANCE SHEET - September 30, 2011 and December 31, 2010</w:t>
              </w:r>
            </w:hyperlink>
          </w:p>
        </w:tc>
        <w:tc>
          <w:tcPr>
            <w:tcW w:w="370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and nine months ended September 30, 2011 and 2010</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60" w:type="dxa"/>
            <w:vAlign w:val="bottom"/>
            <w:tcBorders>
              <w:top w:val="single" w:sz="8" w:color="0000EE"/>
            </w:tcBorders>
            <w:gridSpan w:val="19"/>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 OF CASH FLOWS - Nine months ended September 30, 2011 and 2010</w:t>
              </w:r>
            </w:hyperlink>
          </w:p>
        </w:tc>
        <w:tc>
          <w:tcPr>
            <w:tcW w:w="20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 OF CHANGES IN SHAREHOLDERS’ EQUITY - Nine months ended September 30, 2011 and 2010</w:t>
              </w:r>
            </w:hyperlink>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78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44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Controls and Procedures.</w:t>
              </w:r>
            </w:hyperlink>
          </w:p>
        </w:tc>
        <w:tc>
          <w:tcPr>
            <w:tcW w:w="80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04"/>
        </w:trPr>
        <w:tc>
          <w:tcPr>
            <w:tcW w:w="23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Part II. OTHER INFORMATION</w:t>
              </w:r>
            </w:hyperlink>
          </w:p>
        </w:tc>
        <w:tc>
          <w:tcPr>
            <w:tcW w:w="8620" w:type="dxa"/>
            <w:vAlign w:val="bottom"/>
            <w:gridSpan w:val="17"/>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978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9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110">
              <w:r>
                <w:rPr>
                  <w:rFonts w:ascii="Arial" w:cs="Arial" w:eastAsia="Arial" w:hAnsi="Arial"/>
                  <w:sz w:val="18"/>
                  <w:szCs w:val="18"/>
                  <w:color w:val="0000EE"/>
                  <w:w w:val="87"/>
                </w:rPr>
                <w:t>Risk Factors.</w:t>
              </w:r>
            </w:hyperlink>
          </w:p>
        </w:tc>
        <w:tc>
          <w:tcPr>
            <w:tcW w:w="400" w:type="dxa"/>
            <w:vAlign w:val="bottom"/>
            <w:tcBorders>
              <w:top w:val="single" w:sz="8" w:color="0000EE"/>
            </w:tcBorders>
            <w:gridSpan w:val="3"/>
          </w:tcPr>
          <w:p>
            <w:pPr>
              <w:spacing w:after="0"/>
              <w:rPr>
                <w:sz w:val="24"/>
                <w:szCs w:val="24"/>
                <w:color w:val="auto"/>
              </w:rPr>
            </w:pPr>
          </w:p>
        </w:tc>
        <w:tc>
          <w:tcPr>
            <w:tcW w:w="844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78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Unregistered Sales of Equity Securities and 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50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18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(Removed and Reserved).</w:t>
              </w:r>
            </w:hyperlink>
          </w:p>
        </w:tc>
        <w:tc>
          <w:tcPr>
            <w:tcW w:w="794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5.</w:t>
            </w:r>
          </w:p>
        </w:tc>
        <w:tc>
          <w:tcPr>
            <w:tcW w:w="978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Exhibits.</w:t>
              </w:r>
            </w:hyperlink>
          </w:p>
        </w:tc>
        <w:tc>
          <w:tcPr>
            <w:tcW w:w="846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r>
      <w:tr>
        <w:trPr>
          <w:trHeight w:val="304"/>
        </w:trPr>
        <w:tc>
          <w:tcPr>
            <w:tcW w:w="1220" w:type="dxa"/>
            <w:vAlign w:val="bottom"/>
            <w:gridSpan w:val="2"/>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SIGNATURES</w:t>
              </w:r>
            </w:hyperlink>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r>
      <w:tr>
        <w:trPr>
          <w:trHeight w:val="20"/>
        </w:trPr>
        <w:tc>
          <w:tcPr>
            <w:tcW w:w="10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700" w:type="dxa"/>
            <w:vAlign w:val="bottom"/>
            <w:gridSpan w:val="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13">
              <w:r>
                <w:rPr>
                  <w:rFonts w:ascii="Arial" w:cs="Arial" w:eastAsia="Arial" w:hAnsi="Arial"/>
                  <w:sz w:val="18"/>
                  <w:szCs w:val="18"/>
                  <w:color w:val="0000EE"/>
                  <w:w w:val="98"/>
                </w:rPr>
                <w:t>EXHIBIT INDEX</w:t>
              </w:r>
            </w:hyperlink>
          </w:p>
        </w:tc>
        <w:tc>
          <w:tcPr>
            <w:tcW w:w="9700" w:type="dxa"/>
            <w:vAlign w:val="bottom"/>
            <w:gridSpan w:val="2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83"/>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80" w:type="dxa"/>
            <w:vAlign w:val="bottom"/>
            <w:gridSpan w:val="16"/>
          </w:tcPr>
          <w:p>
            <w:pPr>
              <w:ind w:left="4340"/>
              <w:spacing w:after="0"/>
              <w:rPr>
                <w:sz w:val="20"/>
                <w:szCs w:val="20"/>
                <w:color w:val="auto"/>
              </w:rPr>
            </w:pPr>
            <w:r>
              <w:rPr>
                <w:rFonts w:ascii="Arial" w:cs="Arial" w:eastAsia="Arial" w:hAnsi="Arial"/>
                <w:sz w:val="18"/>
                <w:szCs w:val="18"/>
                <w:color w:val="auto"/>
              </w:rPr>
              <w:t>- 2 -</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1100" w:type="dxa"/>
            <w:vAlign w:val="bottom"/>
            <w:gridSpan w:val="2"/>
          </w:tcPr>
          <w:p>
            <w:pPr>
              <w:jc w:val="right"/>
              <w:ind w:right="133"/>
              <w:spacing w:after="0"/>
              <w:rPr>
                <w:sz w:val="20"/>
                <w:szCs w:val="20"/>
                <w:color w:val="auto"/>
              </w:rPr>
            </w:pPr>
            <w:r>
              <w:rPr>
                <w:rFonts w:ascii="Arial" w:cs="Arial" w:eastAsia="Arial" w:hAnsi="Arial"/>
                <w:sz w:val="14"/>
                <w:szCs w:val="14"/>
                <w:color w:val="auto"/>
                <w:w w:val="93"/>
              </w:rPr>
              <w:t>September 30,</w:t>
            </w:r>
          </w:p>
        </w:tc>
        <w:tc>
          <w:tcPr>
            <w:tcW w:w="1020" w:type="dxa"/>
            <w:vAlign w:val="bottom"/>
          </w:tcPr>
          <w:p>
            <w:pPr>
              <w:jc w:val="right"/>
              <w:ind w:right="73"/>
              <w:spacing w:after="0"/>
              <w:rPr>
                <w:sz w:val="20"/>
                <w:szCs w:val="20"/>
                <w:color w:val="auto"/>
              </w:rPr>
            </w:pPr>
            <w:r>
              <w:rPr>
                <w:rFonts w:ascii="Arial" w:cs="Arial" w:eastAsia="Arial" w:hAnsi="Arial"/>
                <w:sz w:val="14"/>
                <w:szCs w:val="14"/>
                <w:color w:val="auto"/>
                <w:w w:val="95"/>
              </w:rPr>
              <w:t>December 31,</w:t>
            </w:r>
          </w:p>
        </w:tc>
      </w:tr>
      <w:tr>
        <w:trPr>
          <w:trHeight w:val="173"/>
        </w:trPr>
        <w:tc>
          <w:tcPr>
            <w:tcW w:w="93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2011</w:t>
            </w: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2010</w:t>
            </w: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9300" w:type="dxa"/>
            <w:vAlign w:val="bottom"/>
          </w:tcPr>
          <w:p>
            <w:pPr>
              <w:ind w:left="900"/>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97"/>
              </w:rPr>
              <w:t>1,349,057</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908,755</w:t>
            </w:r>
          </w:p>
        </w:tc>
      </w:tr>
      <w:tr>
        <w:trPr>
          <w:trHeight w:val="216"/>
        </w:trPr>
        <w:tc>
          <w:tcPr>
            <w:tcW w:w="9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Interest-bearing deposits at banks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2,226,779</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101,222</w:t>
            </w:r>
          </w:p>
        </w:tc>
      </w:tr>
      <w:tr>
        <w:trPr>
          <w:trHeight w:val="216"/>
        </w:trPr>
        <w:tc>
          <w:tcPr>
            <w:tcW w:w="9300" w:type="dxa"/>
            <w:vAlign w:val="bottom"/>
          </w:tcPr>
          <w:p>
            <w:pPr>
              <w:ind w:left="900"/>
              <w:spacing w:after="0"/>
              <w:rPr>
                <w:sz w:val="20"/>
                <w:szCs w:val="20"/>
                <w:color w:val="auto"/>
              </w:rPr>
            </w:pPr>
            <w:r>
              <w:rPr>
                <w:rFonts w:ascii="Arial" w:cs="Arial" w:eastAsia="Arial" w:hAnsi="Arial"/>
                <w:sz w:val="18"/>
                <w:szCs w:val="18"/>
                <w:color w:val="auto"/>
              </w:rPr>
              <w:t>Federal funds sold</w:t>
            </w:r>
          </w:p>
        </w:tc>
        <w:tc>
          <w:tcPr>
            <w:tcW w:w="14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5,000</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25,000</w:t>
            </w:r>
          </w:p>
        </w:tc>
      </w:tr>
      <w:tr>
        <w:trPr>
          <w:trHeight w:val="216"/>
        </w:trPr>
        <w:tc>
          <w:tcPr>
            <w:tcW w:w="9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Trading account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605,557</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523,834</w:t>
            </w:r>
          </w:p>
        </w:tc>
      </w:tr>
      <w:tr>
        <w:trPr>
          <w:trHeight w:val="208"/>
        </w:trPr>
        <w:tc>
          <w:tcPr>
            <w:tcW w:w="9300" w:type="dxa"/>
            <w:vAlign w:val="bottom"/>
          </w:tcPr>
          <w:p>
            <w:pPr>
              <w:ind w:left="900"/>
              <w:spacing w:after="0"/>
              <w:rPr>
                <w:sz w:val="20"/>
                <w:szCs w:val="20"/>
                <w:color w:val="auto"/>
              </w:rPr>
            </w:pPr>
            <w:r>
              <w:rPr>
                <w:rFonts w:ascii="Arial" w:cs="Arial" w:eastAsia="Arial" w:hAnsi="Arial"/>
                <w:sz w:val="18"/>
                <w:szCs w:val="18"/>
                <w:color w:val="auto"/>
                <w:w w:val="88"/>
              </w:rPr>
              <w:t>Investment securities (includes pledged securities that can be sold or repledged of $1,876,435 at September 30, 2011;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9300" w:type="dxa"/>
            <w:vAlign w:val="bottom"/>
          </w:tcPr>
          <w:p>
            <w:pPr>
              <w:ind w:left="1120"/>
              <w:spacing w:after="0"/>
              <w:rPr>
                <w:sz w:val="20"/>
                <w:szCs w:val="20"/>
                <w:color w:val="auto"/>
              </w:rPr>
            </w:pPr>
            <w:r>
              <w:rPr>
                <w:rFonts w:ascii="Arial" w:cs="Arial" w:eastAsia="Arial" w:hAnsi="Arial"/>
                <w:sz w:val="18"/>
                <w:szCs w:val="18"/>
                <w:color w:val="auto"/>
              </w:rPr>
              <w:t>$1,937,817 at December 31, 2010)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7"/>
        </w:trPr>
        <w:tc>
          <w:tcPr>
            <w:tcW w:w="93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Available for sale (cost: $5,717,180 at September 30, 2011; $5,494,377 at December 31, 2010)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5,635,878</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5,413,492</w:t>
            </w:r>
          </w:p>
        </w:tc>
      </w:tr>
      <w:tr>
        <w:trPr>
          <w:trHeight w:val="216"/>
        </w:trPr>
        <w:tc>
          <w:tcPr>
            <w:tcW w:w="9300" w:type="dxa"/>
            <w:vAlign w:val="bottom"/>
          </w:tcPr>
          <w:p>
            <w:pPr>
              <w:ind w:left="1340"/>
              <w:spacing w:after="0"/>
              <w:rPr>
                <w:sz w:val="20"/>
                <w:szCs w:val="20"/>
                <w:color w:val="auto"/>
              </w:rPr>
            </w:pPr>
            <w:r>
              <w:rPr>
                <w:rFonts w:ascii="Arial" w:cs="Arial" w:eastAsia="Arial" w:hAnsi="Arial"/>
                <w:sz w:val="18"/>
                <w:szCs w:val="18"/>
                <w:color w:val="auto"/>
              </w:rPr>
              <w:t>Held to maturity (fair value: $1,097,215 at September 30, 2011; $1,225,253 at December 31, 2010)</w:t>
            </w:r>
          </w:p>
        </w:tc>
        <w:tc>
          <w:tcPr>
            <w:tcW w:w="14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97"/>
              </w:rPr>
              <w:t>1,161,837</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1,324,339</w:t>
            </w:r>
          </w:p>
        </w:tc>
      </w:tr>
      <w:tr>
        <w:trPr>
          <w:trHeight w:val="216"/>
        </w:trPr>
        <w:tc>
          <w:tcPr>
            <w:tcW w:w="930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Other (fair value: $376,082 at September 30, 2011; $412,709 at December 31, 2010)</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376,082</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412,709</w:t>
            </w:r>
          </w:p>
        </w:tc>
      </w:tr>
      <w:tr>
        <w:trPr>
          <w:trHeight w:val="210"/>
        </w:trPr>
        <w:tc>
          <w:tcPr>
            <w:tcW w:w="930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Total investment securities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7"/>
              </w:rPr>
              <w:t>7,173,797</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7,150,540</w:t>
            </w:r>
          </w:p>
        </w:tc>
      </w:tr>
      <w:tr>
        <w:trPr>
          <w:trHeight w:val="210"/>
        </w:trPr>
        <w:tc>
          <w:tcPr>
            <w:tcW w:w="9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Loans and leases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6"/>
              </w:rPr>
              <w:t>58,694,038</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52,315,942</w:t>
            </w:r>
          </w:p>
        </w:tc>
      </w:tr>
      <w:tr>
        <w:trPr>
          <w:trHeight w:val="216"/>
        </w:trPr>
        <w:tc>
          <w:tcPr>
            <w:tcW w:w="93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Unearned discount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(292,774)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(325,560)</w:t>
            </w:r>
          </w:p>
        </w:tc>
      </w:tr>
      <w:tr>
        <w:trPr>
          <w:trHeight w:val="210"/>
        </w:trPr>
        <w:tc>
          <w:tcPr>
            <w:tcW w:w="930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Loans and leases, net of unearned discount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6"/>
              </w:rPr>
              <w:t>58,401,264</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51,990,382</w:t>
            </w:r>
          </w:p>
        </w:tc>
      </w:tr>
      <w:tr>
        <w:trPr>
          <w:trHeight w:val="216"/>
        </w:trPr>
        <w:tc>
          <w:tcPr>
            <w:tcW w:w="93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(908,525)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(902,941)</w:t>
            </w:r>
          </w:p>
        </w:tc>
      </w:tr>
      <w:tr>
        <w:trPr>
          <w:trHeight w:val="210"/>
        </w:trPr>
        <w:tc>
          <w:tcPr>
            <w:tcW w:w="9300" w:type="dxa"/>
            <w:vAlign w:val="bottom"/>
            <w:tcBorders>
              <w:bottom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Loans and leases, net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6"/>
              </w:rPr>
              <w:t>57,492,739</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51,087,441</w:t>
            </w:r>
          </w:p>
        </w:tc>
      </w:tr>
      <w:tr>
        <w:trPr>
          <w:trHeight w:val="210"/>
        </w:trPr>
        <w:tc>
          <w:tcPr>
            <w:tcW w:w="9300" w:type="dxa"/>
            <w:vAlign w:val="bottom"/>
          </w:tcPr>
          <w:p>
            <w:pPr>
              <w:ind w:left="900"/>
              <w:spacing w:after="0"/>
              <w:rPr>
                <w:sz w:val="20"/>
                <w:szCs w:val="20"/>
                <w:color w:val="auto"/>
              </w:rPr>
            </w:pPr>
            <w:r>
              <w:rPr>
                <w:rFonts w:ascii="Arial" w:cs="Arial" w:eastAsia="Arial" w:hAnsi="Arial"/>
                <w:sz w:val="18"/>
                <w:szCs w:val="18"/>
                <w:color w:val="auto"/>
              </w:rPr>
              <w:t>Premises and equipment</w:t>
            </w:r>
          </w:p>
        </w:tc>
        <w:tc>
          <w:tcPr>
            <w:tcW w:w="14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569,495</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435,837</w:t>
            </w:r>
          </w:p>
        </w:tc>
      </w:tr>
      <w:tr>
        <w:trPr>
          <w:trHeight w:val="216"/>
        </w:trPr>
        <w:tc>
          <w:tcPr>
            <w:tcW w:w="9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3,524,625</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3,524,625</w:t>
            </w:r>
          </w:p>
        </w:tc>
      </w:tr>
      <w:tr>
        <w:trPr>
          <w:trHeight w:val="216"/>
        </w:trPr>
        <w:tc>
          <w:tcPr>
            <w:tcW w:w="9300" w:type="dxa"/>
            <w:vAlign w:val="bottom"/>
          </w:tcPr>
          <w:p>
            <w:pPr>
              <w:ind w:left="900"/>
              <w:spacing w:after="0"/>
              <w:rPr>
                <w:sz w:val="20"/>
                <w:szCs w:val="20"/>
                <w:color w:val="auto"/>
              </w:rPr>
            </w:pPr>
            <w:r>
              <w:rPr>
                <w:rFonts w:ascii="Arial" w:cs="Arial" w:eastAsia="Arial" w:hAnsi="Arial"/>
                <w:sz w:val="18"/>
                <w:szCs w:val="18"/>
                <w:color w:val="auto"/>
              </w:rPr>
              <w:t>Core deposit and other intangible assets</w:t>
            </w:r>
          </w:p>
        </w:tc>
        <w:tc>
          <w:tcPr>
            <w:tcW w:w="14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257,656</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125,917</w:t>
            </w:r>
          </w:p>
        </w:tc>
      </w:tr>
      <w:tr>
        <w:trPr>
          <w:trHeight w:val="216"/>
        </w:trPr>
        <w:tc>
          <w:tcPr>
            <w:tcW w:w="93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Accrued interest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4,659,186</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4,138,092</w:t>
            </w:r>
          </w:p>
        </w:tc>
      </w:tr>
      <w:tr>
        <w:trPr>
          <w:trHeight w:val="217"/>
        </w:trPr>
        <w:tc>
          <w:tcPr>
            <w:tcW w:w="930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77,863,891</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68,021,263</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9300" w:type="dxa"/>
            <w:vAlign w:val="bottom"/>
          </w:tcPr>
          <w:p>
            <w:pPr>
              <w:ind w:left="900"/>
              <w:spacing w:after="0"/>
              <w:rPr>
                <w:sz w:val="20"/>
                <w:szCs w:val="20"/>
                <w:color w:val="auto"/>
              </w:rPr>
            </w:pPr>
            <w:r>
              <w:rPr>
                <w:rFonts w:ascii="Arial" w:cs="Arial" w:eastAsia="Arial" w:hAnsi="Arial"/>
                <w:sz w:val="18"/>
                <w:szCs w:val="18"/>
                <w:color w:val="auto"/>
              </w:rPr>
              <w:t>Noninterest-bearing deposits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86"/>
              </w:rPr>
              <w:t>19,637,491</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14,557,568</w:t>
            </w:r>
          </w:p>
        </w:tc>
      </w:tr>
      <w:tr>
        <w:trPr>
          <w:trHeight w:val="216"/>
        </w:trPr>
        <w:tc>
          <w:tcPr>
            <w:tcW w:w="9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NOW accounts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1,754,873</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1,393,349</w:t>
            </w:r>
          </w:p>
        </w:tc>
      </w:tr>
      <w:tr>
        <w:trPr>
          <w:trHeight w:val="216"/>
        </w:trPr>
        <w:tc>
          <w:tcPr>
            <w:tcW w:w="9300" w:type="dxa"/>
            <w:vAlign w:val="bottom"/>
          </w:tcPr>
          <w:p>
            <w:pPr>
              <w:ind w:left="900"/>
              <w:spacing w:after="0"/>
              <w:rPr>
                <w:sz w:val="20"/>
                <w:szCs w:val="20"/>
                <w:color w:val="auto"/>
              </w:rPr>
            </w:pPr>
            <w:r>
              <w:rPr>
                <w:rFonts w:ascii="Arial" w:cs="Arial" w:eastAsia="Arial" w:hAnsi="Arial"/>
                <w:sz w:val="18"/>
                <w:szCs w:val="18"/>
                <w:color w:val="auto"/>
              </w:rPr>
              <w:t>Savings deposits</w:t>
            </w:r>
          </w:p>
        </w:tc>
        <w:tc>
          <w:tcPr>
            <w:tcW w:w="14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86"/>
              </w:rPr>
              <w:t>30,797,655</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26,431,281</w:t>
            </w:r>
          </w:p>
        </w:tc>
      </w:tr>
      <w:tr>
        <w:trPr>
          <w:trHeight w:val="216"/>
        </w:trPr>
        <w:tc>
          <w:tcPr>
            <w:tcW w:w="9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Time deposits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6,777,499</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5,817,170</w:t>
            </w:r>
          </w:p>
        </w:tc>
      </w:tr>
      <w:tr>
        <w:trPr>
          <w:trHeight w:val="216"/>
        </w:trPr>
        <w:tc>
          <w:tcPr>
            <w:tcW w:w="93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514,871</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1,605,916</w:t>
            </w:r>
          </w:p>
        </w:tc>
      </w:tr>
      <w:tr>
        <w:trPr>
          <w:trHeight w:val="210"/>
        </w:trPr>
        <w:tc>
          <w:tcPr>
            <w:tcW w:w="9300" w:type="dxa"/>
            <w:vAlign w:val="bottom"/>
            <w:tcBorders>
              <w:bottom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Total deposits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6"/>
              </w:rPr>
              <w:t>59,482,389</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49,805,284</w:t>
            </w:r>
          </w:p>
        </w:tc>
      </w:tr>
      <w:tr>
        <w:trPr>
          <w:trHeight w:val="210"/>
        </w:trPr>
        <w:tc>
          <w:tcPr>
            <w:tcW w:w="9300" w:type="dxa"/>
            <w:vAlign w:val="bottom"/>
          </w:tcPr>
          <w:p>
            <w:pPr>
              <w:ind w:left="900"/>
              <w:spacing w:after="0"/>
              <w:rPr>
                <w:sz w:val="20"/>
                <w:szCs w:val="20"/>
                <w:color w:val="auto"/>
              </w:rPr>
            </w:pPr>
            <w:r>
              <w:rPr>
                <w:rFonts w:ascii="Arial" w:cs="Arial" w:eastAsia="Arial" w:hAnsi="Arial"/>
                <w:sz w:val="18"/>
                <w:szCs w:val="18"/>
                <w:color w:val="auto"/>
              </w:rPr>
              <w:t>Federal funds purchased and agreements to repurchase securities</w:t>
            </w:r>
          </w:p>
        </w:tc>
        <w:tc>
          <w:tcPr>
            <w:tcW w:w="14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551,471</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866,555</w:t>
            </w:r>
          </w:p>
        </w:tc>
      </w:tr>
      <w:tr>
        <w:trPr>
          <w:trHeight w:val="216"/>
        </w:trPr>
        <w:tc>
          <w:tcPr>
            <w:tcW w:w="9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short-term borrowings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142,927</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80,877</w:t>
            </w:r>
          </w:p>
        </w:tc>
      </w:tr>
      <w:tr>
        <w:trPr>
          <w:trHeight w:val="216"/>
        </w:trPr>
        <w:tc>
          <w:tcPr>
            <w:tcW w:w="9300" w:type="dxa"/>
            <w:vAlign w:val="bottom"/>
          </w:tcPr>
          <w:p>
            <w:pPr>
              <w:ind w:left="900"/>
              <w:spacing w:after="0"/>
              <w:rPr>
                <w:sz w:val="20"/>
                <w:szCs w:val="20"/>
                <w:color w:val="auto"/>
              </w:rPr>
            </w:pPr>
            <w:r>
              <w:rPr>
                <w:rFonts w:ascii="Arial" w:cs="Arial" w:eastAsia="Arial" w:hAnsi="Arial"/>
                <w:sz w:val="18"/>
                <w:szCs w:val="18"/>
                <w:color w:val="auto"/>
              </w:rPr>
              <w:t>Accrued interest and other liabilities</w:t>
            </w:r>
          </w:p>
        </w:tc>
        <w:tc>
          <w:tcPr>
            <w:tcW w:w="14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97"/>
              </w:rPr>
              <w:t>1,563,121</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1,070,701</w:t>
            </w:r>
          </w:p>
        </w:tc>
      </w:tr>
      <w:tr>
        <w:trPr>
          <w:trHeight w:val="216"/>
        </w:trPr>
        <w:tc>
          <w:tcPr>
            <w:tcW w:w="93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Long-term borrowings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6,748,857</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7,840,151</w:t>
            </w:r>
          </w:p>
        </w:tc>
      </w:tr>
      <w:tr>
        <w:trPr>
          <w:trHeight w:val="210"/>
        </w:trPr>
        <w:tc>
          <w:tcPr>
            <w:tcW w:w="930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68,488,765</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59,663,568</w:t>
            </w: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8"/>
        </w:trPr>
        <w:tc>
          <w:tcPr>
            <w:tcW w:w="9300" w:type="dxa"/>
            <w:vAlign w:val="bottom"/>
          </w:tcPr>
          <w:p>
            <w:pPr>
              <w:ind w:left="900"/>
              <w:spacing w:after="0"/>
              <w:rPr>
                <w:sz w:val="20"/>
                <w:szCs w:val="20"/>
                <w:color w:val="auto"/>
              </w:rPr>
            </w:pPr>
            <w:r>
              <w:rPr>
                <w:rFonts w:ascii="Arial" w:cs="Arial" w:eastAsia="Arial" w:hAnsi="Arial"/>
                <w:sz w:val="18"/>
                <w:szCs w:val="18"/>
                <w:color w:val="auto"/>
              </w:rPr>
              <w:t>Preferred stock, $1.00 par, 1,000,000 shares authorized;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300" w:type="dxa"/>
            <w:vAlign w:val="bottom"/>
          </w:tcPr>
          <w:p>
            <w:pPr>
              <w:ind w:left="1120"/>
              <w:spacing w:after="0"/>
              <w:rPr>
                <w:sz w:val="20"/>
                <w:szCs w:val="20"/>
                <w:color w:val="auto"/>
              </w:rPr>
            </w:pPr>
            <w:r>
              <w:rPr>
                <w:rFonts w:ascii="Arial" w:cs="Arial" w:eastAsia="Arial" w:hAnsi="Arial"/>
                <w:sz w:val="18"/>
                <w:szCs w:val="18"/>
                <w:color w:val="auto"/>
                <w:w w:val="91"/>
              </w:rPr>
              <w:t>Issued and outstanding: Liquidation preference of $1,000 per share: 381,500 shares at September 30, 2011 and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300" w:type="dxa"/>
            <w:vAlign w:val="bottom"/>
          </w:tcPr>
          <w:p>
            <w:pPr>
              <w:ind w:left="1120"/>
              <w:spacing w:after="0"/>
              <w:rPr>
                <w:sz w:val="20"/>
                <w:szCs w:val="20"/>
                <w:color w:val="auto"/>
              </w:rPr>
            </w:pPr>
            <w:r>
              <w:rPr>
                <w:rFonts w:ascii="Arial" w:cs="Arial" w:eastAsia="Arial" w:hAnsi="Arial"/>
                <w:sz w:val="18"/>
                <w:szCs w:val="18"/>
                <w:color w:val="auto"/>
                <w:w w:val="87"/>
              </w:rPr>
              <w:t>778,000 shares at December 31, 2010; Liquidation preference of $10,000 per share: 50,000 shares at September 30,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9300" w:type="dxa"/>
            <w:vAlign w:val="bottom"/>
          </w:tcPr>
          <w:p>
            <w:pPr>
              <w:ind w:left="1120"/>
              <w:spacing w:after="0"/>
              <w:rPr>
                <w:sz w:val="20"/>
                <w:szCs w:val="20"/>
                <w:color w:val="auto"/>
              </w:rPr>
            </w:pPr>
            <w:r>
              <w:rPr>
                <w:rFonts w:ascii="Arial" w:cs="Arial" w:eastAsia="Arial" w:hAnsi="Arial"/>
                <w:sz w:val="18"/>
                <w:szCs w:val="18"/>
                <w:color w:val="auto"/>
              </w:rPr>
              <w:t>2011 and none at December 31, 2010</w:t>
            </w:r>
          </w:p>
        </w:tc>
        <w:tc>
          <w:tcPr>
            <w:tcW w:w="140" w:type="dxa"/>
            <w:vAlign w:val="bottom"/>
          </w:tcPr>
          <w:p>
            <w:pPr>
              <w:spacing w:after="0"/>
              <w:rPr>
                <w:sz w:val="19"/>
                <w:szCs w:val="19"/>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862,717</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740,657</w:t>
            </w:r>
          </w:p>
        </w:tc>
      </w:tr>
      <w:tr>
        <w:trPr>
          <w:trHeight w:val="209"/>
        </w:trPr>
        <w:tc>
          <w:tcPr>
            <w:tcW w:w="93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Common stock, $.50 par, 250,000,000 shares authorized, 125,610,181 shares issued at September 30, 2011;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4"/>
        </w:trPr>
        <w:tc>
          <w:tcPr>
            <w:tcW w:w="93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120,396,611 shares issued at December 31, 2010</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62,805</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60,198</w:t>
            </w:r>
          </w:p>
        </w:tc>
      </w:tr>
      <w:tr>
        <w:trPr>
          <w:trHeight w:val="216"/>
        </w:trPr>
        <w:tc>
          <w:tcPr>
            <w:tcW w:w="9300" w:type="dxa"/>
            <w:vAlign w:val="bottom"/>
          </w:tcPr>
          <w:p>
            <w:pPr>
              <w:ind w:left="900"/>
              <w:spacing w:after="0"/>
              <w:rPr>
                <w:sz w:val="20"/>
                <w:szCs w:val="20"/>
                <w:color w:val="auto"/>
              </w:rPr>
            </w:pPr>
            <w:r>
              <w:rPr>
                <w:rFonts w:ascii="Arial" w:cs="Arial" w:eastAsia="Arial" w:hAnsi="Arial"/>
                <w:sz w:val="18"/>
                <w:szCs w:val="18"/>
                <w:color w:val="auto"/>
              </w:rPr>
              <w:t>Common stock issuable, 68,107 shares at September 30, 2011; 71,345 shares at December 31, 2010</w:t>
            </w:r>
          </w:p>
        </w:tc>
        <w:tc>
          <w:tcPr>
            <w:tcW w:w="14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4,066</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4,189</w:t>
            </w:r>
          </w:p>
        </w:tc>
      </w:tr>
      <w:tr>
        <w:trPr>
          <w:trHeight w:val="216"/>
        </w:trPr>
        <w:tc>
          <w:tcPr>
            <w:tcW w:w="9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2,814,143</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2,398,615</w:t>
            </w:r>
          </w:p>
        </w:tc>
      </w:tr>
      <w:tr>
        <w:trPr>
          <w:trHeight w:val="216"/>
        </w:trPr>
        <w:tc>
          <w:tcPr>
            <w:tcW w:w="9300" w:type="dxa"/>
            <w:vAlign w:val="bottom"/>
          </w:tcPr>
          <w:p>
            <w:pPr>
              <w:ind w:left="90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97"/>
              </w:rPr>
              <w:t>5,823,928</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5,426,701</w:t>
            </w:r>
          </w:p>
        </w:tc>
      </w:tr>
      <w:tr>
        <w:trPr>
          <w:trHeight w:val="216"/>
        </w:trPr>
        <w:tc>
          <w:tcPr>
            <w:tcW w:w="9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Accumulated other comprehensive income (loss), net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(192,533)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(205,220)</w:t>
            </w:r>
          </w:p>
        </w:tc>
      </w:tr>
      <w:tr>
        <w:trPr>
          <w:trHeight w:val="216"/>
        </w:trPr>
        <w:tc>
          <w:tcPr>
            <w:tcW w:w="93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Treasury stock - common, at cost - none at September 30, 2011; 693,974 shares at December 31, 2010</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(67,445)</w:t>
            </w:r>
          </w:p>
        </w:tc>
      </w:tr>
      <w:tr>
        <w:trPr>
          <w:trHeight w:val="210"/>
        </w:trPr>
        <w:tc>
          <w:tcPr>
            <w:tcW w:w="9300" w:type="dxa"/>
            <w:vAlign w:val="bottom"/>
            <w:tcBorders>
              <w:bottom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9,375,126</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8,357,695</w:t>
            </w:r>
          </w:p>
        </w:tc>
      </w:tr>
      <w:tr>
        <w:trPr>
          <w:trHeight w:val="217"/>
        </w:trPr>
        <w:tc>
          <w:tcPr>
            <w:tcW w:w="930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77,863,891</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68,021,263</w:t>
            </w: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60" w:type="dxa"/>
            <w:vAlign w:val="bottom"/>
            <w:gridSpan w:val="3"/>
          </w:tcPr>
          <w:p>
            <w:pPr>
              <w:jc w:val="right"/>
              <w:ind w:right="73"/>
              <w:spacing w:after="0"/>
              <w:rPr>
                <w:sz w:val="20"/>
                <w:szCs w:val="20"/>
                <w:color w:val="auto"/>
              </w:rPr>
            </w:pPr>
            <w:r>
              <w:rPr>
                <w:rFonts w:ascii="Arial" w:cs="Arial" w:eastAsia="Arial" w:hAnsi="Arial"/>
                <w:sz w:val="14"/>
                <w:szCs w:val="14"/>
                <w:color w:val="auto"/>
                <w:w w:val="89"/>
              </w:rPr>
              <w:t>Three months ended September 30</w:t>
            </w:r>
          </w:p>
        </w:tc>
        <w:tc>
          <w:tcPr>
            <w:tcW w:w="2100" w:type="dxa"/>
            <w:vAlign w:val="bottom"/>
            <w:gridSpan w:val="3"/>
          </w:tcPr>
          <w:p>
            <w:pPr>
              <w:jc w:val="right"/>
              <w:ind w:right="53"/>
              <w:spacing w:after="0"/>
              <w:rPr>
                <w:sz w:val="20"/>
                <w:szCs w:val="20"/>
                <w:color w:val="auto"/>
              </w:rPr>
            </w:pPr>
            <w:r>
              <w:rPr>
                <w:rFonts w:ascii="Arial" w:cs="Arial" w:eastAsia="Arial" w:hAnsi="Arial"/>
                <w:sz w:val="14"/>
                <w:szCs w:val="14"/>
                <w:color w:val="auto"/>
                <w:w w:val="90"/>
              </w:rPr>
              <w:t>Nine months ended September 30</w:t>
            </w:r>
          </w:p>
        </w:tc>
      </w:tr>
      <w:tr>
        <w:trPr>
          <w:trHeight w:val="159"/>
        </w:trPr>
        <w:tc>
          <w:tcPr>
            <w:tcW w:w="716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rPr>
              <w:t>In thousands, except per share</w:t>
            </w:r>
          </w:p>
        </w:tc>
        <w:tc>
          <w:tcPr>
            <w:tcW w:w="180" w:type="dxa"/>
            <w:vAlign w:val="bottom"/>
          </w:tcPr>
          <w:p>
            <w:pPr>
              <w:spacing w:after="0"/>
              <w:rPr>
                <w:sz w:val="13"/>
                <w:szCs w:val="13"/>
                <w:color w:val="auto"/>
              </w:rPr>
            </w:pPr>
          </w:p>
        </w:tc>
        <w:tc>
          <w:tcPr>
            <w:tcW w:w="980" w:type="dxa"/>
            <w:vAlign w:val="bottom"/>
          </w:tcPr>
          <w:p>
            <w:pPr>
              <w:jc w:val="right"/>
              <w:ind w:right="413"/>
              <w:spacing w:after="0" w:line="159" w:lineRule="exact"/>
              <w:rPr>
                <w:sz w:val="20"/>
                <w:szCs w:val="20"/>
                <w:color w:val="auto"/>
              </w:rPr>
            </w:pPr>
            <w:r>
              <w:rPr>
                <w:rFonts w:ascii="Arial" w:cs="Arial" w:eastAsia="Arial" w:hAnsi="Arial"/>
                <w:sz w:val="14"/>
                <w:szCs w:val="14"/>
                <w:color w:val="auto"/>
              </w:rPr>
              <w:t>2011</w:t>
            </w:r>
          </w:p>
        </w:tc>
        <w:tc>
          <w:tcPr>
            <w:tcW w:w="1000" w:type="dxa"/>
            <w:vAlign w:val="bottom"/>
          </w:tcPr>
          <w:p>
            <w:pPr>
              <w:jc w:val="right"/>
              <w:ind w:right="313"/>
              <w:spacing w:after="0" w:line="159"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3"/>
                <w:szCs w:val="13"/>
                <w:color w:val="auto"/>
              </w:rPr>
            </w:pPr>
          </w:p>
        </w:tc>
        <w:tc>
          <w:tcPr>
            <w:tcW w:w="920" w:type="dxa"/>
            <w:vAlign w:val="bottom"/>
          </w:tcPr>
          <w:p>
            <w:pPr>
              <w:jc w:val="right"/>
              <w:ind w:right="373"/>
              <w:spacing w:after="0" w:line="159" w:lineRule="exact"/>
              <w:rPr>
                <w:sz w:val="20"/>
                <w:szCs w:val="20"/>
                <w:color w:val="auto"/>
              </w:rPr>
            </w:pPr>
            <w:r>
              <w:rPr>
                <w:rFonts w:ascii="Arial" w:cs="Arial" w:eastAsia="Arial" w:hAnsi="Arial"/>
                <w:sz w:val="14"/>
                <w:szCs w:val="14"/>
                <w:color w:val="auto"/>
              </w:rPr>
              <w:t>2011</w:t>
            </w:r>
          </w:p>
        </w:tc>
        <w:tc>
          <w:tcPr>
            <w:tcW w:w="1000" w:type="dxa"/>
            <w:vAlign w:val="bottom"/>
          </w:tcPr>
          <w:p>
            <w:pPr>
              <w:jc w:val="right"/>
              <w:ind w:right="313"/>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20" w:type="dxa"/>
            <w:vAlign w:val="bottom"/>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Loans and leases, including fees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655,581</w:t>
            </w:r>
          </w:p>
        </w:tc>
        <w:tc>
          <w:tcPr>
            <w:tcW w:w="10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603,199</w:t>
            </w:r>
          </w:p>
        </w:tc>
        <w:tc>
          <w:tcPr>
            <w:tcW w:w="1100" w:type="dxa"/>
            <w:vAlign w:val="bottom"/>
            <w:tcBorders>
              <w:top w:val="single" w:sz="8" w:color="auto"/>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w w:val="96"/>
              </w:rPr>
              <w:t>$ 1,873,860</w:t>
            </w:r>
          </w:p>
        </w:tc>
        <w:tc>
          <w:tcPr>
            <w:tcW w:w="10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1,788,245</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Deposits at banks</w:t>
            </w:r>
          </w:p>
        </w:tc>
        <w:tc>
          <w:tcPr>
            <w:tcW w:w="1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1,164</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1,679</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funds sold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51</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Agreements to resell securities</w:t>
            </w:r>
          </w:p>
        </w:tc>
        <w:tc>
          <w:tcPr>
            <w:tcW w:w="1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132</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Trading account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312</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982</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Fully taxable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60,880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80,043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192,369</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250,922</w:t>
            </w:r>
          </w:p>
        </w:tc>
      </w:tr>
      <w:tr>
        <w:trPr>
          <w:trHeight w:val="216"/>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Exempt from federal taxes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2,387</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2,489</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7,014</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7,506</w:t>
            </w: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Total interest income</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720,351</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685,900</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2"/>
              </w:rPr>
              <w:t>2,076,087</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2,047,070</w:t>
            </w: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3"/>
              </w:rPr>
              <w:t>Interest expense</w:t>
            </w:r>
          </w:p>
        </w:tc>
        <w:tc>
          <w:tcPr>
            <w:tcW w:w="5880" w:type="dxa"/>
            <w:vAlign w:val="bottom"/>
          </w:tcPr>
          <w:p>
            <w:pPr>
              <w:ind w:left="140"/>
              <w:spacing w:after="0"/>
              <w:rPr>
                <w:sz w:val="20"/>
                <w:szCs w:val="20"/>
                <w:color w:val="auto"/>
              </w:rPr>
            </w:pPr>
            <w:r>
              <w:rPr>
                <w:rFonts w:ascii="Arial" w:cs="Arial" w:eastAsia="Arial" w:hAnsi="Arial"/>
                <w:sz w:val="18"/>
                <w:szCs w:val="18"/>
                <w:color w:val="auto"/>
              </w:rPr>
              <w:t>NOW accounts</w:t>
            </w:r>
          </w:p>
        </w:tc>
        <w:tc>
          <w:tcPr>
            <w:tcW w:w="1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354</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830</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638</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Savings deposits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22,664</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21,453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62,660</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63,366</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17,684</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23,309</w:t>
            </w: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56,065</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79,009</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Deposits at Cayman Islands office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188</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775</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1,016</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222</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861</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2,373</w:t>
            </w:r>
          </w:p>
        </w:tc>
      </w:tr>
      <w:tr>
        <w:trPr>
          <w:trHeight w:val="216"/>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Long-term borrowings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62,520</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69,976</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183,171</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207,239</w:t>
            </w: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103,632</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116,032</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304,362</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353,641</w:t>
            </w: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Net interest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616,719</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569,868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2"/>
              </w:rPr>
              <w:t>1,771,725</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1,693,429</w:t>
            </w:r>
          </w:p>
        </w:tc>
      </w:tr>
      <w:tr>
        <w:trPr>
          <w:trHeight w:val="216"/>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Provision for credit losses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58,000</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93,000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196,000</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283,000</w:t>
            </w: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interest income after provision for credit losses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558,719</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476,868</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2"/>
              </w:rPr>
              <w:t>1,575,725</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1,410,429</w:t>
            </w: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Other income</w:t>
            </w:r>
          </w:p>
        </w:tc>
        <w:tc>
          <w:tcPr>
            <w:tcW w:w="5880" w:type="dxa"/>
            <w:vAlign w:val="bottom"/>
          </w:tcPr>
          <w:p>
            <w:pPr>
              <w:ind w:left="140"/>
              <w:spacing w:after="0"/>
              <w:rPr>
                <w:sz w:val="20"/>
                <w:szCs w:val="20"/>
                <w:color w:val="auto"/>
              </w:rPr>
            </w:pPr>
            <w:r>
              <w:rPr>
                <w:rFonts w:ascii="Arial" w:cs="Arial" w:eastAsia="Arial" w:hAnsi="Arial"/>
                <w:sz w:val="18"/>
                <w:szCs w:val="18"/>
                <w:color w:val="auto"/>
              </w:rPr>
              <w:t>Mortgage banking revenues</w:t>
            </w:r>
          </w:p>
        </w:tc>
        <w:tc>
          <w:tcPr>
            <w:tcW w:w="1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38,141</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61,052</w:t>
            </w: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125,448</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149,612</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121,577</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117,733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351,024</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367,004</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Trust income</w:t>
            </w:r>
          </w:p>
        </w:tc>
        <w:tc>
          <w:tcPr>
            <w:tcW w:w="1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113,652</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30,485</w:t>
            </w: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218,565</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91,582</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Brokerage services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13,907</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12,127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43,129</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38,021</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Trading account and foreign exchange gains</w:t>
            </w:r>
          </w:p>
        </w:tc>
        <w:tc>
          <w:tcPr>
            <w:tcW w:w="1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4,176</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6,035</w:t>
            </w: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19,253</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14,531</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bank investment securities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89</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1,440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150,186</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1,909</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Total other-than-temporary impairment (“OTTI”) losses</w:t>
            </w:r>
          </w:p>
        </w:tc>
        <w:tc>
          <w:tcPr>
            <w:tcW w:w="18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(7,649)</w:t>
            </w:r>
          </w:p>
        </w:tc>
        <w:tc>
          <w:tcPr>
            <w:tcW w:w="1000" w:type="dxa"/>
            <w:vAlign w:val="bottom"/>
          </w:tcPr>
          <w:p>
            <w:pPr>
              <w:jc w:val="right"/>
              <w:spacing w:after="0"/>
              <w:rPr>
                <w:sz w:val="20"/>
                <w:szCs w:val="20"/>
                <w:color w:val="auto"/>
              </w:rPr>
            </w:pPr>
            <w:r>
              <w:rPr>
                <w:rFonts w:ascii="Arial" w:cs="Arial" w:eastAsia="Arial" w:hAnsi="Arial"/>
                <w:sz w:val="18"/>
                <w:szCs w:val="18"/>
                <w:color w:val="auto"/>
              </w:rPr>
              <w:t>(16,486)</w:t>
            </w:r>
          </w:p>
        </w:tc>
        <w:tc>
          <w:tcPr>
            <w:tcW w:w="18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(50,374)</w:t>
            </w:r>
          </w:p>
        </w:tc>
        <w:tc>
          <w:tcPr>
            <w:tcW w:w="1000" w:type="dxa"/>
            <w:vAlign w:val="bottom"/>
          </w:tcPr>
          <w:p>
            <w:pPr>
              <w:jc w:val="right"/>
              <w:spacing w:after="0"/>
              <w:rPr>
                <w:sz w:val="20"/>
                <w:szCs w:val="20"/>
                <w:color w:val="auto"/>
              </w:rPr>
            </w:pPr>
            <w:r>
              <w:rPr>
                <w:rFonts w:ascii="Arial" w:cs="Arial" w:eastAsia="Arial" w:hAnsi="Arial"/>
                <w:sz w:val="18"/>
                <w:szCs w:val="18"/>
                <w:color w:val="auto"/>
              </w:rPr>
              <w:t>(67,052)</w:t>
            </w: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9"/>
              </w:rPr>
              <w:t>Portion of OTTI losses recognized in other comprehensive income (before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8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taxes)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(1,993)</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6,954</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(1,839)</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8,338</w:t>
            </w:r>
          </w:p>
        </w:tc>
      </w:tr>
      <w:tr>
        <w:trPr>
          <w:trHeight w:val="211"/>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Net OTTI losses recognized in earnings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(9,642)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(9,532)</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(52,213)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(58,714)</w:t>
            </w: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Bayview Lending Group LLC</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(18,812)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(18,353)</w:t>
            </w:r>
          </w:p>
        </w:tc>
      </w:tr>
      <w:tr>
        <w:trPr>
          <w:trHeight w:val="216"/>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revenues from operations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93,393</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77,019</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347,878</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235,570</w:t>
            </w: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Total other income</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368,382</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289,899</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2"/>
              </w:rPr>
              <w:t>1,184,458</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821,162</w:t>
            </w: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Other expense</w:t>
            </w:r>
          </w:p>
        </w:tc>
        <w:tc>
          <w:tcPr>
            <w:tcW w:w="5880" w:type="dxa"/>
            <w:vAlign w:val="bottom"/>
          </w:tcPr>
          <w:p>
            <w:pPr>
              <w:ind w:left="140"/>
              <w:spacing w:after="0"/>
              <w:rPr>
                <w:sz w:val="20"/>
                <w:szCs w:val="20"/>
                <w:color w:val="auto"/>
              </w:rPr>
            </w:pPr>
            <w:r>
              <w:rPr>
                <w:rFonts w:ascii="Arial" w:cs="Arial" w:eastAsia="Arial" w:hAnsi="Arial"/>
                <w:sz w:val="18"/>
                <w:szCs w:val="18"/>
                <w:color w:val="auto"/>
              </w:rPr>
              <w:t>Salaries and employee benefits</w:t>
            </w:r>
          </w:p>
        </w:tc>
        <w:tc>
          <w:tcPr>
            <w:tcW w:w="1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325,197</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246,389</w:t>
            </w: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891,465</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756,296</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 and net occupancy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68,101</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54,353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184,434</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165,185</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Printing, postage and supplies</w:t>
            </w:r>
          </w:p>
        </w:tc>
        <w:tc>
          <w:tcPr>
            <w:tcW w:w="1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10,593</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7,820</w:t>
            </w: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29,518</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25,412</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core deposit and other intangible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17,401</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13,526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44,455</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44,834</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FDIC assessments</w:t>
            </w:r>
          </w:p>
        </w:tc>
        <w:tc>
          <w:tcPr>
            <w:tcW w:w="1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26,701</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18,039</w:t>
            </w: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72,404</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60,995</w:t>
            </w:r>
          </w:p>
        </w:tc>
      </w:tr>
      <w:tr>
        <w:trPr>
          <w:trHeight w:val="216"/>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costs of operations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214,026</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140,006</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516,209</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392,841</w:t>
            </w: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Total other expense</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662,019</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480,133</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2"/>
              </w:rPr>
              <w:t>1,738,485</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1,445,563</w:t>
            </w: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taxes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265,082</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286,634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2"/>
              </w:rPr>
              <w:t>1,021,698</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786,028</w:t>
            </w:r>
          </w:p>
        </w:tc>
      </w:tr>
      <w:tr>
        <w:trPr>
          <w:trHeight w:val="216"/>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81,974</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94,619</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309,959</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254,309</w:t>
            </w: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183,108</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192,015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711,739</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531,719</w:t>
            </w:r>
          </w:p>
        </w:tc>
      </w:tr>
      <w:tr>
        <w:trPr>
          <w:trHeight w:val="3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$164,668</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176,780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$651,941</w:t>
            </w:r>
          </w:p>
        </w:tc>
        <w:tc>
          <w:tcPr>
            <w:tcW w:w="1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486,811</w:t>
            </w: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80" w:type="dxa"/>
            <w:vAlign w:val="bottom"/>
          </w:tcPr>
          <w:p>
            <w:pPr>
              <w:ind w:left="5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164,671</w:t>
            </w:r>
          </w:p>
        </w:tc>
        <w:tc>
          <w:tcPr>
            <w:tcW w:w="1000" w:type="dxa"/>
            <w:vAlign w:val="bottom"/>
          </w:tcPr>
          <w:p>
            <w:pPr>
              <w:ind w:left="120"/>
              <w:spacing w:after="0"/>
              <w:rPr>
                <w:sz w:val="20"/>
                <w:szCs w:val="20"/>
                <w:color w:val="auto"/>
              </w:rPr>
            </w:pPr>
            <w:r>
              <w:rPr>
                <w:rFonts w:ascii="Arial" w:cs="Arial" w:eastAsia="Arial" w:hAnsi="Arial"/>
                <w:sz w:val="18"/>
                <w:szCs w:val="18"/>
                <w:color w:val="auto"/>
              </w:rPr>
              <w:t>176,789</w:t>
            </w:r>
          </w:p>
        </w:tc>
        <w:tc>
          <w:tcPr>
            <w:tcW w:w="18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651,966</w:t>
            </w:r>
          </w:p>
        </w:tc>
        <w:tc>
          <w:tcPr>
            <w:tcW w:w="1000" w:type="dxa"/>
            <w:vAlign w:val="bottom"/>
          </w:tcPr>
          <w:p>
            <w:pPr>
              <w:ind w:left="100"/>
              <w:spacing w:after="0"/>
              <w:rPr>
                <w:sz w:val="20"/>
                <w:szCs w:val="20"/>
                <w:color w:val="auto"/>
              </w:rPr>
            </w:pPr>
            <w:r>
              <w:rPr>
                <w:rFonts w:ascii="Arial" w:cs="Arial" w:eastAsia="Arial" w:hAnsi="Arial"/>
                <w:sz w:val="18"/>
                <w:szCs w:val="18"/>
                <w:color w:val="auto"/>
              </w:rPr>
              <w:t>486,831</w:t>
            </w:r>
          </w:p>
        </w:tc>
      </w:tr>
      <w:tr>
        <w:trPr>
          <w:trHeight w:val="102"/>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per common share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5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$1.32</w:t>
            </w:r>
          </w:p>
        </w:tc>
        <w:tc>
          <w:tcPr>
            <w:tcW w:w="1000" w:type="dxa"/>
            <w:vAlign w:val="bottom"/>
          </w:tcPr>
          <w:p>
            <w:pPr>
              <w:ind w:left="12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$5.34</w:t>
            </w:r>
          </w:p>
        </w:tc>
        <w:tc>
          <w:tcPr>
            <w:tcW w:w="1000" w:type="dxa"/>
            <w:vAlign w:val="bottom"/>
          </w:tcPr>
          <w:p>
            <w:pPr>
              <w:ind w:left="100"/>
              <w:spacing w:after="0"/>
              <w:rPr>
                <w:sz w:val="20"/>
                <w:szCs w:val="20"/>
                <w:color w:val="auto"/>
              </w:rPr>
            </w:pPr>
            <w:r>
              <w:rPr>
                <w:rFonts w:ascii="Arial" w:cs="Arial" w:eastAsia="Arial" w:hAnsi="Arial"/>
                <w:sz w:val="18"/>
                <w:szCs w:val="18"/>
                <w:color w:val="auto"/>
              </w:rPr>
              <w:t>4.12</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1.32</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5.32</w:t>
            </w:r>
          </w:p>
        </w:tc>
        <w:tc>
          <w:tcPr>
            <w:tcW w:w="1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4.10</w:t>
            </w:r>
          </w:p>
        </w:tc>
      </w:tr>
      <w:tr>
        <w:trPr>
          <w:trHeight w:val="32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Cash dividends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.70</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2.10</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2.10</w:t>
            </w:r>
          </w:p>
        </w:tc>
      </w:t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common shares outstanding</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80" w:type="dxa"/>
            <w:vAlign w:val="bottom"/>
          </w:tcPr>
          <w:p>
            <w:pPr>
              <w:ind w:left="5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124,575</w:t>
            </w:r>
          </w:p>
        </w:tc>
        <w:tc>
          <w:tcPr>
            <w:tcW w:w="1000" w:type="dxa"/>
            <w:vAlign w:val="bottom"/>
          </w:tcPr>
          <w:p>
            <w:pPr>
              <w:ind w:left="120"/>
              <w:spacing w:after="0"/>
              <w:rPr>
                <w:sz w:val="20"/>
                <w:szCs w:val="20"/>
                <w:color w:val="auto"/>
              </w:rPr>
            </w:pPr>
            <w:r>
              <w:rPr>
                <w:rFonts w:ascii="Arial" w:cs="Arial" w:eastAsia="Arial" w:hAnsi="Arial"/>
                <w:sz w:val="18"/>
                <w:szCs w:val="18"/>
                <w:color w:val="auto"/>
              </w:rPr>
              <w:t>118,320</w:t>
            </w:r>
          </w:p>
        </w:tc>
        <w:tc>
          <w:tcPr>
            <w:tcW w:w="18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122,005</w:t>
            </w:r>
          </w:p>
        </w:tc>
        <w:tc>
          <w:tcPr>
            <w:tcW w:w="1000" w:type="dxa"/>
            <w:vAlign w:val="bottom"/>
          </w:tcPr>
          <w:p>
            <w:pPr>
              <w:ind w:left="100"/>
              <w:spacing w:after="0"/>
              <w:rPr>
                <w:sz w:val="20"/>
                <w:szCs w:val="20"/>
                <w:color w:val="auto"/>
              </w:rPr>
            </w:pPr>
            <w:r>
              <w:rPr>
                <w:rFonts w:ascii="Arial" w:cs="Arial" w:eastAsia="Arial" w:hAnsi="Arial"/>
                <w:sz w:val="18"/>
                <w:szCs w:val="18"/>
                <w:color w:val="auto"/>
              </w:rPr>
              <w:t>118,048</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124,860</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119,155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122,521</w:t>
            </w:r>
          </w:p>
        </w:tc>
        <w:tc>
          <w:tcPr>
            <w:tcW w:w="1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118,766</w:t>
            </w:r>
          </w:p>
        </w:tc>
      </w:tr>
      <w:tr>
        <w:trPr>
          <w:trHeight w:val="36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80" w:type="dxa"/>
            <w:vAlign w:val="bottom"/>
          </w:tcPr>
          <w:p>
            <w:pPr>
              <w:ind w:left="4280"/>
              <w:spacing w:after="0"/>
              <w:rPr>
                <w:sz w:val="20"/>
                <w:szCs w:val="20"/>
                <w:color w:val="auto"/>
              </w:rPr>
            </w:pPr>
            <w:r>
              <w:rPr>
                <w:rFonts w:ascii="Arial" w:cs="Arial" w:eastAsia="Arial" w:hAnsi="Arial"/>
                <w:sz w:val="18"/>
                <w:szCs w:val="18"/>
                <w:color w:val="auto"/>
              </w:rPr>
              <w:t>- 4 -</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gridSpan w:val="2"/>
          </w:tcPr>
          <w:p>
            <w:pPr>
              <w:jc w:val="right"/>
              <w:ind w:right="133"/>
              <w:spacing w:after="0"/>
              <w:rPr>
                <w:sz w:val="20"/>
                <w:szCs w:val="20"/>
                <w:color w:val="auto"/>
              </w:rPr>
            </w:pPr>
            <w:r>
              <w:rPr>
                <w:rFonts w:ascii="Arial" w:cs="Arial" w:eastAsia="Arial" w:hAnsi="Arial"/>
                <w:sz w:val="14"/>
                <w:szCs w:val="14"/>
                <w:color w:val="auto"/>
                <w:w w:val="85"/>
              </w:rPr>
              <w:t>Nine months ended September 30</w:t>
            </w:r>
          </w:p>
        </w:tc>
      </w:tr>
      <w:tr>
        <w:trPr>
          <w:trHeight w:val="159"/>
        </w:trPr>
        <w:tc>
          <w:tcPr>
            <w:tcW w:w="178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6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jc w:val="right"/>
              <w:ind w:right="393"/>
              <w:spacing w:after="0" w:line="159" w:lineRule="exact"/>
              <w:rPr>
                <w:sz w:val="20"/>
                <w:szCs w:val="20"/>
                <w:color w:val="auto"/>
              </w:rPr>
            </w:pPr>
            <w:r>
              <w:rPr>
                <w:rFonts w:ascii="Arial" w:cs="Arial" w:eastAsia="Arial" w:hAnsi="Arial"/>
                <w:sz w:val="14"/>
                <w:szCs w:val="14"/>
                <w:color w:val="auto"/>
              </w:rPr>
              <w:t>2011</w:t>
            </w:r>
          </w:p>
        </w:tc>
        <w:tc>
          <w:tcPr>
            <w:tcW w:w="104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2010</w:t>
            </w:r>
          </w:p>
        </w:tc>
      </w:tr>
      <w:tr>
        <w:trPr>
          <w:trHeight w:val="201"/>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Cash flows from</w:t>
            </w:r>
          </w:p>
        </w:tc>
        <w:tc>
          <w:tcPr>
            <w:tcW w:w="66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711,739</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531,719</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Provision for credit losses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196,000</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283,000</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980"/>
              <w:spacing w:after="0"/>
              <w:rPr>
                <w:sz w:val="20"/>
                <w:szCs w:val="20"/>
                <w:color w:val="auto"/>
              </w:rPr>
            </w:pPr>
            <w:r>
              <w:rPr>
                <w:rFonts w:ascii="Arial" w:cs="Arial" w:eastAsia="Arial" w:hAnsi="Arial"/>
                <w:sz w:val="18"/>
                <w:szCs w:val="18"/>
                <w:color w:val="auto"/>
              </w:rPr>
              <w:t>Depreciation and amortization of premises and equipment</w:t>
            </w:r>
          </w:p>
        </w:tc>
        <w:tc>
          <w:tcPr>
            <w:tcW w:w="96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60,220</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51,216</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Amortization of capitalized servicing rights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39,895</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42,917</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980"/>
              <w:spacing w:after="0"/>
              <w:rPr>
                <w:sz w:val="20"/>
                <w:szCs w:val="20"/>
                <w:color w:val="auto"/>
              </w:rPr>
            </w:pPr>
            <w:r>
              <w:rPr>
                <w:rFonts w:ascii="Arial" w:cs="Arial" w:eastAsia="Arial" w:hAnsi="Arial"/>
                <w:sz w:val="18"/>
                <w:szCs w:val="18"/>
                <w:color w:val="auto"/>
              </w:rPr>
              <w:t>Amortization of core deposit and other intangible assets</w:t>
            </w:r>
          </w:p>
        </w:tc>
        <w:tc>
          <w:tcPr>
            <w:tcW w:w="96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44,455</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44,834</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Provision for deferred income taxes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14,530</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49,111</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980"/>
              <w:spacing w:after="0"/>
              <w:rPr>
                <w:sz w:val="20"/>
                <w:szCs w:val="20"/>
                <w:color w:val="auto"/>
              </w:rPr>
            </w:pPr>
            <w:r>
              <w:rPr>
                <w:rFonts w:ascii="Arial" w:cs="Arial" w:eastAsia="Arial" w:hAnsi="Arial"/>
                <w:sz w:val="18"/>
                <w:szCs w:val="18"/>
                <w:color w:val="auto"/>
              </w:rPr>
              <w:t>Asset write-downs</w:t>
            </w:r>
          </w:p>
        </w:tc>
        <w:tc>
          <w:tcPr>
            <w:tcW w:w="96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64,153</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68,430</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gain on sales of assets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(183,861)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980"/>
              <w:spacing w:after="0"/>
              <w:rPr>
                <w:sz w:val="20"/>
                <w:szCs w:val="20"/>
                <w:color w:val="auto"/>
              </w:rPr>
            </w:pPr>
            <w:r>
              <w:rPr>
                <w:rFonts w:ascii="Arial" w:cs="Arial" w:eastAsia="Arial" w:hAnsi="Arial"/>
                <w:sz w:val="18"/>
                <w:szCs w:val="18"/>
                <w:color w:val="auto"/>
              </w:rPr>
              <w:t>Net change in accrued interest receivable, payable</w:t>
            </w:r>
          </w:p>
        </w:tc>
        <w:tc>
          <w:tcPr>
            <w:tcW w:w="96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(6,206)</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4,764</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change in other accrued income and expense</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(21,427)</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119,728</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980"/>
              <w:spacing w:after="0"/>
              <w:rPr>
                <w:sz w:val="20"/>
                <w:szCs w:val="20"/>
                <w:color w:val="auto"/>
              </w:rPr>
            </w:pPr>
            <w:r>
              <w:rPr>
                <w:rFonts w:ascii="Arial" w:cs="Arial" w:eastAsia="Arial" w:hAnsi="Arial"/>
                <w:sz w:val="18"/>
                <w:szCs w:val="18"/>
                <w:color w:val="auto"/>
              </w:rPr>
              <w:t>Net change in loans originated for sale</w:t>
            </w:r>
          </w:p>
        </w:tc>
        <w:tc>
          <w:tcPr>
            <w:tcW w:w="96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316,623</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67,172</w:t>
            </w:r>
          </w:p>
        </w:tc>
      </w:tr>
      <w:tr>
        <w:trPr>
          <w:trHeight w:val="216"/>
        </w:trPr>
        <w:tc>
          <w:tcPr>
            <w:tcW w:w="20" w:type="dxa"/>
            <w:vAlign w:val="bottom"/>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66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Net change in trading account assets and liabilities</w:t>
            </w:r>
          </w:p>
        </w:tc>
        <w:tc>
          <w:tcPr>
            <w:tcW w:w="9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49,376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w:t>
            </w:r>
          </w:p>
        </w:tc>
      </w:tr>
      <w:tr>
        <w:trPr>
          <w:trHeight w:val="210"/>
        </w:trPr>
        <w:tc>
          <w:tcPr>
            <w:tcW w:w="2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7"/>
              </w:rPr>
              <w:t>1,285,497</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1,249,403</w:t>
            </w:r>
          </w:p>
        </w:tc>
      </w:tr>
      <w:tr>
        <w:trPr>
          <w:trHeight w:val="201"/>
        </w:trPr>
        <w:tc>
          <w:tcPr>
            <w:tcW w:w="20" w:type="dxa"/>
            <w:vAlign w:val="bottom"/>
          </w:tcPr>
          <w:p>
            <w:pPr>
              <w:spacing w:after="0"/>
              <w:rPr>
                <w:sz w:val="17"/>
                <w:szCs w:val="17"/>
                <w:color w:val="auto"/>
              </w:rPr>
            </w:pPr>
          </w:p>
        </w:tc>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w:t>
            </w:r>
          </w:p>
        </w:tc>
        <w:tc>
          <w:tcPr>
            <w:tcW w:w="6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investment securities</w:t>
            </w: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560"/>
              <w:spacing w:after="0"/>
              <w:rPr>
                <w:sz w:val="20"/>
                <w:szCs w:val="20"/>
                <w:color w:val="auto"/>
              </w:rPr>
            </w:pPr>
            <w:r>
              <w:rPr>
                <w:rFonts w:ascii="Arial" w:cs="Arial" w:eastAsia="Arial" w:hAnsi="Arial"/>
                <w:sz w:val="18"/>
                <w:szCs w:val="18"/>
                <w:color w:val="auto"/>
              </w:rPr>
              <w:t>Available for sale</w:t>
            </w:r>
          </w:p>
        </w:tc>
        <w:tc>
          <w:tcPr>
            <w:tcW w:w="96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w w:val="97"/>
              </w:rPr>
              <w:t>1,909,427</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21,220</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106,925</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62,331</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Proceeds from maturities of investment securities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Available for sale</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1,007,612</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1,097,531</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560"/>
              <w:spacing w:after="0"/>
              <w:rPr>
                <w:sz w:val="20"/>
                <w:szCs w:val="20"/>
                <w:color w:val="auto"/>
              </w:rPr>
            </w:pPr>
            <w:r>
              <w:rPr>
                <w:rFonts w:ascii="Arial" w:cs="Arial" w:eastAsia="Arial" w:hAnsi="Arial"/>
                <w:sz w:val="18"/>
                <w:szCs w:val="18"/>
                <w:color w:val="auto"/>
              </w:rPr>
              <w:t>Held to maturity</w:t>
            </w:r>
          </w:p>
        </w:tc>
        <w:tc>
          <w:tcPr>
            <w:tcW w:w="96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180,475</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139,555</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investment securities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560"/>
              <w:spacing w:after="0"/>
              <w:rPr>
                <w:sz w:val="20"/>
                <w:szCs w:val="20"/>
                <w:color w:val="auto"/>
              </w:rPr>
            </w:pPr>
            <w:r>
              <w:rPr>
                <w:rFonts w:ascii="Arial" w:cs="Arial" w:eastAsia="Arial" w:hAnsi="Arial"/>
                <w:sz w:val="18"/>
                <w:szCs w:val="18"/>
                <w:color w:val="auto"/>
              </w:rPr>
              <w:t>Available for sale</w:t>
            </w:r>
          </w:p>
        </w:tc>
        <w:tc>
          <w:tcPr>
            <w:tcW w:w="96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w w:val="91"/>
              </w:rPr>
              <w:t>(2,569,168)</w:t>
            </w:r>
          </w:p>
        </w:tc>
        <w:tc>
          <w:tcPr>
            <w:tcW w:w="1040" w:type="dxa"/>
            <w:vAlign w:val="bottom"/>
          </w:tcPr>
          <w:p>
            <w:pPr>
              <w:jc w:val="right"/>
              <w:spacing w:after="0"/>
              <w:rPr>
                <w:sz w:val="20"/>
                <w:szCs w:val="20"/>
                <w:color w:val="auto"/>
              </w:rPr>
            </w:pPr>
            <w:r>
              <w:rPr>
                <w:rFonts w:ascii="Arial" w:cs="Arial" w:eastAsia="Arial" w:hAnsi="Arial"/>
                <w:sz w:val="18"/>
                <w:szCs w:val="18"/>
                <w:color w:val="auto"/>
              </w:rPr>
              <w:t>(414,992)</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Held to maturity</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(19,386)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(993,162)</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56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(30,438)</w:t>
            </w:r>
          </w:p>
        </w:tc>
        <w:tc>
          <w:tcPr>
            <w:tcW w:w="1040" w:type="dxa"/>
            <w:vAlign w:val="bottom"/>
          </w:tcPr>
          <w:p>
            <w:pPr>
              <w:jc w:val="right"/>
              <w:spacing w:after="0"/>
              <w:rPr>
                <w:sz w:val="20"/>
                <w:szCs w:val="20"/>
                <w:color w:val="auto"/>
              </w:rPr>
            </w:pPr>
            <w:r>
              <w:rPr>
                <w:rFonts w:ascii="Arial" w:cs="Arial" w:eastAsia="Arial" w:hAnsi="Arial"/>
                <w:sz w:val="18"/>
                <w:szCs w:val="18"/>
                <w:color w:val="auto"/>
              </w:rPr>
              <w:t>(7,209)</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loans and leases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(522,571)</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1,087,784</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Net (increase) decrease in interest-bearing deposits at banks</w:t>
            </w:r>
          </w:p>
        </w:tc>
        <w:tc>
          <w:tcPr>
            <w:tcW w:w="96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480,708</w:t>
            </w:r>
          </w:p>
        </w:tc>
        <w:tc>
          <w:tcPr>
            <w:tcW w:w="1040" w:type="dxa"/>
            <w:vAlign w:val="bottom"/>
          </w:tcPr>
          <w:p>
            <w:pPr>
              <w:jc w:val="right"/>
              <w:spacing w:after="0"/>
              <w:rPr>
                <w:sz w:val="20"/>
                <w:szCs w:val="20"/>
                <w:color w:val="auto"/>
              </w:rPr>
            </w:pPr>
            <w:r>
              <w:rPr>
                <w:rFonts w:ascii="Arial" w:cs="Arial" w:eastAsia="Arial" w:hAnsi="Arial"/>
                <w:sz w:val="18"/>
                <w:szCs w:val="18"/>
                <w:color w:val="auto"/>
              </w:rPr>
              <w:t>(268,289)</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agreements to resell securities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Other investments, net</w:t>
            </w:r>
          </w:p>
        </w:tc>
        <w:tc>
          <w:tcPr>
            <w:tcW w:w="96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(9,856)</w:t>
            </w:r>
          </w:p>
        </w:tc>
        <w:tc>
          <w:tcPr>
            <w:tcW w:w="1040" w:type="dxa"/>
            <w:vAlign w:val="bottom"/>
          </w:tcPr>
          <w:p>
            <w:pPr>
              <w:jc w:val="right"/>
              <w:spacing w:after="0"/>
              <w:rPr>
                <w:sz w:val="20"/>
                <w:szCs w:val="20"/>
                <w:color w:val="auto"/>
              </w:rPr>
            </w:pPr>
            <w:r>
              <w:rPr>
                <w:rFonts w:ascii="Arial" w:cs="Arial" w:eastAsia="Arial" w:hAnsi="Arial"/>
                <w:sz w:val="18"/>
                <w:szCs w:val="18"/>
                <w:color w:val="auto"/>
              </w:rPr>
              <w:t>(41,093)</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 net</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(38,030)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(39,380)</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Acquisitions, net of cash acquired</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Banks and bank holding companies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178,940</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Purchase of Wilmington Trust Corporation preferred stock</w:t>
            </w:r>
          </w:p>
        </w:tc>
        <w:tc>
          <w:tcPr>
            <w:tcW w:w="96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(330,000)</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real estate acquired in settlement of loans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181,310</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62,609</w:t>
            </w:r>
          </w:p>
        </w:tc>
      </w:tr>
      <w:tr>
        <w:trPr>
          <w:trHeight w:val="216"/>
        </w:trPr>
        <w:tc>
          <w:tcPr>
            <w:tcW w:w="2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net</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73,739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(28,198)</w:t>
            </w:r>
          </w:p>
        </w:tc>
      </w:tr>
      <w:tr>
        <w:trPr>
          <w:trHeight w:val="210"/>
        </w:trPr>
        <w:tc>
          <w:tcPr>
            <w:tcW w:w="20" w:type="dxa"/>
            <w:vAlign w:val="bottom"/>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66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Net cash provided by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614,687</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253,707</w:t>
            </w:r>
          </w:p>
        </w:tc>
      </w:tr>
      <w:tr>
        <w:trPr>
          <w:trHeight w:val="201"/>
        </w:trPr>
        <w:tc>
          <w:tcPr>
            <w:tcW w:w="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Cash flows from</w:t>
            </w:r>
          </w:p>
        </w:tc>
        <w:tc>
          <w:tcPr>
            <w:tcW w:w="6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3"/>
        </w:trPr>
        <w:tc>
          <w:tcPr>
            <w:tcW w:w="17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6620" w:type="dxa"/>
            <w:vAlign w:val="bottom"/>
          </w:tcPr>
          <w:p>
            <w:pPr>
              <w:ind w:left="120"/>
              <w:spacing w:after="0"/>
              <w:rPr>
                <w:sz w:val="20"/>
                <w:szCs w:val="20"/>
                <w:color w:val="auto"/>
              </w:rPr>
            </w:pPr>
            <w:r>
              <w:rPr>
                <w:rFonts w:ascii="Arial" w:cs="Arial" w:eastAsia="Arial" w:hAnsi="Arial"/>
                <w:sz w:val="18"/>
                <w:szCs w:val="18"/>
                <w:color w:val="auto"/>
              </w:rPr>
              <w:t>Net increase in deposits</w:t>
            </w:r>
          </w:p>
        </w:tc>
        <w:tc>
          <w:tcPr>
            <w:tcW w:w="9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825,434</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1,217,511</w:t>
            </w:r>
          </w:p>
        </w:tc>
      </w:tr>
      <w:tr>
        <w:trPr>
          <w:trHeight w:val="217"/>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decrease in short-term borrowings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(400,752)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(1,230,890)</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Payments on long-term borrowings</w:t>
            </w:r>
          </w:p>
        </w:tc>
        <w:tc>
          <w:tcPr>
            <w:tcW w:w="96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w w:val="91"/>
              </w:rPr>
              <w:t>(1,750,195)</w:t>
            </w:r>
          </w:p>
        </w:tc>
        <w:tc>
          <w:tcPr>
            <w:tcW w:w="1040" w:type="dxa"/>
            <w:vAlign w:val="bottom"/>
          </w:tcPr>
          <w:p>
            <w:pPr>
              <w:jc w:val="right"/>
              <w:spacing w:after="0"/>
              <w:rPr>
                <w:sz w:val="20"/>
                <w:szCs w:val="20"/>
                <w:color w:val="auto"/>
              </w:rPr>
            </w:pPr>
            <w:r>
              <w:rPr>
                <w:rFonts w:ascii="Arial" w:cs="Arial" w:eastAsia="Arial" w:hAnsi="Arial"/>
                <w:sz w:val="18"/>
                <w:szCs w:val="18"/>
                <w:color w:val="auto"/>
              </w:rPr>
              <w:t>(1,399,101)</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preferred stock</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495,000</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Redemption of preferred stock</w:t>
            </w:r>
          </w:p>
        </w:tc>
        <w:tc>
          <w:tcPr>
            <w:tcW w:w="96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(370,000)</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 - common</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(261,589)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(251,125)</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Dividends paid - preferred</w:t>
            </w:r>
          </w:p>
        </w:tc>
        <w:tc>
          <w:tcPr>
            <w:tcW w:w="96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(24,815)</w:t>
            </w:r>
          </w:p>
        </w:tc>
        <w:tc>
          <w:tcPr>
            <w:tcW w:w="1040" w:type="dxa"/>
            <w:vAlign w:val="bottom"/>
          </w:tcPr>
          <w:p>
            <w:pPr>
              <w:jc w:val="right"/>
              <w:spacing w:after="0"/>
              <w:rPr>
                <w:sz w:val="20"/>
                <w:szCs w:val="20"/>
                <w:color w:val="auto"/>
              </w:rPr>
            </w:pPr>
            <w:r>
              <w:rPr>
                <w:rFonts w:ascii="Arial" w:cs="Arial" w:eastAsia="Arial" w:hAnsi="Arial"/>
                <w:sz w:val="18"/>
                <w:szCs w:val="18"/>
                <w:color w:val="auto"/>
              </w:rPr>
              <w:t>(30,169)</w:t>
            </w:r>
          </w:p>
        </w:tc>
      </w:tr>
      <w:tr>
        <w:trPr>
          <w:trHeight w:val="216"/>
        </w:trPr>
        <w:tc>
          <w:tcPr>
            <w:tcW w:w="20" w:type="dxa"/>
            <w:vAlign w:val="bottom"/>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66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9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7,035</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33,647</w:t>
            </w:r>
          </w:p>
        </w:tc>
      </w:tr>
      <w:tr>
        <w:trPr>
          <w:trHeight w:val="210"/>
        </w:trPr>
        <w:tc>
          <w:tcPr>
            <w:tcW w:w="2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Net cash used by financing activities</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1"/>
              </w:rPr>
              <w:t>(1,479,882)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(1,660,127)</w:t>
            </w:r>
          </w:p>
        </w:tc>
      </w:tr>
      <w:tr>
        <w:trPr>
          <w:trHeight w:val="210"/>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420,302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(157,017)</w:t>
            </w:r>
          </w:p>
        </w:tc>
      </w:tr>
      <w:tr>
        <w:trPr>
          <w:trHeight w:val="216"/>
        </w:trPr>
        <w:tc>
          <w:tcPr>
            <w:tcW w:w="2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933,755</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1,246,342</w:t>
            </w:r>
          </w:p>
        </w:tc>
      </w:tr>
      <w:tr>
        <w:trPr>
          <w:trHeight w:val="217"/>
        </w:trPr>
        <w:tc>
          <w:tcPr>
            <w:tcW w:w="20" w:type="dxa"/>
            <w:vAlign w:val="bottom"/>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66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7"/>
              </w:rPr>
              <w:t>1,354,057</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1,089,325</w:t>
            </w:r>
          </w:p>
        </w:tc>
      </w:tr>
      <w:tr>
        <w:trPr>
          <w:trHeight w:val="208"/>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Supplemental</w:t>
            </w:r>
          </w:p>
        </w:tc>
        <w:tc>
          <w:tcPr>
            <w:tcW w:w="6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w w:val="97"/>
              </w:rPr>
              <w:t>disclosure of cash flow</w:t>
            </w:r>
          </w:p>
        </w:tc>
        <w:tc>
          <w:tcPr>
            <w:tcW w:w="6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1780" w:type="dxa"/>
            <w:vAlign w:val="bottom"/>
            <w:gridSpan w:val="2"/>
          </w:tcPr>
          <w:p>
            <w:pPr>
              <w:spacing w:after="0"/>
              <w:rPr>
                <w:sz w:val="20"/>
                <w:szCs w:val="20"/>
                <w:color w:val="auto"/>
              </w:rPr>
            </w:pPr>
            <w:r>
              <w:rPr>
                <w:rFonts w:ascii="Arial" w:cs="Arial" w:eastAsia="Arial" w:hAnsi="Arial"/>
                <w:sz w:val="18"/>
                <w:szCs w:val="18"/>
                <w:color w:val="auto"/>
              </w:rPr>
              <w:t>information</w:t>
            </w:r>
          </w:p>
        </w:tc>
        <w:tc>
          <w:tcPr>
            <w:tcW w:w="6620" w:type="dxa"/>
            <w:vAlign w:val="bottom"/>
          </w:tcPr>
          <w:p>
            <w:pPr>
              <w:ind w:left="120"/>
              <w:spacing w:after="0"/>
              <w:rPr>
                <w:sz w:val="20"/>
                <w:szCs w:val="20"/>
                <w:color w:val="auto"/>
              </w:rPr>
            </w:pPr>
            <w:r>
              <w:rPr>
                <w:rFonts w:ascii="Arial" w:cs="Arial" w:eastAsia="Arial" w:hAnsi="Arial"/>
                <w:sz w:val="18"/>
                <w:szCs w:val="18"/>
                <w:color w:val="auto"/>
              </w:rPr>
              <w:t>Interest received during the period</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w w:val="97"/>
              </w:rPr>
              <w:t>2,087,083</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2,072,464</w:t>
            </w:r>
          </w:p>
        </w:tc>
      </w:tr>
      <w:tr>
        <w:trPr>
          <w:trHeight w:val="217"/>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paid during the period</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320,758</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360,289</w:t>
            </w:r>
          </w:p>
        </w:tc>
      </w:tr>
      <w:tr>
        <w:trPr>
          <w:trHeight w:val="223"/>
        </w:trPr>
        <w:tc>
          <w:tcPr>
            <w:tcW w:w="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Income taxes paid during the period</w:t>
            </w: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308,057</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214,903</w:t>
            </w:r>
          </w:p>
        </w:tc>
      </w:tr>
      <w:tr>
        <w:trPr>
          <w:trHeight w:val="208"/>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2"/>
              </w:rPr>
              <w:t>Supplemental schedule</w:t>
            </w:r>
          </w:p>
        </w:tc>
        <w:tc>
          <w:tcPr>
            <w:tcW w:w="6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of noncash investing</w:t>
            </w:r>
          </w:p>
        </w:tc>
        <w:tc>
          <w:tcPr>
            <w:tcW w:w="6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6"/>
              </w:rPr>
              <w:t>and financing activities</w:t>
            </w: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acquired in settlement of loans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51,046</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165,933</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Fair value of:</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980"/>
              <w:spacing w:after="0"/>
              <w:rPr>
                <w:sz w:val="20"/>
                <w:szCs w:val="20"/>
                <w:color w:val="auto"/>
              </w:rPr>
            </w:pPr>
            <w:r>
              <w:rPr>
                <w:rFonts w:ascii="Arial" w:cs="Arial" w:eastAsia="Arial" w:hAnsi="Arial"/>
                <w:sz w:val="18"/>
                <w:szCs w:val="18"/>
                <w:color w:val="auto"/>
              </w:rPr>
              <w:t>Assets acquired (noncash)</w:t>
            </w:r>
          </w:p>
        </w:tc>
        <w:tc>
          <w:tcPr>
            <w:tcW w:w="96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w w:val="86"/>
              </w:rPr>
              <w:t>10,666,102</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Liabilities assumed</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10,044,555</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980"/>
              <w:spacing w:after="0"/>
              <w:rPr>
                <w:sz w:val="20"/>
                <w:szCs w:val="20"/>
                <w:color w:val="auto"/>
              </w:rPr>
            </w:pPr>
            <w:r>
              <w:rPr>
                <w:rFonts w:ascii="Arial" w:cs="Arial" w:eastAsia="Arial" w:hAnsi="Arial"/>
                <w:sz w:val="18"/>
                <w:szCs w:val="18"/>
                <w:color w:val="auto"/>
              </w:rPr>
              <w:t>Common stock issued</w:t>
            </w:r>
          </w:p>
        </w:tc>
        <w:tc>
          <w:tcPr>
            <w:tcW w:w="96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405,557</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Retirement of Wilmington Trust Corporation preferred stock</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330,000</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Increase (decrease) from consolidation of securitization trusts: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Loans</w:t>
            </w: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423,865</w:t>
            </w:r>
          </w:p>
        </w:tc>
      </w:tr>
    </w:tbl>
    <w:p>
      <w:pPr>
        <w:sectPr>
          <w:pgSz w:w="11900" w:h="16838" w:orient="portrait"/>
          <w:cols w:equalWidth="0" w:num="1">
            <w:col w:w="11420"/>
          </w:cols>
          <w:pgMar w:left="240" w:top="459"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60" w:type="dxa"/>
            <w:vAlign w:val="bottom"/>
          </w:tcPr>
          <w:p>
            <w:pPr>
              <w:ind w:left="2340"/>
              <w:spacing w:after="0"/>
              <w:rPr>
                <w:sz w:val="20"/>
                <w:szCs w:val="20"/>
                <w:color w:val="auto"/>
              </w:rPr>
            </w:pPr>
            <w:r>
              <w:rPr>
                <w:rFonts w:ascii="Arial" w:cs="Arial" w:eastAsia="Arial" w:hAnsi="Arial"/>
                <w:sz w:val="18"/>
                <w:szCs w:val="18"/>
                <w:color w:val="auto"/>
                <w:w w:val="93"/>
              </w:rPr>
              <w:t>Investment securities - available for sale</w:t>
            </w:r>
          </w:p>
        </w:tc>
        <w:tc>
          <w:tcPr>
            <w:tcW w:w="5020" w:type="dxa"/>
            <w:vAlign w:val="bottom"/>
          </w:tcPr>
          <w:p>
            <w:pPr>
              <w:ind w:left="4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(360,471)</w:t>
            </w:r>
          </w:p>
        </w:tc>
      </w:tr>
      <w:tr>
        <w:trPr>
          <w:trHeight w:val="217"/>
        </w:trPr>
        <w:tc>
          <w:tcPr>
            <w:tcW w:w="536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Long-term borrowings</w:t>
            </w:r>
          </w:p>
        </w:tc>
        <w:tc>
          <w:tcPr>
            <w:tcW w:w="5020" w:type="dxa"/>
            <w:vAlign w:val="bottom"/>
            <w:shd w:val="clear" w:color="auto" w:fill="CCEEFF"/>
          </w:tcPr>
          <w:p>
            <w:pPr>
              <w:ind w:left="4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65,419</w:t>
            </w:r>
          </w:p>
        </w:tc>
      </w:tr>
      <w:tr>
        <w:trPr>
          <w:trHeight w:val="222"/>
        </w:trPr>
        <w:tc>
          <w:tcPr>
            <w:tcW w:w="5360" w:type="dxa"/>
            <w:vAlign w:val="bottom"/>
          </w:tcPr>
          <w:p>
            <w:pPr>
              <w:ind w:left="2340"/>
              <w:spacing w:after="0"/>
              <w:rPr>
                <w:sz w:val="20"/>
                <w:szCs w:val="20"/>
                <w:color w:val="auto"/>
              </w:rPr>
            </w:pPr>
            <w:r>
              <w:rPr>
                <w:rFonts w:ascii="Arial" w:cs="Arial" w:eastAsia="Arial" w:hAnsi="Arial"/>
                <w:sz w:val="18"/>
                <w:szCs w:val="18"/>
                <w:color w:val="auto"/>
              </w:rPr>
              <w:t>Accrued interest and other</w:t>
            </w:r>
          </w:p>
        </w:tc>
        <w:tc>
          <w:tcPr>
            <w:tcW w:w="5020" w:type="dxa"/>
            <w:vAlign w:val="bottom"/>
          </w:tcPr>
          <w:p>
            <w:pPr>
              <w:ind w:left="45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2,025</w:t>
            </w:r>
          </w:p>
        </w:tc>
      </w:tr>
      <w:tr>
        <w:trPr>
          <w:trHeight w:val="356"/>
        </w:trPr>
        <w:tc>
          <w:tcPr>
            <w:tcW w:w="5360" w:type="dxa"/>
            <w:vAlign w:val="bottom"/>
          </w:tcPr>
          <w:p>
            <w:pPr>
              <w:spacing w:after="0"/>
              <w:rPr>
                <w:sz w:val="24"/>
                <w:szCs w:val="24"/>
                <w:color w:val="auto"/>
              </w:rPr>
            </w:pPr>
          </w:p>
        </w:tc>
        <w:tc>
          <w:tcPr>
            <w:tcW w:w="5020" w:type="dxa"/>
            <w:vAlign w:val="bottom"/>
          </w:tcPr>
          <w:p>
            <w:pPr>
              <w:jc w:val="right"/>
              <w:ind w:right="4432"/>
              <w:spacing w:after="0"/>
              <w:rPr>
                <w:sz w:val="20"/>
                <w:szCs w:val="20"/>
                <w:color w:val="auto"/>
              </w:rPr>
            </w:pPr>
            <w:r>
              <w:rPr>
                <w:rFonts w:ascii="Arial" w:cs="Arial" w:eastAsia="Arial" w:hAnsi="Arial"/>
                <w:sz w:val="18"/>
                <w:szCs w:val="18"/>
                <w:color w:val="auto"/>
              </w:rPr>
              <w:t>- 5 -</w:t>
            </w: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color w:val="auto"/>
                <w:w w:val="88"/>
              </w:rPr>
              <w:t>Accumulated</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1"/>
              </w:rPr>
              <w:t>other</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91"/>
              </w:rPr>
              <w:t>Common</w:t>
            </w:r>
          </w:p>
        </w:tc>
        <w:tc>
          <w:tcPr>
            <w:tcW w:w="96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Additional</w:t>
            </w:r>
          </w:p>
        </w:tc>
        <w:tc>
          <w:tcPr>
            <w:tcW w:w="9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comprehensive</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auto"/>
              </w:rPr>
              <w:t>Common</w:t>
            </w:r>
          </w:p>
        </w:tc>
        <w:tc>
          <w:tcPr>
            <w:tcW w:w="74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85"/>
              </w:rPr>
              <w:t>stock</w:t>
            </w:r>
          </w:p>
        </w:tc>
        <w:tc>
          <w:tcPr>
            <w:tcW w:w="96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paid-in</w:t>
            </w:r>
          </w:p>
        </w:tc>
        <w:tc>
          <w:tcPr>
            <w:tcW w:w="92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Retained</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4"/>
              </w:rPr>
              <w:t>income</w:t>
            </w:r>
          </w:p>
        </w:tc>
        <w:tc>
          <w:tcPr>
            <w:tcW w:w="940" w:type="dxa"/>
            <w:vAlign w:val="bottom"/>
          </w:tcPr>
          <w:p>
            <w:pPr>
              <w:ind w:left="160"/>
              <w:spacing w:after="0" w:line="149" w:lineRule="exact"/>
              <w:rPr>
                <w:sz w:val="20"/>
                <w:szCs w:val="20"/>
                <w:color w:val="auto"/>
              </w:rPr>
            </w:pPr>
            <w:r>
              <w:rPr>
                <w:rFonts w:ascii="Arial" w:cs="Arial" w:eastAsia="Arial" w:hAnsi="Arial"/>
                <w:sz w:val="14"/>
                <w:szCs w:val="14"/>
                <w:color w:val="auto"/>
              </w:rPr>
              <w:t>Treasury</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 except per share</w:t>
            </w: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stock</w:t>
            </w: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stock</w:t>
            </w: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85"/>
              </w:rPr>
              <w:t>issuable</w:t>
            </w: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capital</w:t>
            </w: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earnings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(loss), net</w:t>
            </w: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stock</w:t>
            </w:r>
          </w:p>
        </w:tc>
        <w:tc>
          <w:tcPr>
            <w:tcW w:w="8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Total</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$ 730,235</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60,198</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4,342</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w w:val="97"/>
              </w:rPr>
              <w:t>2,442,947</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5,076,884</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(335,997)</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(225,702)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7,752,907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531,719</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531,719</w:t>
            </w:r>
          </w:p>
        </w:tc>
      </w:tr>
      <w:tr>
        <w:trPr>
          <w:trHeight w:val="208"/>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net of tax and</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reclassification adjustments:</w:t>
            </w: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280" w:type="dxa"/>
            <w:vAlign w:val="bottom"/>
          </w:tcPr>
          <w:p>
            <w:pPr>
              <w:ind w:left="880"/>
              <w:spacing w:after="0"/>
              <w:rPr>
                <w:sz w:val="20"/>
                <w:szCs w:val="20"/>
                <w:color w:val="auto"/>
              </w:rPr>
            </w:pPr>
            <w:r>
              <w:rPr>
                <w:rFonts w:ascii="Arial" w:cs="Arial" w:eastAsia="Arial" w:hAnsi="Arial"/>
                <w:sz w:val="18"/>
                <w:szCs w:val="18"/>
                <w:color w:val="auto"/>
              </w:rPr>
              <w:t>Unrealized gains on investment securities</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140,392</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140,392</w:t>
            </w:r>
          </w:p>
        </w:tc>
      </w:tr>
      <w:tr>
        <w:trPr>
          <w:trHeight w:val="216"/>
        </w:trPr>
        <w:tc>
          <w:tcPr>
            <w:tcW w:w="4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Defined benefit plans liability adjustment</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3,262</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w:t>
            </w:r>
          </w:p>
        </w:tc>
      </w:tr>
      <w:tr>
        <w:trPr>
          <w:trHeight w:val="223"/>
        </w:trPr>
        <w:tc>
          <w:tcPr>
            <w:tcW w:w="4280" w:type="dxa"/>
            <w:vAlign w:val="bottom"/>
          </w:tcPr>
          <w:p>
            <w:pPr>
              <w:ind w:left="880"/>
              <w:spacing w:after="0"/>
              <w:rPr>
                <w:sz w:val="20"/>
                <w:szCs w:val="20"/>
                <w:color w:val="auto"/>
              </w:rPr>
            </w:pPr>
            <w:r>
              <w:rPr>
                <w:rFonts w:ascii="Arial" w:cs="Arial" w:eastAsia="Arial" w:hAnsi="Arial"/>
                <w:sz w:val="18"/>
                <w:szCs w:val="18"/>
                <w:color w:val="auto"/>
                <w:w w:val="90"/>
              </w:rPr>
              <w:t>Unrealized gain on terminated cash flow hedge</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(211)</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r>
      <w:tr>
        <w:trPr>
          <w:trHeight w:val="216"/>
        </w:trPr>
        <w:tc>
          <w:tcPr>
            <w:tcW w:w="4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675,162</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Preferred stock cash dividends</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(30,169)</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(30,169)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preferred stock discount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7,744</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4280" w:type="dxa"/>
            <w:vAlign w:val="bottom"/>
          </w:tcPr>
          <w:p>
            <w:pPr>
              <w:spacing w:after="0"/>
              <w:rPr>
                <w:sz w:val="20"/>
                <w:szCs w:val="20"/>
                <w:color w:val="auto"/>
              </w:rPr>
            </w:pPr>
            <w:r>
              <w:rPr>
                <w:rFonts w:ascii="Arial" w:cs="Arial" w:eastAsia="Arial" w:hAnsi="Arial"/>
                <w:sz w:val="18"/>
                <w:szCs w:val="18"/>
                <w:color w:val="auto"/>
                <w:w w:val="99"/>
              </w:rPr>
              <w:t>Repayment of management stock ownership program</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280" w:type="dxa"/>
            <w:vAlign w:val="bottom"/>
          </w:tcPr>
          <w:p>
            <w:pPr>
              <w:ind w:left="220"/>
              <w:spacing w:after="0"/>
              <w:rPr>
                <w:sz w:val="20"/>
                <w:szCs w:val="20"/>
                <w:color w:val="auto"/>
              </w:rPr>
            </w:pPr>
            <w:r>
              <w:rPr>
                <w:rFonts w:ascii="Arial" w:cs="Arial" w:eastAsia="Arial" w:hAnsi="Arial"/>
                <w:sz w:val="18"/>
                <w:szCs w:val="18"/>
                <w:color w:val="auto"/>
              </w:rPr>
              <w:t>receivable</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2,686</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2,686</w:t>
            </w: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Compensation expense, net</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(3,545)</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41,672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38,127</w:t>
            </w: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Exercises of stock options, net</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(25,639)</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58,892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33,253</w:t>
            </w: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Stock purchase plan</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(8,482)</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17,480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8,998</w:t>
            </w: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Directors’ stock plan</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1,116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08"/>
        </w:trPr>
        <w:tc>
          <w:tcPr>
            <w:tcW w:w="4280" w:type="dxa"/>
            <w:vAlign w:val="bottom"/>
          </w:tcPr>
          <w:p>
            <w:pPr>
              <w:ind w:left="440"/>
              <w:spacing w:after="0"/>
              <w:rPr>
                <w:sz w:val="20"/>
                <w:szCs w:val="20"/>
                <w:color w:val="auto"/>
              </w:rPr>
            </w:pPr>
            <w:r>
              <w:rPr>
                <w:rFonts w:ascii="Arial" w:cs="Arial" w:eastAsia="Arial" w:hAnsi="Arial"/>
                <w:sz w:val="18"/>
                <w:szCs w:val="18"/>
                <w:color w:val="auto"/>
                <w:w w:val="90"/>
              </w:rPr>
              <w:t>Deferred compensation plans, net, including dividend</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280" w:type="dxa"/>
            <w:vAlign w:val="bottom"/>
          </w:tcPr>
          <w:p>
            <w:pPr>
              <w:ind w:left="660"/>
              <w:spacing w:after="0"/>
              <w:rPr>
                <w:sz w:val="20"/>
                <w:szCs w:val="20"/>
                <w:color w:val="auto"/>
              </w:rPr>
            </w:pPr>
            <w:r>
              <w:rPr>
                <w:rFonts w:ascii="Arial" w:cs="Arial" w:eastAsia="Arial" w:hAnsi="Arial"/>
                <w:sz w:val="18"/>
                <w:szCs w:val="18"/>
                <w:color w:val="auto"/>
              </w:rPr>
              <w:t>equivalents</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(295)</w:t>
            </w: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Pr>
          <w:p>
            <w:pPr>
              <w:ind w:left="480"/>
              <w:spacing w:after="0"/>
              <w:rPr>
                <w:sz w:val="20"/>
                <w:szCs w:val="20"/>
                <w:color w:val="auto"/>
              </w:rPr>
            </w:pPr>
            <w:r>
              <w:rPr>
                <w:rFonts w:ascii="Arial" w:cs="Arial" w:eastAsia="Arial" w:hAnsi="Arial"/>
                <w:sz w:val="18"/>
                <w:szCs w:val="18"/>
                <w:color w:val="auto"/>
              </w:rPr>
              <w:t>611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7"/>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1,354</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w:t>
            </w:r>
          </w:p>
        </w:tc>
      </w:tr>
      <w:tr>
        <w:trPr>
          <w:trHeight w:val="216"/>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cash dividends - $2.10 per share</w:t>
            </w: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(251,345)</w:t>
            </w: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(251,345)</w:t>
            </w:r>
          </w:p>
        </w:tc>
      </w:tr>
      <w:tr>
        <w:trPr>
          <w:trHeight w:val="217"/>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 September 30, 2010</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$ 737,979</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60,198</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4,146</w:t>
            </w: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7"/>
              </w:rPr>
              <w:t>2,408,737</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5,319,198</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(192,554)</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(105,931)</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8,231,773</w:t>
            </w: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$ 740,657</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60,198</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4,189</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7"/>
              </w:rPr>
              <w:t>2,398,615</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5,426,701</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(205,220)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(67,445)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8,357,695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711,739</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711,739</w:t>
            </w:r>
          </w:p>
        </w:tc>
      </w:tr>
      <w:tr>
        <w:trPr>
          <w:trHeight w:val="208"/>
        </w:trPr>
        <w:tc>
          <w:tcPr>
            <w:tcW w:w="4280" w:type="dxa"/>
            <w:vAlign w:val="bottom"/>
          </w:tcPr>
          <w:p>
            <w:pPr>
              <w:ind w:left="440"/>
              <w:spacing w:after="0"/>
              <w:rPr>
                <w:sz w:val="20"/>
                <w:szCs w:val="20"/>
                <w:color w:val="auto"/>
              </w:rPr>
            </w:pPr>
            <w:r>
              <w:rPr>
                <w:rFonts w:ascii="Arial" w:cs="Arial" w:eastAsia="Arial" w:hAnsi="Arial"/>
                <w:sz w:val="18"/>
                <w:szCs w:val="18"/>
                <w:color w:val="auto"/>
              </w:rPr>
              <w:t>Other comprehensive income, net of tax and</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280" w:type="dxa"/>
            <w:vAlign w:val="bottom"/>
          </w:tcPr>
          <w:p>
            <w:pPr>
              <w:ind w:left="660"/>
              <w:spacing w:after="0"/>
              <w:rPr>
                <w:sz w:val="20"/>
                <w:szCs w:val="20"/>
                <w:color w:val="auto"/>
              </w:rPr>
            </w:pPr>
            <w:r>
              <w:rPr>
                <w:rFonts w:ascii="Arial" w:cs="Arial" w:eastAsia="Arial" w:hAnsi="Arial"/>
                <w:sz w:val="18"/>
                <w:szCs w:val="18"/>
                <w:color w:val="auto"/>
              </w:rPr>
              <w:t>reclassification adjustments:</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gains on investment securities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6,970</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6,970</w:t>
            </w:r>
          </w:p>
        </w:tc>
      </w:tr>
      <w:tr>
        <w:trPr>
          <w:trHeight w:val="216"/>
        </w:trPr>
        <w:tc>
          <w:tcPr>
            <w:tcW w:w="4280" w:type="dxa"/>
            <w:vAlign w:val="bottom"/>
          </w:tcPr>
          <w:p>
            <w:pPr>
              <w:ind w:left="880"/>
              <w:spacing w:after="0"/>
              <w:rPr>
                <w:sz w:val="20"/>
                <w:szCs w:val="20"/>
                <w:color w:val="auto"/>
              </w:rPr>
            </w:pPr>
            <w:r>
              <w:rPr>
                <w:rFonts w:ascii="Arial" w:cs="Arial" w:eastAsia="Arial" w:hAnsi="Arial"/>
                <w:sz w:val="18"/>
                <w:szCs w:val="18"/>
                <w:color w:val="auto"/>
              </w:rPr>
              <w:t>Defined benefit plans liability adjustment</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6,431</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6,431</w:t>
            </w:r>
          </w:p>
        </w:tc>
      </w:tr>
      <w:tr>
        <w:trPr>
          <w:trHeight w:val="216"/>
        </w:trPr>
        <w:tc>
          <w:tcPr>
            <w:tcW w:w="42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0"/>
              </w:rPr>
              <w:t>Unrealized gain on terminated cash flow hedge</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(211)</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r>
      <w:tr>
        <w:trPr>
          <w:trHeight w:val="223"/>
        </w:trPr>
        <w:tc>
          <w:tcPr>
            <w:tcW w:w="428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(503)</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r>
      <w:tr>
        <w:trPr>
          <w:trHeight w:val="216"/>
        </w:trPr>
        <w:tc>
          <w:tcPr>
            <w:tcW w:w="4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724,426</w:t>
            </w:r>
          </w:p>
        </w:tc>
        <w:tc>
          <w:tcPr>
            <w:tcW w:w="100" w:type="dxa"/>
            <w:vAlign w:val="bottom"/>
            <w:shd w:val="clear" w:color="auto" w:fill="CCEEFF"/>
          </w:tcPr>
          <w:p>
            <w:pPr>
              <w:spacing w:after="0"/>
              <w:rPr>
                <w:sz w:val="18"/>
                <w:szCs w:val="18"/>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8"/>
                <w:szCs w:val="18"/>
                <w:color w:val="auto"/>
                <w:w w:val="98"/>
              </w:rPr>
              <w:t>Acquisition of Wilmington Trust Corporation - common</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280" w:type="dxa"/>
            <w:vAlign w:val="bottom"/>
          </w:tcPr>
          <w:p>
            <w:pPr>
              <w:ind w:left="220"/>
              <w:spacing w:after="0"/>
              <w:rPr>
                <w:sz w:val="20"/>
                <w:szCs w:val="20"/>
                <w:color w:val="auto"/>
              </w:rPr>
            </w:pPr>
            <w:r>
              <w:rPr>
                <w:rFonts w:ascii="Arial" w:cs="Arial" w:eastAsia="Arial" w:hAnsi="Arial"/>
                <w:sz w:val="18"/>
                <w:szCs w:val="18"/>
                <w:color w:val="auto"/>
              </w:rPr>
              <w:t>stock issued</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2,348</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403,209</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405,557</w:t>
            </w: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Partial redemption of Series A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(370,000)</w:t>
            </w:r>
          </w:p>
        </w:tc>
      </w:tr>
      <w:tr>
        <w:trPr>
          <w:trHeight w:val="208"/>
        </w:trPr>
        <w:tc>
          <w:tcPr>
            <w:tcW w:w="4280" w:type="dxa"/>
            <w:vAlign w:val="bottom"/>
          </w:tcPr>
          <w:p>
            <w:pPr>
              <w:spacing w:after="0"/>
              <w:rPr>
                <w:sz w:val="20"/>
                <w:szCs w:val="20"/>
                <w:color w:val="auto"/>
              </w:rPr>
            </w:pPr>
            <w:r>
              <w:rPr>
                <w:rFonts w:ascii="Arial" w:cs="Arial" w:eastAsia="Arial" w:hAnsi="Arial"/>
                <w:sz w:val="18"/>
                <w:szCs w:val="18"/>
                <w:color w:val="auto"/>
                <w:w w:val="90"/>
              </w:rPr>
              <w:t>Conversion of Series B preferred stock into 433,144 shares</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280" w:type="dxa"/>
            <w:vAlign w:val="bottom"/>
          </w:tcPr>
          <w:p>
            <w:pPr>
              <w:ind w:left="220"/>
              <w:spacing w:after="0"/>
              <w:rPr>
                <w:sz w:val="20"/>
                <w:szCs w:val="20"/>
                <w:color w:val="auto"/>
              </w:rPr>
            </w:pPr>
            <w:r>
              <w:rPr>
                <w:rFonts w:ascii="Arial" w:cs="Arial" w:eastAsia="Arial" w:hAnsi="Arial"/>
                <w:sz w:val="18"/>
                <w:szCs w:val="18"/>
                <w:color w:val="auto"/>
              </w:rPr>
              <w:t>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(26,500)</w:t>
            </w:r>
          </w:p>
        </w:tc>
        <w:tc>
          <w:tcPr>
            <w:tcW w:w="720" w:type="dxa"/>
            <w:vAlign w:val="bottom"/>
          </w:tcPr>
          <w:p>
            <w:pPr>
              <w:ind w:left="340"/>
              <w:spacing w:after="0"/>
              <w:rPr>
                <w:sz w:val="20"/>
                <w:szCs w:val="20"/>
                <w:color w:val="auto"/>
              </w:rPr>
            </w:pPr>
            <w:r>
              <w:rPr>
                <w:rFonts w:ascii="Arial" w:cs="Arial" w:eastAsia="Arial" w:hAnsi="Arial"/>
                <w:sz w:val="18"/>
                <w:szCs w:val="18"/>
                <w:color w:val="auto"/>
              </w:rPr>
              <w:t>192</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21,754</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4,554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D preferred stock</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495,000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Preferred stock cash dividends</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(34,125)</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(34,125)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preferred stock discount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18,560</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Stock-based compensation plans:</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expense, net</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650</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31,666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32,352</w:t>
            </w: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Exercises of stock options, net</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(6,691)</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30,106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23,444</w:t>
            </w: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Directors’ stock plan</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414</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r>
      <w:tr>
        <w:trPr>
          <w:trHeight w:val="208"/>
        </w:trPr>
        <w:tc>
          <w:tcPr>
            <w:tcW w:w="4280" w:type="dxa"/>
            <w:vAlign w:val="bottom"/>
          </w:tcPr>
          <w:p>
            <w:pPr>
              <w:ind w:left="440"/>
              <w:spacing w:after="0"/>
              <w:rPr>
                <w:sz w:val="20"/>
                <w:szCs w:val="20"/>
                <w:color w:val="auto"/>
              </w:rPr>
            </w:pPr>
            <w:r>
              <w:rPr>
                <w:rFonts w:ascii="Arial" w:cs="Arial" w:eastAsia="Arial" w:hAnsi="Arial"/>
                <w:sz w:val="18"/>
                <w:szCs w:val="18"/>
                <w:color w:val="auto"/>
                <w:w w:val="90"/>
              </w:rPr>
              <w:t>Deferred compensation plans, net, including dividend</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280" w:type="dxa"/>
            <w:vAlign w:val="bottom"/>
          </w:tcPr>
          <w:p>
            <w:pPr>
              <w:ind w:left="660"/>
              <w:spacing w:after="0"/>
              <w:rPr>
                <w:sz w:val="20"/>
                <w:szCs w:val="20"/>
                <w:color w:val="auto"/>
              </w:rPr>
            </w:pPr>
            <w:r>
              <w:rPr>
                <w:rFonts w:ascii="Arial" w:cs="Arial" w:eastAsia="Arial" w:hAnsi="Arial"/>
                <w:sz w:val="18"/>
                <w:szCs w:val="18"/>
                <w:color w:val="auto"/>
              </w:rPr>
              <w:t>equivalents</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(203)</w:t>
            </w: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Pr>
          <w:p>
            <w:pPr>
              <w:ind w:left="460"/>
              <w:spacing w:after="0"/>
              <w:rPr>
                <w:sz w:val="20"/>
                <w:szCs w:val="20"/>
                <w:color w:val="auto"/>
              </w:rPr>
            </w:pPr>
            <w:r>
              <w:rPr>
                <w:rFonts w:ascii="Arial" w:cs="Arial" w:eastAsia="Arial" w:hAnsi="Arial"/>
                <w:sz w:val="18"/>
                <w:szCs w:val="18"/>
                <w:color w:val="auto"/>
              </w:rPr>
              <w:t>507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7"/>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1,395</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r>
      <w:tr>
        <w:trPr>
          <w:trHeight w:val="216"/>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cash dividends - $2.10 per share</w:t>
            </w: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(261,686)</w:t>
            </w: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(261,686)</w:t>
            </w:r>
          </w:p>
        </w:tc>
      </w:tr>
      <w:tr>
        <w:trPr>
          <w:trHeight w:val="217"/>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 September 30, 2011</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$ 862,717</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62,805</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4,066</w:t>
            </w: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7"/>
              </w:rPr>
              <w:t>2,814,143</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5,823,928</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(192,533)</w:t>
            </w:r>
          </w:p>
        </w:tc>
        <w:tc>
          <w:tcPr>
            <w:tcW w:w="9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9,375,126</w:t>
            </w:r>
          </w:p>
        </w:tc>
      </w:tr>
      <w:tr>
        <w:trPr>
          <w:trHeight w:val="363"/>
        </w:trPr>
        <w:tc>
          <w:tcPr>
            <w:tcW w:w="4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- 6 -</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8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2010 Annual Report. In the opinion of management, all adjustments necessary for a fair presentation have been made and were all of a normal recurring nature.</w:t>
      </w:r>
    </w:p>
    <w:p>
      <w:pPr>
        <w:spacing w:after="0" w:line="22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May 16, 2011, M&amp;T acquired all of the outstanding common stock of Wilmington Trust Corporation (“Wilmington Trust”), headquartered in Wilmington, Delaware, in a stock-for-stock transaction. Wilmington Trust operated 55 banking offices in Delaware and Pennsylvania at the date of acquisition. The results of operations acquired in the Wilmington Trust transaction have been included in the Company’s financial results since May 16, 2011.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Wilmington Trust transaction has been accounted for using the acquisition method of accounting and, accordingly, assets acquired, liabilities assumed and consideration exchanged were recorded at estimated fair value on the acquisition date. Assets acquired totaled approximately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Troubled Asset Relief Program – Capital Purchase Program of the U.S. Department of Treasury (“U.S. Treasury”). In connection with the acquisition, the Company recorded $176 million of core deposit and other intangible assets. The core deposit and other intangible assets are generally being amortized over periods of 5 to 7 years using an accelerated method. There was no goodwill recorded as a result of the transaction, however,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the leading deposit market share in Delaware.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many cases, determining the fair value of the acquired assets and assumed liabilities required the Company to estimate cash flows expected to result from those assets and liabilities and to discount those cash flows at appropriate rates of interest. The most significant of these determinations related to the fair valuation of acquired loans. For such loans,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the impact of estimated credit losses and other factors, such as prepayments. In accordance with GAAP, there was no carry-over of Wilmington Trust’s previously established allowance for credit losses. Subsequent decreases in the expected cash flows require the Company to evaluate the need for additions to the Company’s allowance for credit losses. Subsequent improvements in expected cash flows generally result in the recognition of additional interest income over the then remaining lives of the loans.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conjunction with the Wilmington Trust acquisition, the acquired loan portfolio was accounted for at fair value as follows:</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w w:val="91"/>
              </w:rPr>
              <w:t>May 16, 2011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0"/>
              </w:rPr>
              <w:t>(in thousands)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principal and interest at acquisition</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8,336,755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Contractual cash flows not expected to be collected</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(1,209,749)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Expected cash flows at acquisition</w:t>
            </w:r>
          </w:p>
        </w:tc>
        <w:tc>
          <w:tcPr>
            <w:tcW w:w="1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7,127,006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component of expected cash flows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(716,576)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Basis in acquired loans at acquisition – estimated fair value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6,410,430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Included in the above table is information related to loans for which there was specific evidence of credit deterioration at the acquisition date and for which it was deemed probable that the Company would be unable to collect all contractually required principal and interest payments (“purchased impaired loans”). Contractually required principal and interest, cash flows expected to be collected and estimated fair value of purchased impaired loans were $1,419,672,000, $747,265,000 and $707,907,000, respectively.</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consideration paid for Wilmington Trust’s common equity and the amounts of acquired identifiable assets and liabilities assumed as of the acquisition date were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Value of:</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shares issued (4,694,486 shares)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w w:val="88"/>
              </w:rPr>
              <w:t>Preferred stock purchased from U.S. Treasury</w:t>
            </w:r>
          </w:p>
        </w:tc>
        <w:tc>
          <w:tcPr>
            <w:tcW w:w="3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purchase price</w:t>
            </w:r>
          </w:p>
        </w:tc>
        <w:tc>
          <w:tcPr>
            <w:tcW w:w="3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70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due from banks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Interest-bearing deposits at banks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2,606,265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short-term investments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6,410,430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Core deposit and other intangibles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3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840"/>
              <w:spacing w:after="0"/>
              <w:rPr>
                <w:sz w:val="20"/>
                <w:szCs w:val="20"/>
                <w:color w:val="auto"/>
              </w:rPr>
            </w:pPr>
            <w:r>
              <w:rPr>
                <w:rFonts w:ascii="Arial" w:cs="Arial" w:eastAsia="Arial" w:hAnsi="Arial"/>
                <w:sz w:val="18"/>
                <w:szCs w:val="18"/>
                <w:color w:val="auto"/>
              </w:rPr>
              <w:t>Total identifiable assets</w:t>
            </w:r>
          </w:p>
        </w:tc>
        <w:tc>
          <w:tcPr>
            <w:tcW w:w="3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10,845,042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Deposits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8,864,161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Long-term borrowings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3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840"/>
              <w:spacing w:after="0"/>
              <w:rPr>
                <w:sz w:val="20"/>
                <w:szCs w:val="20"/>
                <w:color w:val="auto"/>
              </w:rPr>
            </w:pPr>
            <w:r>
              <w:rPr>
                <w:rFonts w:ascii="Arial" w:cs="Arial" w:eastAsia="Arial" w:hAnsi="Arial"/>
                <w:sz w:val="18"/>
                <w:szCs w:val="18"/>
                <w:color w:val="auto"/>
              </w:rPr>
              <w:t>Total liabilities</w:t>
            </w:r>
          </w:p>
        </w:tc>
        <w:tc>
          <w:tcPr>
            <w:tcW w:w="3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10,044,555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gain resulting from acquisition</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80" w:type="dxa"/>
            <w:vAlign w:val="bottom"/>
            <w:vMerge w:val="restart"/>
          </w:tcPr>
          <w:p>
            <w:pPr>
              <w:jc w:val="right"/>
              <w:ind w:right="2672"/>
              <w:spacing w:after="0"/>
              <w:rPr>
                <w:sz w:val="20"/>
                <w:szCs w:val="20"/>
                <w:color w:val="auto"/>
              </w:rPr>
            </w:pPr>
            <w:r>
              <w:rPr>
                <w:rFonts w:ascii="Arial" w:cs="Arial" w:eastAsia="Arial" w:hAnsi="Arial"/>
                <w:sz w:val="18"/>
                <w:szCs w:val="18"/>
                <w:color w:val="auto"/>
                <w:w w:val="93"/>
              </w:rPr>
              <w:t>- 8 -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4"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following table discloses the impact of Wilmington Trust (excluding the impact of the merger-related gain and expenses) since the acquisition on May 16, 2011 through the end of the third quarter of 2011. The table also presents certain pro forma information as if Wilmington Trust had been acquired on January 1, 2010. These results combine the historical results of Wilmington Trust into the Company’s consolidated statement of income and, while certain adjustments were made for the estimated impact of certain fair valuation adjustments and other acquisition-related activity, they are not indicative of what would have occurred had the acquisition taken place on the indicated date. In particular, no adjustments have been made to eliminate the amount of Wilmington Trust’s provision for credit losses of $42 million in 2011 and $564 million in 2010 or the impact of other-than-temporary impairment losses recognized by Wilmington Trust of $5 million in 2011 and $30 million in 2010 that may not have been necessary had the acquired loans and investment securities been recorded at fair value as of the beginning of 2010. Furthermore, expenses related to systems conversions and other costs of integration of $67 million and the $65 million gain recorded in connection with the acquisition are included in the 2011 periods in which such costs were incurred and gain recognized. Additionally, the Company expects to achieve further operating cost savings and other business synergies as a result of the acquisition which are not reflected in the pro forma amounts that follow.</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244"/>
              <w:spacing w:after="0"/>
              <w:rPr>
                <w:sz w:val="20"/>
                <w:szCs w:val="20"/>
                <w:color w:val="auto"/>
              </w:rPr>
            </w:pPr>
            <w:r>
              <w:rPr>
                <w:rFonts w:ascii="Arial" w:cs="Arial" w:eastAsia="Arial" w:hAnsi="Arial"/>
                <w:sz w:val="14"/>
                <w:szCs w:val="14"/>
                <w:color w:val="auto"/>
                <w:w w:val="90"/>
              </w:rPr>
              <w:t>Actual since</w:t>
            </w:r>
          </w:p>
        </w:tc>
        <w:tc>
          <w:tcPr>
            <w:tcW w:w="1660" w:type="dxa"/>
            <w:vAlign w:val="bottom"/>
          </w:tcPr>
          <w:p>
            <w:pPr>
              <w:jc w:val="center"/>
              <w:ind w:left="1007"/>
              <w:spacing w:after="0"/>
              <w:rPr>
                <w:sz w:val="20"/>
                <w:szCs w:val="20"/>
                <w:color w:val="auto"/>
              </w:rPr>
            </w:pPr>
            <w:r>
              <w:rPr>
                <w:rFonts w:ascii="Arial" w:cs="Arial" w:eastAsia="Arial" w:hAnsi="Arial"/>
                <w:sz w:val="14"/>
                <w:szCs w:val="14"/>
                <w:color w:val="auto"/>
                <w:w w:val="87"/>
              </w:rPr>
              <w:t>Pro forma</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244"/>
              <w:spacing w:after="0" w:line="149" w:lineRule="exact"/>
              <w:rPr>
                <w:sz w:val="20"/>
                <w:szCs w:val="20"/>
                <w:color w:val="auto"/>
              </w:rPr>
            </w:pPr>
            <w:r>
              <w:rPr>
                <w:rFonts w:ascii="Arial" w:cs="Arial" w:eastAsia="Arial" w:hAnsi="Arial"/>
                <w:sz w:val="14"/>
                <w:szCs w:val="14"/>
                <w:color w:val="auto"/>
                <w:w w:val="90"/>
              </w:rPr>
              <w:t>acquisition</w:t>
            </w:r>
          </w:p>
        </w:tc>
        <w:tc>
          <w:tcPr>
            <w:tcW w:w="2480" w:type="dxa"/>
            <w:vAlign w:val="bottom"/>
            <w:gridSpan w:val="3"/>
          </w:tcPr>
          <w:p>
            <w:pPr>
              <w:jc w:val="center"/>
              <w:ind w:left="187"/>
              <w:spacing w:after="0" w:line="149" w:lineRule="exact"/>
              <w:rPr>
                <w:sz w:val="20"/>
                <w:szCs w:val="20"/>
                <w:color w:val="auto"/>
              </w:rPr>
            </w:pPr>
            <w:r>
              <w:rPr>
                <w:rFonts w:ascii="Arial" w:cs="Arial" w:eastAsia="Arial" w:hAnsi="Arial"/>
                <w:sz w:val="14"/>
                <w:szCs w:val="14"/>
                <w:color w:val="auto"/>
                <w:w w:val="87"/>
              </w:rPr>
              <w:t>Nine months ended</w:t>
            </w:r>
          </w:p>
        </w:tc>
      </w:tr>
      <w:tr>
        <w:trPr>
          <w:trHeight w:val="162"/>
        </w:trPr>
        <w:tc>
          <w:tcPr>
            <w:tcW w:w="3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224"/>
              <w:spacing w:after="0"/>
              <w:rPr>
                <w:sz w:val="20"/>
                <w:szCs w:val="20"/>
                <w:color w:val="auto"/>
              </w:rPr>
            </w:pPr>
            <w:r>
              <w:rPr>
                <w:rFonts w:ascii="Arial" w:cs="Arial" w:eastAsia="Arial" w:hAnsi="Arial"/>
                <w:sz w:val="14"/>
                <w:szCs w:val="14"/>
                <w:color w:val="auto"/>
                <w:w w:val="88"/>
              </w:rPr>
              <w:t>through</w:t>
            </w:r>
          </w:p>
        </w:tc>
        <w:tc>
          <w:tcPr>
            <w:tcW w:w="2480" w:type="dxa"/>
            <w:vAlign w:val="bottom"/>
            <w:gridSpan w:val="3"/>
          </w:tcPr>
          <w:p>
            <w:pPr>
              <w:jc w:val="center"/>
              <w:ind w:left="187"/>
              <w:spacing w:after="0"/>
              <w:rPr>
                <w:sz w:val="20"/>
                <w:szCs w:val="20"/>
                <w:color w:val="auto"/>
              </w:rPr>
            </w:pPr>
            <w:r>
              <w:rPr>
                <w:rFonts w:ascii="Arial" w:cs="Arial" w:eastAsia="Arial" w:hAnsi="Arial"/>
                <w:sz w:val="14"/>
                <w:szCs w:val="14"/>
                <w:color w:val="auto"/>
                <w:w w:val="84"/>
              </w:rPr>
              <w:t>September 30</w:t>
            </w:r>
          </w:p>
        </w:tc>
      </w:tr>
      <w:tr>
        <w:trPr>
          <w:trHeight w:val="159"/>
        </w:trPr>
        <w:tc>
          <w:tcPr>
            <w:tcW w:w="3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60" w:type="dxa"/>
            <w:vAlign w:val="bottom"/>
            <w:tcBorders>
              <w:bottom w:val="single" w:sz="8" w:color="auto"/>
            </w:tcBorders>
            <w:gridSpan w:val="2"/>
          </w:tcPr>
          <w:p>
            <w:pPr>
              <w:jc w:val="center"/>
              <w:ind w:right="104"/>
              <w:spacing w:after="0" w:line="159" w:lineRule="exact"/>
              <w:rPr>
                <w:sz w:val="20"/>
                <w:szCs w:val="20"/>
                <w:color w:val="auto"/>
              </w:rPr>
            </w:pPr>
            <w:r>
              <w:rPr>
                <w:rFonts w:ascii="Arial" w:cs="Arial" w:eastAsia="Arial" w:hAnsi="Arial"/>
                <w:sz w:val="14"/>
                <w:szCs w:val="14"/>
                <w:color w:val="auto"/>
                <w:w w:val="85"/>
              </w:rPr>
              <w:t>September 30, 2011</w:t>
            </w:r>
          </w:p>
        </w:tc>
        <w:tc>
          <w:tcPr>
            <w:tcW w:w="1660" w:type="dxa"/>
            <w:vAlign w:val="bottom"/>
            <w:tcBorders>
              <w:bottom w:val="single" w:sz="8" w:color="auto"/>
            </w:tcBorders>
          </w:tcPr>
          <w:p>
            <w:pPr>
              <w:jc w:val="right"/>
              <w:ind w:right="727"/>
              <w:spacing w:after="0" w:line="159" w:lineRule="exact"/>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r>
      <w:tr>
        <w:trPr>
          <w:trHeight w:val="166"/>
        </w:trPr>
        <w:tc>
          <w:tcPr>
            <w:tcW w:w="3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60" w:type="dxa"/>
            <w:vAlign w:val="bottom"/>
          </w:tcPr>
          <w:p>
            <w:pPr>
              <w:jc w:val="right"/>
              <w:ind w:right="647"/>
              <w:spacing w:after="0"/>
              <w:rPr>
                <w:sz w:val="20"/>
                <w:szCs w:val="20"/>
                <w:color w:val="auto"/>
              </w:rPr>
            </w:pPr>
            <w:r>
              <w:rPr>
                <w:rFonts w:ascii="Arial" w:cs="Arial" w:eastAsia="Arial" w:hAnsi="Arial"/>
                <w:sz w:val="14"/>
                <w:szCs w:val="14"/>
                <w:color w:val="auto"/>
              </w:rPr>
              <w:t>(in thousands)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84"/>
        </w:trPr>
        <w:tc>
          <w:tcPr>
            <w:tcW w:w="35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(a)</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rPr>
              <w:t>229,842</w:t>
            </w:r>
          </w:p>
        </w:tc>
        <w:tc>
          <w:tcPr>
            <w:tcW w:w="1660" w:type="dxa"/>
            <w:vAlign w:val="bottom"/>
            <w:shd w:val="clear" w:color="auto" w:fill="CCEEFF"/>
          </w:tcPr>
          <w:p>
            <w:pPr>
              <w:jc w:val="right"/>
              <w:ind w:right="487"/>
              <w:spacing w:after="0"/>
              <w:rPr>
                <w:sz w:val="20"/>
                <w:szCs w:val="20"/>
                <w:color w:val="auto"/>
              </w:rPr>
            </w:pPr>
            <w:r>
              <w:rPr>
                <w:rFonts w:ascii="Arial" w:cs="Arial" w:eastAsia="Arial" w:hAnsi="Arial"/>
                <w:sz w:val="18"/>
                <w:szCs w:val="18"/>
                <w:color w:val="auto"/>
              </w:rPr>
              <w:t>3,190,437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3,036,507</w:t>
            </w:r>
          </w:p>
        </w:tc>
        <w:tc>
          <w:tcPr>
            <w:tcW w:w="100" w:type="dxa"/>
            <w:vAlign w:val="bottom"/>
            <w:shd w:val="clear" w:color="auto" w:fill="CCEEFF"/>
          </w:tcPr>
          <w:p>
            <w:pPr>
              <w:spacing w:after="0"/>
              <w:rPr>
                <w:sz w:val="18"/>
                <w:szCs w:val="18"/>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04"/>
              <w:spacing w:after="0"/>
              <w:rPr>
                <w:sz w:val="20"/>
                <w:szCs w:val="20"/>
                <w:color w:val="auto"/>
              </w:rPr>
            </w:pPr>
            <w:r>
              <w:rPr>
                <w:rFonts w:ascii="Arial" w:cs="Arial" w:eastAsia="Arial" w:hAnsi="Arial"/>
                <w:sz w:val="18"/>
                <w:szCs w:val="18"/>
                <w:color w:val="auto"/>
              </w:rPr>
              <w:t>9,315</w:t>
            </w:r>
          </w:p>
        </w:tc>
        <w:tc>
          <w:tcPr>
            <w:tcW w:w="1660" w:type="dxa"/>
            <w:vAlign w:val="bottom"/>
          </w:tcPr>
          <w:p>
            <w:pPr>
              <w:jc w:val="right"/>
              <w:ind w:right="487"/>
              <w:spacing w:after="0"/>
              <w:rPr>
                <w:sz w:val="20"/>
                <w:szCs w:val="20"/>
                <w:color w:val="auto"/>
              </w:rPr>
            </w:pPr>
            <w:r>
              <w:rPr>
                <w:rFonts w:ascii="Arial" w:cs="Arial" w:eastAsia="Arial" w:hAnsi="Arial"/>
                <w:sz w:val="18"/>
                <w:szCs w:val="18"/>
                <w:color w:val="auto"/>
              </w:rPr>
              <w:t>663,048</w:t>
            </w:r>
          </w:p>
        </w:tc>
        <w:tc>
          <w:tcPr>
            <w:tcW w:w="720" w:type="dxa"/>
            <w:vAlign w:val="bottom"/>
          </w:tcPr>
          <w:p>
            <w:pPr>
              <w:jc w:val="right"/>
              <w:spacing w:after="0"/>
              <w:rPr>
                <w:sz w:val="20"/>
                <w:szCs w:val="20"/>
                <w:color w:val="auto"/>
              </w:rPr>
            </w:pPr>
            <w:r>
              <w:rPr>
                <w:rFonts w:ascii="Arial" w:cs="Arial" w:eastAsia="Arial" w:hAnsi="Arial"/>
                <w:sz w:val="18"/>
                <w:szCs w:val="18"/>
                <w:color w:val="auto"/>
              </w:rPr>
              <w:t>13,535</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interest income plus other income.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4"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On November 5, 2010, M&amp;T Bank, M&amp;T’s principal banking subsidiary, entered into a purchase and assumption agreement with the Federal Deposit Insurance Corporation (“FDIC”) to assume all of the deposits, except certain brokered deposits, and acquire certain assets of K Bank, based in Randallstown, Maryland. As part of the transaction, M&amp;T Bank entered into a loss-share arrangement with the FDIC whereby M&amp;T Bank will be reimbursed by the FDIC for most losses it incurs on the acquired loan portfolio. The transaction was accounted for using the acquisition method of accounting and, accordingly, assets acquired and liabilities assumed were recorded at estimated fair value on the acquisition date. Assets acquired in the transaction totaled approximately $556 million, including $154 million of loans and $186 million in cash, and liabilities assumed aggregated $528 million, including $491 million of deposits. In accordance with GAAP, M&amp;T Bank recorded an after-tax gain on the transaction of $17 million ($28 million before taxes). The gain reflected the amount of financial support and indemnification against loan losses that M&amp;T Bank obtained from the FDIC. There was no goodwill or other intangible assets recorded in connection with this transaction. The operations obtained in the K Bank acquisition transaction did not have a material impact on the Company’s consolidated financial position or results of operations.</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Wilmington Trust and K Bank acquisitions, the Company incurred merger-related expenses related to systems conversions and other costs of integrating and conforming acquired operations with and into the Company. Those expenses consisted largely of professional services and other temporary help fees associated with the conversion of systems and/or integration of operations; costs related to termination of existing contractual arrangements of Wilmington Trust to purchase various services; initial marketing and promotion expenses designed to introduce M&amp;T Bank to its new customers; travel costs; and printing, postage, supplies and other costs of completing the transactions and commencing operations in new markets and offices. There were no merger-related expenses during the three months or nine months ended September 30, 2010. The Company expects to incur additional merger-related expenses during the remainder of 2011. As of September 30, 2011, the remaining unpaid portion of incurred merger-related expenses was $17 million. A summary of merger-related expenses included in the consolidated statement of income follows.</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400" w:type="dxa"/>
            <w:vAlign w:val="bottom"/>
            <w:gridSpan w:val="3"/>
          </w:tcPr>
          <w:p>
            <w:pPr>
              <w:ind w:left="2280"/>
              <w:spacing w:after="0"/>
              <w:rPr>
                <w:sz w:val="20"/>
                <w:szCs w:val="20"/>
                <w:color w:val="auto"/>
              </w:rPr>
            </w:pPr>
            <w:r>
              <w:rPr>
                <w:rFonts w:ascii="Arial" w:cs="Arial" w:eastAsia="Arial" w:hAnsi="Arial"/>
                <w:sz w:val="14"/>
                <w:szCs w:val="14"/>
                <w:color w:val="auto"/>
                <w:w w:val="85"/>
              </w:rPr>
              <w:t>Three months ended</w:t>
            </w:r>
          </w:p>
        </w:tc>
        <w:tc>
          <w:tcPr>
            <w:tcW w:w="9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w w:val="95"/>
              </w:rPr>
              <w:t>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120" w:type="dxa"/>
            <w:vAlign w:val="bottom"/>
            <w:gridSpan w:val="2"/>
          </w:tcPr>
          <w:p>
            <w:pPr>
              <w:ind w:left="20"/>
              <w:spacing w:after="0" w:line="159" w:lineRule="exact"/>
              <w:rPr>
                <w:sz w:val="20"/>
                <w:szCs w:val="20"/>
                <w:color w:val="auto"/>
              </w:rPr>
            </w:pPr>
            <w:r>
              <w:rPr>
                <w:rFonts w:ascii="Arial" w:cs="Arial" w:eastAsia="Arial" w:hAnsi="Arial"/>
                <w:sz w:val="14"/>
                <w:szCs w:val="14"/>
                <w:color w:val="auto"/>
                <w:w w:val="85"/>
              </w:rPr>
              <w:t>September 30, 2011</w:t>
            </w:r>
          </w:p>
        </w:tc>
        <w:tc>
          <w:tcPr>
            <w:tcW w:w="2120" w:type="dxa"/>
            <w:vAlign w:val="bottom"/>
            <w:gridSpan w:val="4"/>
          </w:tcPr>
          <w:p>
            <w:pPr>
              <w:ind w:left="940"/>
              <w:spacing w:after="0" w:line="159" w:lineRule="exact"/>
              <w:rPr>
                <w:sz w:val="20"/>
                <w:szCs w:val="20"/>
                <w:color w:val="auto"/>
              </w:rPr>
            </w:pPr>
            <w:r>
              <w:rPr>
                <w:rFonts w:ascii="Arial" w:cs="Arial" w:eastAsia="Arial" w:hAnsi="Arial"/>
                <w:sz w:val="14"/>
                <w:szCs w:val="14"/>
                <w:color w:val="auto"/>
                <w:w w:val="91"/>
              </w:rPr>
              <w:t>September 30, 2011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(in thousands)</w:t>
            </w: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1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64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2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2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24,876</w:t>
            </w:r>
          </w:p>
        </w:tc>
        <w:tc>
          <w:tcPr>
            <w:tcW w:w="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26,003</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80" w:type="dxa"/>
            <w:vAlign w:val="bottom"/>
            <w:vMerge w:val="restart"/>
          </w:tcPr>
          <w:p>
            <w:pPr>
              <w:jc w:val="right"/>
              <w:ind w:right="837"/>
              <w:spacing w:after="0"/>
              <w:rPr>
                <w:sz w:val="20"/>
                <w:szCs w:val="20"/>
                <w:color w:val="auto"/>
              </w:rPr>
            </w:pPr>
            <w:r>
              <w:rPr>
                <w:rFonts w:ascii="Arial" w:cs="Arial" w:eastAsia="Arial" w:hAnsi="Arial"/>
                <w:sz w:val="18"/>
                <w:szCs w:val="18"/>
                <w:color w:val="auto"/>
              </w:rPr>
              <w:t>- 10 -</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80"/>
              </w:rPr>
              <w:t>Gross</w:t>
            </w:r>
          </w:p>
        </w:tc>
        <w:tc>
          <w:tcPr>
            <w:tcW w:w="620" w:type="dxa"/>
            <w:vAlign w:val="bottom"/>
          </w:tcPr>
          <w:p>
            <w:pPr>
              <w:jc w:val="center"/>
              <w:spacing w:after="0"/>
              <w:rPr>
                <w:sz w:val="20"/>
                <w:szCs w:val="20"/>
                <w:color w:val="auto"/>
              </w:rPr>
            </w:pPr>
            <w:r>
              <w:rPr>
                <w:rFonts w:ascii="Arial" w:cs="Arial" w:eastAsia="Arial" w:hAnsi="Arial"/>
                <w:sz w:val="14"/>
                <w:szCs w:val="14"/>
                <w:color w:val="auto"/>
                <w:w w:val="80"/>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Amortized</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unrealized</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cost</w:t>
            </w: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9"/>
              </w:rPr>
              <w:t>gains</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0"/>
              </w:rPr>
              <w:t>losses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jc w:val="right"/>
              <w:ind w:right="254"/>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69,668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45,805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1,029</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3,708,714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168,551</w:t>
            </w:r>
          </w:p>
        </w:tc>
        <w:tc>
          <w:tcPr>
            <w:tcW w:w="62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3,877,038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1,441,491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233,549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1,215,078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19,446</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44,064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debt securities</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216,635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4,164</w:t>
            </w:r>
          </w:p>
        </w:tc>
        <w:tc>
          <w:tcPr>
            <w:tcW w:w="620" w:type="dxa"/>
            <w:vAlign w:val="bottom"/>
          </w:tcPr>
          <w:p>
            <w:pPr>
              <w:jc w:val="right"/>
              <w:spacing w:after="0"/>
              <w:rPr>
                <w:sz w:val="20"/>
                <w:szCs w:val="20"/>
                <w:color w:val="auto"/>
              </w:rPr>
            </w:pPr>
            <w:r>
              <w:rPr>
                <w:rFonts w:ascii="Arial" w:cs="Arial" w:eastAsia="Arial" w:hAnsi="Arial"/>
                <w:sz w:val="18"/>
                <w:szCs w:val="18"/>
                <w:color w:val="auto"/>
              </w:rPr>
              <w:t>39,946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171,357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5,717,180</w:t>
            </w: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200,911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282,213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5,635,878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3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184,472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6,942</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686,908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28,507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278,433</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debt securities</w:t>
            </w:r>
          </w:p>
        </w:tc>
        <w:tc>
          <w:tcPr>
            <w:tcW w:w="3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12,024</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1,161,837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1,097,215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3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376,082</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7,255,099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236,360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382,284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7,109,175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400" w:type="dxa"/>
            <w:vAlign w:val="bottom"/>
            <w:gridSpan w:val="2"/>
            <w:vMerge w:val="continue"/>
          </w:tcPr>
          <w:p>
            <w:pPr>
              <w:spacing w:after="0"/>
              <w:rPr>
                <w:sz w:val="24"/>
                <w:szCs w:val="24"/>
                <w:color w:val="auto"/>
              </w:rPr>
            </w:pPr>
          </w:p>
        </w:tc>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61,772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1,680</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59,921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3,146,054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161,298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3,306,241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Privately issued residential</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1,677,064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10,578</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252,081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1,435,561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commercial</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25,357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95,080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24,754</w:t>
            </w:r>
          </w:p>
        </w:tc>
        <w:tc>
          <w:tcPr>
            <w:tcW w:w="620" w:type="dxa"/>
            <w:vAlign w:val="bottom"/>
          </w:tcPr>
          <w:p>
            <w:pPr>
              <w:jc w:val="right"/>
              <w:spacing w:after="0"/>
              <w:rPr>
                <w:sz w:val="20"/>
                <w:szCs w:val="20"/>
                <w:color w:val="auto"/>
              </w:rPr>
            </w:pPr>
            <w:r>
              <w:rPr>
                <w:rFonts w:ascii="Arial" w:cs="Arial" w:eastAsia="Arial" w:hAnsi="Arial"/>
                <w:sz w:val="18"/>
                <w:szCs w:val="18"/>
                <w:color w:val="auto"/>
              </w:rPr>
              <w:t>9,078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310,017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Equity securities</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119,112</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5,098</w:t>
            </w:r>
          </w:p>
        </w:tc>
        <w:tc>
          <w:tcPr>
            <w:tcW w:w="620" w:type="dxa"/>
            <w:vAlign w:val="bottom"/>
          </w:tcPr>
          <w:p>
            <w:pPr>
              <w:jc w:val="right"/>
              <w:spacing w:after="0"/>
              <w:rPr>
                <w:sz w:val="20"/>
                <w:szCs w:val="20"/>
                <w:color w:val="auto"/>
              </w:rPr>
            </w:pPr>
            <w:r>
              <w:rPr>
                <w:rFonts w:ascii="Arial" w:cs="Arial" w:eastAsia="Arial" w:hAnsi="Arial"/>
                <w:sz w:val="18"/>
                <w:szCs w:val="18"/>
                <w:color w:val="auto"/>
              </w:rPr>
              <w:t>8,442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5,494,377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230,852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311,737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5,413,492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3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191,119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808,108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Privately issued</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312,537</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114,397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3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12,575</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1,324,339</w:t>
            </w: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16,005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115,091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1,225,253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3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412,709</w:t>
            </w: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7,231,425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246,857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426,828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7,051,454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60" w:type="dxa"/>
            <w:vAlign w:val="bottom"/>
            <w:vMerge w:val="restart"/>
          </w:tcPr>
          <w:p>
            <w:pPr>
              <w:jc w:val="right"/>
              <w:ind w:right="1872"/>
              <w:spacing w:after="0"/>
              <w:rPr>
                <w:sz w:val="20"/>
                <w:szCs w:val="20"/>
                <w:color w:val="auto"/>
              </w:rPr>
            </w:pPr>
            <w:r>
              <w:rPr>
                <w:rFonts w:ascii="Arial" w:cs="Arial" w:eastAsia="Arial" w:hAnsi="Arial"/>
                <w:sz w:val="18"/>
                <w:szCs w:val="18"/>
                <w:color w:val="auto"/>
              </w:rPr>
              <w:t>- 11 -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Gross realized gains on investment securities were $90 thousand and $150 million for the three-month and nine-month periods ended September 30, 2011, respectively. Gross realized losses were not significant in 2011. Gross realized gains and losses on investment securities were not significant during the three-month and nine-month periods ended September 30, 2010. During the second quarter of 2011, the Company sold residential mortgage-backed securities guaranteed by the Federal National Mortgage Association (“Fannie Mae”) and Federal Home Loan Mortgage Corporation (“Freddie Mac”) having an aggregate amortized cost of approximately $1.0 billion which resulted in a gain of $66 million (pre-tax). The Company also sold trust preferred securities and collateralized debt obligations during the second quarter of 2011 having an aggregate amortized cost of $136 million and $100 million, respectively, which resulted in gains of $25 million (pre-tax) and $20 million (pre-tax), respectively. During the first quarter of 2011, the Company sold residential mortgage-backed securities guaranteed by Fannie Mae and Freddie Mac having an aggregate amortized cost of approximately $484 million which resulted in a gain of $39 million (pre-tax).</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recognized $10 million and $52 million of pre-tax other-than-temporary impairment losses during the three- and nine-month periods ended September 30, 2011, respectively, related to privately issued mortgage-backed securities. The impairment charges were recognized in light of deterioration of real estate values and continued high levels of delinquencies and charge-offs of underlying mortgage loans collateralizing those securities. Other-than-temporary impairment losses on investment securities of $10 million and $59 million (pre-tax) were recognized by the Company for the three- and nine-month periods ended September 30, 2010. Approximately $12 million of the losses recognized in the second quarter of 2010 related to American Depositary Shares of Allied Irish Banks, p.l.c. (“AIB ADSs”) which were obtained in M&amp;T’s acquisition of a subsidiary of AIB in 2003. The remaining losses in 2010 related to certain privately issued residential mortgage-backed securities and collateralized debt obligations backed by pooled trust preferred securities. The impairment charges related to the AIB ADSs were recognized due to mounting credit and other losses incurred by AIB and significant dilution of AIB common shareholders based on the Irish government’s significant ownership position. The impairment charges related to the privately issued residential mortgage-backed securities were recognized in light of deterioration of housing values in the residential real estate market and a rise in delinquencies and charge-offs of underlying mortgage loans collateralizing those securities. The other-than-temporary impairment losses on debt securities represent management’s estimate of credit losses inherent in the securities considering projected cash flows using assumptions of delinquency rates, loss severities, and other estimates of future collateral performance. The following table displays changes in credit losses for debt securities recognized in earnings for the three months and nine months ended September 30, 2011 and 2010.</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3.</w:t>
            </w:r>
          </w:p>
        </w:tc>
        <w:tc>
          <w:tcPr>
            <w:tcW w:w="61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Investment securities, continued</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4"/>
                <w:szCs w:val="14"/>
                <w:color w:val="auto"/>
                <w:w w:val="85"/>
              </w:rPr>
              <w:t>Three months ended September 30</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0"/>
              <w:spacing w:after="0" w:line="159" w:lineRule="exact"/>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line="159" w:lineRule="exact"/>
              <w:rPr>
                <w:sz w:val="20"/>
                <w:szCs w:val="20"/>
                <w:color w:val="auto"/>
              </w:rPr>
            </w:pPr>
            <w:r>
              <w:rPr>
                <w:rFonts w:ascii="Arial" w:cs="Arial" w:eastAsia="Arial" w:hAnsi="Arial"/>
                <w:sz w:val="14"/>
                <w:szCs w:val="14"/>
                <w:color w:val="auto"/>
              </w:rPr>
              <w:t>2010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left="440"/>
              <w:spacing w:after="0" w:line="142" w:lineRule="exact"/>
              <w:rPr>
                <w:sz w:val="20"/>
                <w:szCs w:val="20"/>
                <w:color w:val="auto"/>
              </w:rPr>
            </w:pPr>
            <w:r>
              <w:rPr>
                <w:rFonts w:ascii="Arial" w:cs="Arial" w:eastAsia="Arial" w:hAnsi="Arial"/>
                <w:sz w:val="14"/>
                <w:szCs w:val="14"/>
                <w:color w:val="auto"/>
                <w:w w:val="85"/>
              </w:rPr>
              <w:t>(in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298,141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9,642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Reductions for bond charge-offs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(23,127)</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080" w:type="dxa"/>
            <w:vAlign w:val="bottom"/>
            <w:vMerge w:val="restart"/>
          </w:tcPr>
          <w:p>
            <w:pPr>
              <w:spacing w:after="0"/>
              <w:rPr>
                <w:sz w:val="10"/>
                <w:szCs w:val="10"/>
                <w:color w:val="auto"/>
              </w:rPr>
            </w:pPr>
          </w:p>
        </w:tc>
        <w:tc>
          <w:tcPr>
            <w:tcW w:w="50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284,566</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311,875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4"/>
                <w:szCs w:val="14"/>
                <w:color w:val="auto"/>
                <w:w w:val="86"/>
              </w:rPr>
              <w:t>Nine months ended September 30</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0"/>
              <w:spacing w:after="0" w:line="159" w:lineRule="exact"/>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line="159" w:lineRule="exact"/>
              <w:rPr>
                <w:sz w:val="20"/>
                <w:szCs w:val="20"/>
                <w:color w:val="auto"/>
              </w:rPr>
            </w:pPr>
            <w:r>
              <w:rPr>
                <w:rFonts w:ascii="Arial" w:cs="Arial" w:eastAsia="Arial" w:hAnsi="Arial"/>
                <w:sz w:val="14"/>
                <w:szCs w:val="14"/>
                <w:color w:val="auto"/>
              </w:rPr>
              <w:t>2010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left="440"/>
              <w:spacing w:after="0" w:line="142" w:lineRule="exact"/>
              <w:rPr>
                <w:sz w:val="20"/>
                <w:szCs w:val="20"/>
                <w:color w:val="auto"/>
              </w:rPr>
            </w:pPr>
            <w:r>
              <w:rPr>
                <w:rFonts w:ascii="Arial" w:cs="Arial" w:eastAsia="Arial" w:hAnsi="Arial"/>
                <w:sz w:val="14"/>
                <w:szCs w:val="14"/>
                <w:color w:val="auto"/>
                <w:w w:val="85"/>
              </w:rPr>
              <w:t>(in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327,912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52,213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(5,110)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Reductions for bond charge-offs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(90,449)</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(18,909)</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080" w:type="dxa"/>
            <w:vAlign w:val="bottom"/>
            <w:vMerge w:val="restart"/>
          </w:tcPr>
          <w:p>
            <w:pPr>
              <w:spacing w:after="0"/>
              <w:rPr>
                <w:sz w:val="10"/>
                <w:szCs w:val="10"/>
                <w:color w:val="auto"/>
              </w:rPr>
            </w:pPr>
          </w:p>
        </w:tc>
        <w:tc>
          <w:tcPr>
            <w:tcW w:w="50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284,566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311,875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2011, the amortized cost and estimated fair value of debt securities by contractual maturity were as follows:</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4"/>
              </w:rPr>
              <w:t>Amortized cost</w:t>
            </w:r>
          </w:p>
        </w:tc>
        <w:tc>
          <w:tcPr>
            <w:tcW w:w="420" w:type="dxa"/>
            <w:vAlign w:val="bottom"/>
          </w:tcPr>
          <w:p>
            <w:pPr>
              <w:spacing w:after="0"/>
              <w:rPr>
                <w:sz w:val="13"/>
                <w:szCs w:val="13"/>
                <w:color w:val="auto"/>
              </w:rPr>
            </w:pPr>
          </w:p>
        </w:tc>
        <w:tc>
          <w:tcPr>
            <w:tcW w:w="8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jc w:val="right"/>
              <w:ind w:right="619"/>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9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258,851</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376,172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350,027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5,169,651</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5,108,945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9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5,545,823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5,458,972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9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23,957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134,730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140,377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196,496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203,419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965,341</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9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1,161,837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1,097,215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60" w:type="dxa"/>
            <w:vAlign w:val="bottom"/>
            <w:vMerge w:val="restart"/>
          </w:tcPr>
          <w:p>
            <w:pPr>
              <w:jc w:val="right"/>
              <w:ind w:right="1812"/>
              <w:spacing w:after="0"/>
              <w:rPr>
                <w:sz w:val="20"/>
                <w:szCs w:val="20"/>
                <w:color w:val="auto"/>
              </w:rPr>
            </w:pPr>
            <w:r>
              <w:rPr>
                <w:rFonts w:ascii="Arial" w:cs="Arial" w:eastAsia="Arial" w:hAnsi="Arial"/>
                <w:sz w:val="18"/>
                <w:szCs w:val="18"/>
                <w:color w:val="auto"/>
              </w:rPr>
              <w:t>- 13 -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investment securities that as of September 30, 2011 and December 31, 2010 had been in a continuous unrealized loss position for less than twelve months and those that had been in a continuous unrealized loss position for twelve months or longer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color w:val="auto"/>
                <w:w w:val="93"/>
              </w:rPr>
              <w:t>Less than 12 months</w:t>
            </w:r>
          </w:p>
        </w:tc>
        <w:tc>
          <w:tcPr>
            <w:tcW w:w="1840" w:type="dxa"/>
            <w:vAlign w:val="bottom"/>
            <w:gridSpan w:val="4"/>
          </w:tcPr>
          <w:p>
            <w:pPr>
              <w:jc w:val="right"/>
              <w:ind w:right="46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9"/>
              </w:rPr>
              <w:t>Unrealized</w:t>
            </w: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6"/>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4"/>
              </w:rPr>
              <w:t>Fair value</w:t>
            </w:r>
          </w:p>
        </w:tc>
        <w:tc>
          <w:tcPr>
            <w:tcW w:w="300" w:type="dxa"/>
            <w:vAlign w:val="bottom"/>
          </w:tcPr>
          <w:p>
            <w:pPr>
              <w:spacing w:after="0"/>
              <w:rPr>
                <w:sz w:val="13"/>
                <w:szCs w:val="13"/>
                <w:color w:val="auto"/>
              </w:rPr>
            </w:pPr>
          </w:p>
        </w:tc>
        <w:tc>
          <w:tcPr>
            <w:tcW w:w="92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0"/>
              </w:rPr>
              <w:t>losses</w:t>
            </w:r>
          </w:p>
        </w:tc>
        <w:tc>
          <w:tcPr>
            <w:tcW w:w="740" w:type="dxa"/>
            <w:vAlign w:val="bottom"/>
          </w:tcPr>
          <w:p>
            <w:pPr>
              <w:jc w:val="right"/>
              <w:ind w:right="15"/>
              <w:spacing w:after="0" w:line="159" w:lineRule="exact"/>
              <w:rPr>
                <w:sz w:val="20"/>
                <w:szCs w:val="20"/>
                <w:color w:val="auto"/>
              </w:rPr>
            </w:pPr>
            <w:r>
              <w:rPr>
                <w:rFonts w:ascii="Arial" w:cs="Arial" w:eastAsia="Arial" w:hAnsi="Arial"/>
                <w:sz w:val="14"/>
                <w:szCs w:val="14"/>
                <w:color w:val="auto"/>
              </w:rPr>
              <w:t>Fair value</w:t>
            </w:r>
          </w:p>
        </w:tc>
        <w:tc>
          <w:tcPr>
            <w:tcW w:w="300" w:type="dxa"/>
            <w:vAlign w:val="bottom"/>
          </w:tcPr>
          <w:p>
            <w:pPr>
              <w:spacing w:after="0"/>
              <w:rPr>
                <w:sz w:val="13"/>
                <w:szCs w:val="13"/>
                <w:color w:val="auto"/>
              </w:rPr>
            </w:pPr>
          </w:p>
        </w:tc>
        <w:tc>
          <w:tcPr>
            <w:tcW w:w="80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0"/>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jc w:val="right"/>
              <w:ind w:right="355"/>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46,184</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 residential</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295,370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(8,164)</w:t>
            </w:r>
          </w:p>
        </w:tc>
        <w:tc>
          <w:tcPr>
            <w:tcW w:w="740" w:type="dxa"/>
            <w:vAlign w:val="bottom"/>
          </w:tcPr>
          <w:p>
            <w:pPr>
              <w:jc w:val="right"/>
              <w:spacing w:after="0"/>
              <w:rPr>
                <w:sz w:val="20"/>
                <w:szCs w:val="20"/>
                <w:color w:val="auto"/>
              </w:rPr>
            </w:pPr>
            <w:r>
              <w:rPr>
                <w:rFonts w:ascii="Arial" w:cs="Arial" w:eastAsia="Arial" w:hAnsi="Arial"/>
                <w:sz w:val="18"/>
                <w:szCs w:val="18"/>
                <w:color w:val="auto"/>
              </w:rPr>
              <w:t>803,491</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(225,385)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commercial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2,549</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(531)</w:t>
            </w:r>
          </w:p>
        </w:tc>
        <w:tc>
          <w:tcPr>
            <w:tcW w:w="740" w:type="dxa"/>
            <w:vAlign w:val="bottom"/>
          </w:tcPr>
          <w:p>
            <w:pPr>
              <w:jc w:val="right"/>
              <w:spacing w:after="0"/>
              <w:rPr>
                <w:sz w:val="20"/>
                <w:szCs w:val="20"/>
                <w:color w:val="auto"/>
              </w:rPr>
            </w:pPr>
            <w:r>
              <w:rPr>
                <w:rFonts w:ascii="Arial" w:cs="Arial" w:eastAsia="Arial" w:hAnsi="Arial"/>
                <w:sz w:val="18"/>
                <w:szCs w:val="18"/>
                <w:color w:val="auto"/>
              </w:rPr>
              <w:t>4,684</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77,028</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(5,252)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9,189</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(2,981)</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430,976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(17,100)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903,877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(265,113)</w:t>
            </w:r>
          </w:p>
        </w:tc>
        <w:tc>
          <w:tcPr>
            <w:tcW w:w="0" w:type="dxa"/>
            <w:vAlign w:val="bottom"/>
          </w:tcPr>
          <w:p>
            <w:pPr>
              <w:spacing w:after="0"/>
              <w:rPr>
                <w:sz w:val="1"/>
                <w:szCs w:val="1"/>
                <w:color w:val="auto"/>
              </w:rPr>
            </w:pPr>
          </w:p>
        </w:tc>
      </w:tr>
      <w:tr>
        <w:trPr>
          <w:trHeight w:val="329"/>
        </w:trPr>
        <w:tc>
          <w:tcPr>
            <w:tcW w:w="418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2,791</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(1,116)</w:t>
            </w:r>
          </w:p>
        </w:tc>
        <w:tc>
          <w:tcPr>
            <w:tcW w:w="740" w:type="dxa"/>
            <w:vAlign w:val="bottom"/>
          </w:tcPr>
          <w:p>
            <w:pPr>
              <w:jc w:val="right"/>
              <w:spacing w:after="0"/>
              <w:rPr>
                <w:sz w:val="20"/>
                <w:szCs w:val="20"/>
                <w:color w:val="auto"/>
              </w:rPr>
            </w:pPr>
            <w:r>
              <w:rPr>
                <w:rFonts w:ascii="Arial" w:cs="Arial" w:eastAsia="Arial" w:hAnsi="Arial"/>
                <w:sz w:val="18"/>
                <w:szCs w:val="18"/>
                <w:color w:val="auto"/>
              </w:rPr>
              <w:t>175,590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(98,936)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175,774</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(98,944)</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gridSpan w:val="2"/>
            <w:vMerge w:val="continue"/>
          </w:tcPr>
          <w:p>
            <w:pPr>
              <w:spacing w:after="0"/>
              <w:rPr>
                <w:sz w:val="19"/>
                <w:szCs w:val="19"/>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435,309</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(18,227)</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1,079,651</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(364,057)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color w:val="auto"/>
                <w:w w:val="93"/>
              </w:rPr>
              <w:t>Less than 12 months</w:t>
            </w:r>
          </w:p>
        </w:tc>
        <w:tc>
          <w:tcPr>
            <w:tcW w:w="1840" w:type="dxa"/>
            <w:vAlign w:val="bottom"/>
            <w:gridSpan w:val="4"/>
          </w:tcPr>
          <w:p>
            <w:pPr>
              <w:jc w:val="right"/>
              <w:ind w:right="46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9"/>
              </w:rPr>
              <w:t>Unrealized</w:t>
            </w: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6"/>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4"/>
              </w:rPr>
              <w:t>Fair value</w:t>
            </w:r>
          </w:p>
        </w:tc>
        <w:tc>
          <w:tcPr>
            <w:tcW w:w="300" w:type="dxa"/>
            <w:vAlign w:val="bottom"/>
          </w:tcPr>
          <w:p>
            <w:pPr>
              <w:spacing w:after="0"/>
              <w:rPr>
                <w:sz w:val="13"/>
                <w:szCs w:val="13"/>
                <w:color w:val="auto"/>
              </w:rPr>
            </w:pPr>
          </w:p>
        </w:tc>
        <w:tc>
          <w:tcPr>
            <w:tcW w:w="92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0"/>
              </w:rPr>
              <w:t>losses</w:t>
            </w:r>
          </w:p>
        </w:tc>
        <w:tc>
          <w:tcPr>
            <w:tcW w:w="740" w:type="dxa"/>
            <w:vAlign w:val="bottom"/>
          </w:tcPr>
          <w:p>
            <w:pPr>
              <w:jc w:val="right"/>
              <w:ind w:right="15"/>
              <w:spacing w:after="0" w:line="159" w:lineRule="exact"/>
              <w:rPr>
                <w:sz w:val="20"/>
                <w:szCs w:val="20"/>
                <w:color w:val="auto"/>
              </w:rPr>
            </w:pPr>
            <w:r>
              <w:rPr>
                <w:rFonts w:ascii="Arial" w:cs="Arial" w:eastAsia="Arial" w:hAnsi="Arial"/>
                <w:sz w:val="14"/>
                <w:szCs w:val="14"/>
                <w:color w:val="auto"/>
              </w:rPr>
              <w:t>Fair value</w:t>
            </w:r>
          </w:p>
        </w:tc>
        <w:tc>
          <w:tcPr>
            <w:tcW w:w="300" w:type="dxa"/>
            <w:vAlign w:val="bottom"/>
          </w:tcPr>
          <w:p>
            <w:pPr>
              <w:spacing w:after="0"/>
              <w:rPr>
                <w:sz w:val="13"/>
                <w:szCs w:val="13"/>
                <w:color w:val="auto"/>
              </w:rPr>
            </w:pPr>
          </w:p>
        </w:tc>
        <w:tc>
          <w:tcPr>
            <w:tcW w:w="80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0"/>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Borders>
              <w:top w:val="single" w:sz="8" w:color="auto"/>
            </w:tcBorders>
            <w:gridSpan w:val="3"/>
          </w:tcPr>
          <w:p>
            <w:pPr>
              <w:jc w:val="right"/>
              <w:ind w:right="355"/>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27,289</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3,712</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(18)</w:t>
            </w:r>
          </w:p>
        </w:tc>
        <w:tc>
          <w:tcPr>
            <w:tcW w:w="740" w:type="dxa"/>
            <w:vAlign w:val="bottom"/>
          </w:tcPr>
          <w:p>
            <w:pPr>
              <w:jc w:val="right"/>
              <w:spacing w:after="0"/>
              <w:rPr>
                <w:sz w:val="20"/>
                <w:szCs w:val="20"/>
                <w:color w:val="auto"/>
              </w:rPr>
            </w:pPr>
            <w:r>
              <w:rPr>
                <w:rFonts w:ascii="Arial" w:cs="Arial" w:eastAsia="Arial" w:hAnsi="Arial"/>
                <w:sz w:val="18"/>
                <w:szCs w:val="18"/>
                <w:color w:val="auto"/>
              </w:rPr>
              <w:t>2,062</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68,507</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(1,079)</w:t>
            </w:r>
          </w:p>
        </w:tc>
        <w:tc>
          <w:tcPr>
            <w:tcW w:w="740" w:type="dxa"/>
            <w:vAlign w:val="bottom"/>
          </w:tcPr>
          <w:p>
            <w:pPr>
              <w:jc w:val="right"/>
              <w:spacing w:after="0"/>
              <w:rPr>
                <w:sz w:val="20"/>
                <w:szCs w:val="20"/>
                <w:color w:val="auto"/>
              </w:rPr>
            </w:pPr>
            <w:r>
              <w:rPr>
                <w:rFonts w:ascii="Arial" w:cs="Arial" w:eastAsia="Arial" w:hAnsi="Arial"/>
                <w:sz w:val="18"/>
                <w:szCs w:val="18"/>
                <w:color w:val="auto"/>
              </w:rPr>
              <w:t>2,965</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61,192</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1,057,315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22,407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(6,959)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debt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2,134</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rPr>
              <w:t>88,969</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180,622</w:t>
            </w:r>
          </w:p>
        </w:tc>
        <w:tc>
          <w:tcPr>
            <w:tcW w:w="3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(12,859)</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1,180,395</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(298,878)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76,318</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(638)</w:t>
            </w:r>
          </w:p>
        </w:tc>
        <w:tc>
          <w:tcPr>
            <w:tcW w:w="740" w:type="dxa"/>
            <w:vAlign w:val="bottom"/>
          </w:tcPr>
          <w:p>
            <w:pPr>
              <w:jc w:val="right"/>
              <w:spacing w:after="0"/>
              <w:rPr>
                <w:sz w:val="20"/>
                <w:szCs w:val="20"/>
                <w:color w:val="auto"/>
              </w:rPr>
            </w:pPr>
            <w:r>
              <w:rPr>
                <w:rFonts w:ascii="Arial" w:cs="Arial" w:eastAsia="Arial" w:hAnsi="Arial"/>
                <w:sz w:val="18"/>
                <w:szCs w:val="18"/>
                <w:color w:val="auto"/>
              </w:rPr>
              <w:t>467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198,140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76,318</w:t>
            </w:r>
          </w:p>
        </w:tc>
        <w:tc>
          <w:tcPr>
            <w:tcW w:w="3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(638)</w:t>
            </w:r>
          </w:p>
        </w:tc>
        <w:tc>
          <w:tcPr>
            <w:tcW w:w="740" w:type="dxa"/>
            <w:vAlign w:val="bottom"/>
          </w:tcPr>
          <w:p>
            <w:pPr>
              <w:jc w:val="right"/>
              <w:spacing w:after="0"/>
              <w:rPr>
                <w:sz w:val="20"/>
                <w:szCs w:val="20"/>
                <w:color w:val="auto"/>
              </w:rPr>
            </w:pPr>
            <w:r>
              <w:rPr>
                <w:rFonts w:ascii="Arial" w:cs="Arial" w:eastAsia="Arial" w:hAnsi="Arial"/>
                <w:sz w:val="18"/>
                <w:szCs w:val="18"/>
                <w:color w:val="auto"/>
              </w:rPr>
              <w:t>198,607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(114,453)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256,940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(13,497)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1,379,002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(413,331)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580" w:type="dxa"/>
            <w:vAlign w:val="bottom"/>
            <w:vMerge w:val="restart"/>
          </w:tcPr>
          <w:p>
            <w:pPr>
              <w:jc w:val="right"/>
              <w:ind w:right="1232"/>
              <w:spacing w:after="0"/>
              <w:rPr>
                <w:sz w:val="20"/>
                <w:szCs w:val="20"/>
                <w:color w:val="auto"/>
              </w:rPr>
            </w:pPr>
            <w:r>
              <w:rPr>
                <w:rFonts w:ascii="Arial" w:cs="Arial" w:eastAsia="Arial" w:hAnsi="Arial"/>
                <w:sz w:val="18"/>
                <w:szCs w:val="18"/>
                <w:color w:val="auto"/>
              </w:rPr>
              <w:t>- 14 -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owned 317 individual investment securities with aggregate gross unrealized losses of $382 million at September 30, 2011. Approximately $234 million of the unrealized losses pertained to available-for-sale privately issued residential mortgage-backed securities with a cost basis of $1.3 billion. The Company also had $43 million of unrealized losses on available-for-sale trust preferred securities issued by financial institutions and securities backed by trust preferred securities having a cost basis of $200 million. Based on a review of each of the securities in the investment securities portfolio at September 30, 2011, with the exception of the aforementioned securities for which other-than-temporary impairment losses were recognized, the Company concluded that it expected to recover the amortized cost basis of its investment. As of September 30, 2011, the Company does not intend to sell nor is it anticipated that it would be required to sell any of its impaired investment securities. At September 30, 2011, the Company has not identified events or changes in circumstances which may have a significant adverse effect on the fair value of the $376 million of cost method investment securities.</w:t>
      </w:r>
    </w:p>
    <w:p>
      <w:pPr>
        <w:spacing w:after="0" w:line="23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Interest income on acquired loans that were recorded at fair value at the acquisition date for the three months and nine months ended September 30, 2011 was approximately $97 million and $207 million, respectively, and for the three months and nine months ended September 30, 2010 was approximately $46 million and $132 million, respectively. The outstanding principal balance and the carrying amount of such loans that is included in the consolidated balance sheet were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82"/>
              </w:rPr>
              <w:t>September 30,</w:t>
            </w:r>
          </w:p>
        </w:tc>
        <w:tc>
          <w:tcPr>
            <w:tcW w:w="1300" w:type="dxa"/>
            <w:vAlign w:val="bottom"/>
            <w:gridSpan w:val="3"/>
          </w:tcPr>
          <w:p>
            <w:pPr>
              <w:ind w:left="4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640" w:type="dxa"/>
            <w:vAlign w:val="bottom"/>
            <w:gridSpan w:val="2"/>
          </w:tcPr>
          <w:p>
            <w:pPr>
              <w:jc w:val="right"/>
              <w:ind w:right="206"/>
              <w:spacing w:after="0" w:line="159" w:lineRule="exact"/>
              <w:rPr>
                <w:sz w:val="20"/>
                <w:szCs w:val="20"/>
                <w:color w:val="auto"/>
              </w:rPr>
            </w:pPr>
            <w:r>
              <w:rPr>
                <w:rFonts w:ascii="Arial" w:cs="Arial" w:eastAsia="Arial" w:hAnsi="Arial"/>
                <w:sz w:val="14"/>
                <w:szCs w:val="14"/>
                <w:color w:val="auto"/>
              </w:rPr>
              <w:t>2011</w:t>
            </w:r>
          </w:p>
        </w:tc>
        <w:tc>
          <w:tcPr>
            <w:tcW w:w="120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0" w:type="dxa"/>
            <w:vAlign w:val="bottom"/>
            <w:tcBorders>
              <w:top w:val="single" w:sz="8" w:color="auto"/>
            </w:tcBorders>
            <w:gridSpan w:val="3"/>
          </w:tcPr>
          <w:p>
            <w:pPr>
              <w:jc w:val="right"/>
              <w:ind w:right="532"/>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$9,843,549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3,681,488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Carrying amount:</w:t>
            </w: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financial, leasing, etc.</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1,341,567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Commercial real estate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4,267,754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1,420,239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real estate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959,714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Consumer</w:t>
            </w:r>
          </w:p>
        </w:tc>
        <w:tc>
          <w:tcPr>
            <w:tcW w:w="18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2,130,840</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1,231,292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8,699,875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3,337,725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Purchased impaired loans totaled $704 million at September 30, 2011, representing less than 1% of the Company’s assets and $97 million at December 31, 2010, representing less than .2% of the Company’s assets. Interest income earned on purchased impaired loans was $11 million and $18 million during the three-and nine-month periods ended September 30, 2011, respectively, and $2 million and $4 million during the three- and nine-month periods ended September 30, 2010, respectively.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summary of current, past due and nonaccrual loans as of September 30, 2011 and December 31, 2010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90 Days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6"/>
              </w:rPr>
              <w:t>or more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Other</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gridSpan w:val="2"/>
          </w:tcPr>
          <w:p>
            <w:pPr>
              <w:jc w:val="center"/>
              <w:ind w:left="114"/>
              <w:spacing w:after="0" w:line="149" w:lineRule="exact"/>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1"/>
              </w:rPr>
              <w:t>past due</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3"/>
              </w:rPr>
              <w:t>Purchased</w:t>
            </w: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acquired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Days</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9"/>
              </w:rPr>
              <w:t>impaired</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impaired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900" w:type="dxa"/>
            <w:vAlign w:val="bottom"/>
          </w:tcPr>
          <w:p>
            <w:pPr>
              <w:jc w:val="right"/>
              <w:ind w:right="154"/>
              <w:spacing w:after="0" w:line="159" w:lineRule="exact"/>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3"/>
                <w:szCs w:val="13"/>
                <w:color w:val="auto"/>
              </w:rPr>
            </w:pPr>
          </w:p>
        </w:tc>
        <w:tc>
          <w:tcPr>
            <w:tcW w:w="9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1"/>
              </w:rPr>
              <w:t>past due</w:t>
            </w: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6"/>
              </w:rPr>
              <w:t>accruing</w:t>
            </w:r>
          </w:p>
        </w:tc>
        <w:tc>
          <w:tcPr>
            <w:tcW w:w="20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93"/>
              </w:rPr>
              <w:t>(a)</w:t>
            </w:r>
          </w:p>
        </w:tc>
        <w:tc>
          <w:tcPr>
            <w:tcW w:w="200" w:type="dxa"/>
            <w:vAlign w:val="bottom"/>
          </w:tcPr>
          <w:p>
            <w:pPr>
              <w:spacing w:after="0"/>
              <w:rPr>
                <w:sz w:val="13"/>
                <w:szCs w:val="13"/>
                <w:color w:val="auto"/>
              </w:rPr>
            </w:pPr>
          </w:p>
        </w:tc>
        <w:tc>
          <w:tcPr>
            <w:tcW w:w="9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(b)</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w w:val="93"/>
              </w:rPr>
              <w:t>Nonaccrual</w:t>
            </w:r>
          </w:p>
        </w:tc>
        <w:tc>
          <w:tcPr>
            <w:tcW w:w="200" w:type="dxa"/>
            <w:vAlign w:val="bottom"/>
          </w:tcPr>
          <w:p>
            <w:pPr>
              <w:spacing w:after="0"/>
              <w:rPr>
                <w:sz w:val="13"/>
                <w:szCs w:val="13"/>
                <w:color w:val="auto"/>
              </w:rPr>
            </w:pPr>
          </w:p>
        </w:tc>
        <w:tc>
          <w:tcPr>
            <w:tcW w:w="9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Total</w:t>
            </w: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3"/>
          </w:tcPr>
          <w:p>
            <w:pPr>
              <w:jc w:val="right"/>
              <w:ind w:right="462"/>
              <w:spacing w:after="0" w:line="155"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$14,943,399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45,226</w:t>
            </w:r>
          </w:p>
        </w:tc>
        <w:tc>
          <w:tcPr>
            <w:tcW w:w="760" w:type="dxa"/>
            <w:vAlign w:val="bottom"/>
          </w:tcPr>
          <w:p>
            <w:pPr>
              <w:jc w:val="right"/>
              <w:spacing w:after="0"/>
              <w:rPr>
                <w:sz w:val="20"/>
                <w:szCs w:val="20"/>
                <w:color w:val="auto"/>
              </w:rPr>
            </w:pPr>
            <w:r>
              <w:rPr>
                <w:rFonts w:ascii="Arial" w:cs="Arial" w:eastAsia="Arial" w:hAnsi="Arial"/>
                <w:sz w:val="18"/>
                <w:szCs w:val="18"/>
                <w:color w:val="auto"/>
              </w:rPr>
              <w:t>31,459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25,792</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21,924</w:t>
            </w:r>
          </w:p>
        </w:tc>
        <w:tc>
          <w:tcPr>
            <w:tcW w:w="760" w:type="dxa"/>
            <w:vAlign w:val="bottom"/>
          </w:tcPr>
          <w:p>
            <w:pPr>
              <w:jc w:val="right"/>
              <w:spacing w:after="0"/>
              <w:rPr>
                <w:sz w:val="20"/>
                <w:szCs w:val="20"/>
                <w:color w:val="auto"/>
              </w:rPr>
            </w:pPr>
            <w:r>
              <w:rPr>
                <w:rFonts w:ascii="Arial" w:cs="Arial" w:eastAsia="Arial" w:hAnsi="Arial"/>
                <w:sz w:val="18"/>
                <w:szCs w:val="18"/>
                <w:color w:val="auto"/>
              </w:rPr>
              <w:t>150,702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15,218,502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18,746,145</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197,412</w:t>
            </w:r>
          </w:p>
        </w:tc>
        <w:tc>
          <w:tcPr>
            <w:tcW w:w="760" w:type="dxa"/>
            <w:vAlign w:val="bottom"/>
          </w:tcPr>
          <w:p>
            <w:pPr>
              <w:jc w:val="right"/>
              <w:spacing w:after="0"/>
              <w:rPr>
                <w:sz w:val="20"/>
                <w:szCs w:val="20"/>
                <w:color w:val="auto"/>
              </w:rPr>
            </w:pPr>
            <w:r>
              <w:rPr>
                <w:rFonts w:ascii="Arial" w:cs="Arial" w:eastAsia="Arial" w:hAnsi="Arial"/>
                <w:sz w:val="18"/>
                <w:szCs w:val="18"/>
                <w:color w:val="auto"/>
              </w:rPr>
              <w:t>19,207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207,523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82,815</w:t>
            </w:r>
          </w:p>
        </w:tc>
        <w:tc>
          <w:tcPr>
            <w:tcW w:w="760" w:type="dxa"/>
            <w:vAlign w:val="bottom"/>
          </w:tcPr>
          <w:p>
            <w:pPr>
              <w:jc w:val="right"/>
              <w:spacing w:after="0"/>
              <w:rPr>
                <w:sz w:val="20"/>
                <w:szCs w:val="20"/>
                <w:color w:val="auto"/>
              </w:rPr>
            </w:pPr>
            <w:r>
              <w:rPr>
                <w:rFonts w:ascii="Arial" w:cs="Arial" w:eastAsia="Arial" w:hAnsi="Arial"/>
                <w:sz w:val="18"/>
                <w:szCs w:val="18"/>
                <w:color w:val="auto"/>
              </w:rPr>
              <w:t>182,953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19,436,055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813,855</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116,705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338,182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49,483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318,957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1,669,949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900" w:type="dxa"/>
            <w:vAlign w:val="bottom"/>
          </w:tcPr>
          <w:p>
            <w:pPr>
              <w:jc w:val="right"/>
              <w:spacing w:after="0"/>
              <w:rPr>
                <w:sz w:val="20"/>
                <w:szCs w:val="20"/>
                <w:color w:val="auto"/>
              </w:rPr>
            </w:pPr>
            <w:r>
              <w:rPr>
                <w:rFonts w:ascii="Arial" w:cs="Arial" w:eastAsia="Arial" w:hAnsi="Arial"/>
                <w:sz w:val="18"/>
                <w:szCs w:val="18"/>
                <w:color w:val="auto"/>
              </w:rPr>
              <w:t>2,600,321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57,034</w:t>
            </w:r>
          </w:p>
        </w:tc>
        <w:tc>
          <w:tcPr>
            <w:tcW w:w="760" w:type="dxa"/>
            <w:vAlign w:val="bottom"/>
          </w:tcPr>
          <w:p>
            <w:pPr>
              <w:jc w:val="right"/>
              <w:spacing w:after="0"/>
              <w:rPr>
                <w:sz w:val="20"/>
                <w:szCs w:val="20"/>
                <w:color w:val="auto"/>
              </w:rPr>
            </w:pPr>
            <w:r>
              <w:rPr>
                <w:rFonts w:ascii="Arial" w:cs="Arial" w:eastAsia="Arial" w:hAnsi="Arial"/>
                <w:sz w:val="18"/>
                <w:szCs w:val="18"/>
                <w:color w:val="auto"/>
              </w:rPr>
              <w:t>1,972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67,045</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24,035</w:t>
            </w:r>
          </w:p>
        </w:tc>
        <w:tc>
          <w:tcPr>
            <w:tcW w:w="760" w:type="dxa"/>
            <w:vAlign w:val="bottom"/>
          </w:tcPr>
          <w:p>
            <w:pPr>
              <w:jc w:val="right"/>
              <w:spacing w:after="0"/>
              <w:rPr>
                <w:sz w:val="20"/>
                <w:szCs w:val="20"/>
                <w:color w:val="auto"/>
              </w:rPr>
            </w:pPr>
            <w:r>
              <w:rPr>
                <w:rFonts w:ascii="Arial" w:cs="Arial" w:eastAsia="Arial" w:hAnsi="Arial"/>
                <w:sz w:val="18"/>
                <w:szCs w:val="18"/>
                <w:color w:val="auto"/>
              </w:rPr>
              <w:t>104,895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2,855,302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5,787,582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261,641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59,120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25,724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6,517,559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900" w:type="dxa"/>
            <w:vAlign w:val="bottom"/>
          </w:tcPr>
          <w:p>
            <w:pPr>
              <w:jc w:val="right"/>
              <w:spacing w:after="0"/>
              <w:rPr>
                <w:sz w:val="20"/>
                <w:szCs w:val="20"/>
                <w:color w:val="auto"/>
              </w:rPr>
            </w:pPr>
            <w:r>
              <w:rPr>
                <w:rFonts w:ascii="Arial" w:cs="Arial" w:eastAsia="Arial" w:hAnsi="Arial"/>
                <w:sz w:val="18"/>
                <w:szCs w:val="18"/>
                <w:color w:val="auto"/>
              </w:rPr>
              <w:t>415,267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23,832</w:t>
            </w: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108,793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547,892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900" w:type="dxa"/>
            <w:vAlign w:val="bottom"/>
          </w:tcPr>
          <w:p>
            <w:pPr>
              <w:jc w:val="right"/>
              <w:spacing w:after="0"/>
              <w:rPr>
                <w:sz w:val="20"/>
                <w:szCs w:val="20"/>
                <w:color w:val="auto"/>
              </w:rPr>
            </w:pPr>
            <w:r>
              <w:rPr>
                <w:rFonts w:ascii="Arial" w:cs="Arial" w:eastAsia="Arial" w:hAnsi="Arial"/>
                <w:sz w:val="18"/>
                <w:szCs w:val="18"/>
                <w:color w:val="auto"/>
              </w:rPr>
              <w:t>6,671,948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45,028</w:t>
            </w: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4,794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12,607</w:t>
            </w:r>
          </w:p>
        </w:tc>
        <w:tc>
          <w:tcPr>
            <w:tcW w:w="760" w:type="dxa"/>
            <w:vAlign w:val="bottom"/>
          </w:tcPr>
          <w:p>
            <w:pPr>
              <w:jc w:val="right"/>
              <w:spacing w:after="0"/>
              <w:rPr>
                <w:sz w:val="20"/>
                <w:szCs w:val="20"/>
                <w:color w:val="auto"/>
              </w:rPr>
            </w:pPr>
            <w:r>
              <w:rPr>
                <w:rFonts w:ascii="Arial" w:cs="Arial" w:eastAsia="Arial" w:hAnsi="Arial"/>
                <w:sz w:val="18"/>
                <w:szCs w:val="18"/>
                <w:color w:val="auto"/>
              </w:rPr>
              <w:t>41,593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6,775,970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2,691,109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49,756</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2,768,674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2,531,909</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57,950</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13,805</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2,611,361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55,201,535</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854,584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309,966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703,632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217,759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1,113,788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58,401,264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90 Days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6"/>
              </w:rPr>
              <w:t>or more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Other</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gridSpan w:val="2"/>
          </w:tcPr>
          <w:p>
            <w:pPr>
              <w:jc w:val="center"/>
              <w:ind w:left="114"/>
              <w:spacing w:after="0" w:line="149" w:lineRule="exact"/>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1"/>
              </w:rPr>
              <w:t>past due</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3"/>
              </w:rPr>
              <w:t>Purchased</w:t>
            </w: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acquired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Days</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9"/>
              </w:rPr>
              <w:t>impaired</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impaired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900" w:type="dxa"/>
            <w:vAlign w:val="bottom"/>
          </w:tcPr>
          <w:p>
            <w:pPr>
              <w:jc w:val="right"/>
              <w:ind w:right="154"/>
              <w:spacing w:after="0" w:line="159" w:lineRule="exact"/>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3"/>
                <w:szCs w:val="13"/>
                <w:color w:val="auto"/>
              </w:rPr>
            </w:pPr>
          </w:p>
        </w:tc>
        <w:tc>
          <w:tcPr>
            <w:tcW w:w="9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1"/>
              </w:rPr>
              <w:t>past due</w:t>
            </w: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6"/>
              </w:rPr>
              <w:t>accruing</w:t>
            </w:r>
          </w:p>
        </w:tc>
        <w:tc>
          <w:tcPr>
            <w:tcW w:w="20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93"/>
              </w:rPr>
              <w:t>(a)</w:t>
            </w:r>
          </w:p>
        </w:tc>
        <w:tc>
          <w:tcPr>
            <w:tcW w:w="200" w:type="dxa"/>
            <w:vAlign w:val="bottom"/>
          </w:tcPr>
          <w:p>
            <w:pPr>
              <w:spacing w:after="0"/>
              <w:rPr>
                <w:sz w:val="13"/>
                <w:szCs w:val="13"/>
                <w:color w:val="auto"/>
              </w:rPr>
            </w:pPr>
          </w:p>
        </w:tc>
        <w:tc>
          <w:tcPr>
            <w:tcW w:w="9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(b)</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w w:val="93"/>
              </w:rPr>
              <w:t>Nonaccrual</w:t>
            </w:r>
          </w:p>
        </w:tc>
        <w:tc>
          <w:tcPr>
            <w:tcW w:w="200" w:type="dxa"/>
            <w:vAlign w:val="bottom"/>
          </w:tcPr>
          <w:p>
            <w:pPr>
              <w:spacing w:after="0"/>
              <w:rPr>
                <w:sz w:val="13"/>
                <w:szCs w:val="13"/>
                <w:color w:val="auto"/>
              </w:rPr>
            </w:pPr>
          </w:p>
        </w:tc>
        <w:tc>
          <w:tcPr>
            <w:tcW w:w="9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Total</w:t>
            </w: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3"/>
          </w:tcPr>
          <w:p>
            <w:pPr>
              <w:jc w:val="right"/>
              <w:ind w:right="462"/>
              <w:spacing w:after="0" w:line="155"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$13,088,887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96,087</w:t>
            </w:r>
          </w:p>
        </w:tc>
        <w:tc>
          <w:tcPr>
            <w:tcW w:w="760" w:type="dxa"/>
            <w:vAlign w:val="bottom"/>
          </w:tcPr>
          <w:p>
            <w:pPr>
              <w:jc w:val="right"/>
              <w:spacing w:after="0"/>
              <w:rPr>
                <w:sz w:val="20"/>
                <w:szCs w:val="20"/>
                <w:color w:val="auto"/>
              </w:rPr>
            </w:pPr>
            <w:r>
              <w:rPr>
                <w:rFonts w:ascii="Arial" w:cs="Arial" w:eastAsia="Arial" w:hAnsi="Arial"/>
                <w:sz w:val="18"/>
                <w:szCs w:val="18"/>
                <w:color w:val="auto"/>
              </w:rPr>
              <w:t>16,647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13,374</w:t>
            </w:r>
          </w:p>
        </w:tc>
        <w:tc>
          <w:tcPr>
            <w:tcW w:w="760" w:type="dxa"/>
            <w:vAlign w:val="bottom"/>
          </w:tcPr>
          <w:p>
            <w:pPr>
              <w:jc w:val="right"/>
              <w:spacing w:after="0"/>
              <w:rPr>
                <w:sz w:val="20"/>
                <w:szCs w:val="20"/>
                <w:color w:val="auto"/>
              </w:rPr>
            </w:pPr>
            <w:r>
              <w:rPr>
                <w:rFonts w:ascii="Arial" w:cs="Arial" w:eastAsia="Arial" w:hAnsi="Arial"/>
                <w:sz w:val="18"/>
                <w:szCs w:val="18"/>
                <w:color w:val="auto"/>
              </w:rPr>
              <w:t>173,365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13,390,610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16,589,240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89,906</w:t>
            </w:r>
          </w:p>
        </w:tc>
        <w:tc>
          <w:tcPr>
            <w:tcW w:w="760" w:type="dxa"/>
            <w:vAlign w:val="bottom"/>
          </w:tcPr>
          <w:p>
            <w:pPr>
              <w:jc w:val="right"/>
              <w:spacing w:after="0"/>
              <w:rPr>
                <w:sz w:val="20"/>
                <w:szCs w:val="20"/>
                <w:color w:val="auto"/>
              </w:rPr>
            </w:pPr>
            <w:r>
              <w:rPr>
                <w:rFonts w:ascii="Arial" w:cs="Arial" w:eastAsia="Arial" w:hAnsi="Arial"/>
                <w:sz w:val="18"/>
                <w:szCs w:val="18"/>
                <w:color w:val="auto"/>
              </w:rPr>
              <w:t>35,338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8,275</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24,670</w:t>
            </w:r>
          </w:p>
        </w:tc>
        <w:tc>
          <w:tcPr>
            <w:tcW w:w="760" w:type="dxa"/>
            <w:vAlign w:val="bottom"/>
          </w:tcPr>
          <w:p>
            <w:pPr>
              <w:jc w:val="right"/>
              <w:spacing w:after="0"/>
              <w:rPr>
                <w:sz w:val="20"/>
                <w:szCs w:val="20"/>
                <w:color w:val="auto"/>
              </w:rPr>
            </w:pPr>
            <w:r>
              <w:rPr>
                <w:rFonts w:ascii="Arial" w:cs="Arial" w:eastAsia="Arial" w:hAnsi="Arial"/>
                <w:sz w:val="18"/>
                <w:szCs w:val="18"/>
                <w:color w:val="auto"/>
              </w:rPr>
              <w:t>184,361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16,931,790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891,764</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30,805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72,710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29,637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1,351,490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900" w:type="dxa"/>
            <w:vAlign w:val="bottom"/>
          </w:tcPr>
          <w:p>
            <w:pPr>
              <w:jc w:val="right"/>
              <w:spacing w:after="0"/>
              <w:rPr>
                <w:sz w:val="20"/>
                <w:szCs w:val="20"/>
                <w:color w:val="auto"/>
              </w:rPr>
            </w:pPr>
            <w:r>
              <w:rPr>
                <w:rFonts w:ascii="Arial" w:cs="Arial" w:eastAsia="Arial" w:hAnsi="Arial"/>
                <w:sz w:val="18"/>
                <w:szCs w:val="18"/>
                <w:color w:val="auto"/>
              </w:rPr>
              <w:t>2,723,399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36,420</w:t>
            </w:r>
          </w:p>
        </w:tc>
        <w:tc>
          <w:tcPr>
            <w:tcW w:w="760" w:type="dxa"/>
            <w:vAlign w:val="bottom"/>
          </w:tcPr>
          <w:p>
            <w:pPr>
              <w:jc w:val="right"/>
              <w:spacing w:after="0"/>
              <w:rPr>
                <w:sz w:val="20"/>
                <w:szCs w:val="20"/>
                <w:color w:val="auto"/>
              </w:rPr>
            </w:pPr>
            <w:r>
              <w:rPr>
                <w:rFonts w:ascii="Arial" w:cs="Arial" w:eastAsia="Arial" w:hAnsi="Arial"/>
                <w:sz w:val="18"/>
                <w:szCs w:val="18"/>
                <w:color w:val="auto"/>
              </w:rPr>
              <w:t>11,323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2,098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10,376</w:t>
            </w:r>
          </w:p>
        </w:tc>
        <w:tc>
          <w:tcPr>
            <w:tcW w:w="760" w:type="dxa"/>
            <w:vAlign w:val="bottom"/>
          </w:tcPr>
          <w:p>
            <w:pPr>
              <w:jc w:val="right"/>
              <w:spacing w:after="0"/>
              <w:rPr>
                <w:sz w:val="20"/>
                <w:szCs w:val="20"/>
                <w:color w:val="auto"/>
              </w:rPr>
            </w:pPr>
            <w:r>
              <w:rPr>
                <w:rFonts w:ascii="Arial" w:cs="Arial" w:eastAsia="Arial" w:hAnsi="Arial"/>
                <w:sz w:val="18"/>
                <w:szCs w:val="18"/>
                <w:color w:val="auto"/>
              </w:rPr>
              <w:t>116,265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2,899,881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4,699,711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229,641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10,728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5,303,677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900" w:type="dxa"/>
            <w:vAlign w:val="bottom"/>
          </w:tcPr>
          <w:p>
            <w:pPr>
              <w:jc w:val="right"/>
              <w:spacing w:after="0"/>
              <w:rPr>
                <w:sz w:val="20"/>
                <w:szCs w:val="20"/>
                <w:color w:val="auto"/>
              </w:rPr>
            </w:pPr>
            <w:r>
              <w:rPr>
                <w:rFonts w:ascii="Arial" w:cs="Arial" w:eastAsia="Arial" w:hAnsi="Arial"/>
                <w:sz w:val="18"/>
                <w:szCs w:val="18"/>
                <w:color w:val="auto"/>
              </w:rPr>
              <w:t>475,236</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42,674</w:t>
            </w: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106,469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624,379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900" w:type="dxa"/>
            <w:vAlign w:val="bottom"/>
          </w:tcPr>
          <w:p>
            <w:pPr>
              <w:jc w:val="right"/>
              <w:spacing w:after="0"/>
              <w:rPr>
                <w:sz w:val="20"/>
                <w:szCs w:val="20"/>
                <w:color w:val="auto"/>
              </w:rPr>
            </w:pPr>
            <w:r>
              <w:rPr>
                <w:rFonts w:ascii="Arial" w:cs="Arial" w:eastAsia="Arial" w:hAnsi="Arial"/>
                <w:sz w:val="18"/>
                <w:szCs w:val="18"/>
                <w:color w:val="auto"/>
              </w:rPr>
              <w:t>6,472,563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38,367</w:t>
            </w: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2,366</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9,692</w:t>
            </w:r>
          </w:p>
        </w:tc>
        <w:tc>
          <w:tcPr>
            <w:tcW w:w="760" w:type="dxa"/>
            <w:vAlign w:val="bottom"/>
          </w:tcPr>
          <w:p>
            <w:pPr>
              <w:jc w:val="right"/>
              <w:spacing w:after="0"/>
              <w:rPr>
                <w:sz w:val="20"/>
                <w:szCs w:val="20"/>
                <w:color w:val="auto"/>
              </w:rPr>
            </w:pPr>
            <w:r>
              <w:rPr>
                <w:rFonts w:ascii="Arial" w:cs="Arial" w:eastAsia="Arial" w:hAnsi="Arial"/>
                <w:sz w:val="18"/>
                <w:szCs w:val="18"/>
                <w:color w:val="auto"/>
              </w:rPr>
              <w:t>33,363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6,556,351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2,608,230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44,604</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2,684,726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2,190,353</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36,689</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2,247,478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49,739,383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645,193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97,019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99,454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1,139,740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51,990,382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specifically identified as impaired at acquisition date and recorded at fair value.</w:t>
      </w:r>
    </w:p>
    <w:p>
      <w:pPr>
        <w:spacing w:after="0" w:line="15" w:lineRule="exact"/>
        <w:rPr>
          <w:rFonts w:ascii="Arial" w:cs="Arial" w:eastAsia="Arial" w:hAnsi="Arial"/>
          <w:sz w:val="18"/>
          <w:szCs w:val="18"/>
          <w:i w:val="1"/>
          <w:iCs w:val="1"/>
          <w:color w:val="auto"/>
        </w:rPr>
      </w:pPr>
    </w:p>
    <w:p>
      <w:pPr>
        <w:ind w:left="460" w:right="100" w:hanging="452"/>
        <w:spacing w:after="0" w:line="261" w:lineRule="auto"/>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ceased performing in accordance with their contractual terms subsequent to the acquisition date, but are included in accounting pools that continue to accrue interest.</w:t>
      </w:r>
    </w:p>
    <w:p>
      <w:pPr>
        <w:spacing w:after="0" w:line="124" w:lineRule="exact"/>
        <w:rPr>
          <w:rFonts w:ascii="Arial" w:cs="Arial" w:eastAsia="Arial" w:hAnsi="Arial"/>
          <w:sz w:val="18"/>
          <w:szCs w:val="18"/>
          <w:i w:val="1"/>
          <w:iCs w:val="1"/>
          <w:color w:val="auto"/>
        </w:rPr>
      </w:pPr>
    </w:p>
    <w:p>
      <w:pPr>
        <w:ind w:left="5620" w:hanging="96"/>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the allowance for credit losses for the three months ended September 30, 2011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Commercial,</w:t>
            </w:r>
          </w:p>
        </w:tc>
        <w:tc>
          <w:tcPr>
            <w:tcW w:w="1580" w:type="dxa"/>
            <w:vAlign w:val="bottom"/>
            <w:gridSpan w:val="3"/>
            <w:vMerge w:val="restart"/>
          </w:tcPr>
          <w:p>
            <w:pPr>
              <w:ind w:left="480"/>
              <w:spacing w:after="0"/>
              <w:rPr>
                <w:sz w:val="20"/>
                <w:szCs w:val="20"/>
                <w:color w:val="auto"/>
              </w:rPr>
            </w:pPr>
            <w:r>
              <w:rPr>
                <w:rFonts w:ascii="Arial" w:cs="Arial" w:eastAsia="Arial" w:hAnsi="Arial"/>
                <w:sz w:val="14"/>
                <w:szCs w:val="14"/>
                <w:color w:val="auto"/>
              </w:rPr>
              <w:t>Real Estate</w:t>
            </w:r>
          </w:p>
        </w:tc>
        <w:tc>
          <w:tcPr>
            <w:tcW w:w="30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0" w:type="dxa"/>
            <w:vAlign w:val="bottom"/>
            <w:gridSpan w:val="2"/>
          </w:tcPr>
          <w:p>
            <w:pPr>
              <w:jc w:val="center"/>
              <w:ind w:right="300"/>
              <w:spacing w:after="0" w:line="113" w:lineRule="exact"/>
              <w:rPr>
                <w:sz w:val="20"/>
                <w:szCs w:val="20"/>
                <w:color w:val="auto"/>
              </w:rPr>
            </w:pPr>
            <w:r>
              <w:rPr>
                <w:rFonts w:ascii="Arial" w:cs="Arial" w:eastAsia="Arial" w:hAnsi="Arial"/>
                <w:sz w:val="12"/>
                <w:szCs w:val="12"/>
                <w:color w:val="auto"/>
              </w:rPr>
              <w:t>Financial,</w:t>
            </w:r>
          </w:p>
        </w:tc>
        <w:tc>
          <w:tcPr>
            <w:tcW w:w="1580" w:type="dxa"/>
            <w:vAlign w:val="bottom"/>
            <w:tcBorders>
              <w:bottom w:val="single" w:sz="8" w:color="auto"/>
            </w:tcBorders>
            <w:gridSpan w:val="3"/>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Leasing, etc.</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w w:val="88"/>
              </w:rPr>
              <w:t>Commercial</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w w:val="83"/>
              </w:rPr>
              <w:t>Residential</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w w:val="89"/>
              </w:rPr>
              <w:t>Consumer</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w w:val="86"/>
              </w:rPr>
              <w:t>Unallocated</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8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$ 209,879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401,111</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87,341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137,309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71,949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907,589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23,145</w:t>
            </w:r>
          </w:p>
        </w:tc>
        <w:tc>
          <w:tcPr>
            <w:tcW w:w="3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(545)</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8,264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27,231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3020" w:type="dxa"/>
            <w:vAlign w:val="bottom"/>
            <w:gridSpan w:val="3"/>
          </w:tcPr>
          <w:p>
            <w:pPr>
              <w:jc w:val="right"/>
              <w:ind w:right="240"/>
              <w:spacing w:after="0"/>
              <w:rPr>
                <w:sz w:val="20"/>
                <w:szCs w:val="20"/>
                <w:color w:val="auto"/>
              </w:rPr>
            </w:pPr>
            <w:r>
              <w:rPr>
                <w:rFonts w:ascii="Arial" w:cs="Arial" w:eastAsia="Arial" w:hAnsi="Arial"/>
                <w:sz w:val="18"/>
                <w:szCs w:val="18"/>
                <w:color w:val="auto"/>
              </w:rPr>
              <w:t>(12,073)</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(13,712)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(12,135)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(28,576)</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4,230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2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(9,460)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(12,873)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(10,385)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(24,346)</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(57,064)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$ 223,564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387,693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85,220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140,194</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71,854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908,525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nine months ended September 30, 2011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Commercial,</w:t>
            </w:r>
          </w:p>
        </w:tc>
        <w:tc>
          <w:tcPr>
            <w:tcW w:w="1580" w:type="dxa"/>
            <w:vAlign w:val="bottom"/>
            <w:gridSpan w:val="3"/>
            <w:vMerge w:val="restart"/>
          </w:tcPr>
          <w:p>
            <w:pPr>
              <w:jc w:val="right"/>
              <w:ind w:right="397"/>
              <w:spacing w:after="0"/>
              <w:rPr>
                <w:sz w:val="20"/>
                <w:szCs w:val="20"/>
                <w:color w:val="auto"/>
              </w:rPr>
            </w:pPr>
            <w:r>
              <w:rPr>
                <w:rFonts w:ascii="Arial" w:cs="Arial" w:eastAsia="Arial" w:hAnsi="Arial"/>
                <w:sz w:val="14"/>
                <w:szCs w:val="14"/>
                <w:color w:val="auto"/>
              </w:rPr>
              <w:t>Real Estate</w:t>
            </w:r>
          </w:p>
        </w:tc>
        <w:tc>
          <w:tcPr>
            <w:tcW w:w="3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020" w:type="dxa"/>
            <w:vAlign w:val="bottom"/>
            <w:gridSpan w:val="2"/>
          </w:tcPr>
          <w:p>
            <w:pPr>
              <w:jc w:val="center"/>
              <w:ind w:right="320"/>
              <w:spacing w:after="0" w:line="113" w:lineRule="exact"/>
              <w:rPr>
                <w:sz w:val="20"/>
                <w:szCs w:val="20"/>
                <w:color w:val="auto"/>
              </w:rPr>
            </w:pPr>
            <w:r>
              <w:rPr>
                <w:rFonts w:ascii="Arial" w:cs="Arial" w:eastAsia="Arial" w:hAnsi="Arial"/>
                <w:sz w:val="12"/>
                <w:szCs w:val="12"/>
                <w:color w:val="auto"/>
              </w:rPr>
              <w:t>Financial,</w:t>
            </w:r>
          </w:p>
        </w:tc>
        <w:tc>
          <w:tcPr>
            <w:tcW w:w="1580" w:type="dxa"/>
            <w:vAlign w:val="bottom"/>
            <w:tcBorders>
              <w:bottom w:val="single" w:sz="8" w:color="auto"/>
            </w:tcBorders>
            <w:gridSpan w:val="3"/>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Leasing, etc.</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w w:val="85"/>
              </w:rPr>
              <w:t>Commercial</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w w:val="83"/>
              </w:rPr>
              <w:t>Residential</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w w:val="89"/>
              </w:rPr>
              <w:t>Consumer</w:t>
            </w:r>
          </w:p>
        </w:tc>
        <w:tc>
          <w:tcPr>
            <w:tcW w:w="660" w:type="dxa"/>
            <w:vAlign w:val="bottom"/>
          </w:tcPr>
          <w:p>
            <w:pPr>
              <w:jc w:val="right"/>
              <w:spacing w:after="0"/>
              <w:rPr>
                <w:sz w:val="20"/>
                <w:szCs w:val="20"/>
                <w:color w:val="auto"/>
              </w:rPr>
            </w:pPr>
            <w:r>
              <w:rPr>
                <w:rFonts w:ascii="Arial" w:cs="Arial" w:eastAsia="Arial" w:hAnsi="Arial"/>
                <w:sz w:val="14"/>
                <w:szCs w:val="14"/>
                <w:color w:val="auto"/>
                <w:w w:val="86"/>
              </w:rPr>
              <w:t>Unallocated</w:t>
            </w:r>
          </w:p>
        </w:tc>
        <w:tc>
          <w:tcPr>
            <w:tcW w:w="3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$ 212,579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400,562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133,067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700" w:type="dxa"/>
            <w:vAlign w:val="bottom"/>
          </w:tcPr>
          <w:p>
            <w:pPr>
              <w:jc w:val="right"/>
              <w:spacing w:after="0"/>
              <w:rPr>
                <w:sz w:val="20"/>
                <w:szCs w:val="20"/>
                <w:color w:val="auto"/>
              </w:rPr>
            </w:pPr>
            <w:r>
              <w:rPr>
                <w:rFonts w:ascii="Arial" w:cs="Arial" w:eastAsia="Arial" w:hAnsi="Arial"/>
                <w:sz w:val="18"/>
                <w:szCs w:val="18"/>
                <w:color w:val="auto"/>
              </w:rPr>
              <w:t>44,957</w:t>
            </w:r>
          </w:p>
        </w:tc>
        <w:tc>
          <w:tcPr>
            <w:tcW w:w="3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36,965</w:t>
            </w:r>
          </w:p>
        </w:tc>
        <w:tc>
          <w:tcPr>
            <w:tcW w:w="600" w:type="dxa"/>
            <w:vAlign w:val="bottom"/>
          </w:tcPr>
          <w:p>
            <w:pPr>
              <w:jc w:val="right"/>
              <w:spacing w:after="0"/>
              <w:rPr>
                <w:sz w:val="20"/>
                <w:szCs w:val="20"/>
                <w:color w:val="auto"/>
              </w:rPr>
            </w:pPr>
            <w:r>
              <w:rPr>
                <w:rFonts w:ascii="Arial" w:cs="Arial" w:eastAsia="Arial" w:hAnsi="Arial"/>
                <w:sz w:val="18"/>
                <w:szCs w:val="18"/>
                <w:color w:val="auto"/>
              </w:rPr>
              <w:t>37,759</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74,847</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(41,023)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(54,206)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(44,174)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(81,837)</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(221,240)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30,824</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2"/>
            <w:vMerge w:val="continue"/>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(33,972)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(49,834)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(38,890)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(67,720)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(190,416)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$ 223,564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387,693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140,194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908,525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Despite the above allocation, the allowance for credit losses is general in nature and is available to absorb losses from any portfolio segment. Changes in the allowance for credit losses for the three months and nine months ended September 30, 2010 were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920" w:type="dxa"/>
            <w:vAlign w:val="bottom"/>
            <w:gridSpan w:val="4"/>
          </w:tcPr>
          <w:p>
            <w:pPr>
              <w:ind w:left="2000"/>
              <w:spacing w:after="0"/>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w w:val="97"/>
              </w:rPr>
              <w:t>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20" w:type="dxa"/>
            <w:vAlign w:val="bottom"/>
            <w:gridSpan w:val="3"/>
          </w:tcPr>
          <w:p>
            <w:pPr>
              <w:spacing w:after="0" w:line="159" w:lineRule="exact"/>
              <w:rPr>
                <w:sz w:val="20"/>
                <w:szCs w:val="20"/>
                <w:color w:val="auto"/>
              </w:rPr>
            </w:pPr>
            <w:r>
              <w:rPr>
                <w:rFonts w:ascii="Arial" w:cs="Arial" w:eastAsia="Arial" w:hAnsi="Arial"/>
                <w:sz w:val="14"/>
                <w:szCs w:val="14"/>
                <w:color w:val="auto"/>
              </w:rPr>
              <w:t>September 30, 2010</w:t>
            </w:r>
          </w:p>
        </w:tc>
        <w:tc>
          <w:tcPr>
            <w:tcW w:w="1220" w:type="dxa"/>
            <w:vAlign w:val="bottom"/>
            <w:gridSpan w:val="4"/>
          </w:tcPr>
          <w:p>
            <w:pPr>
              <w:ind w:left="20"/>
              <w:spacing w:after="0" w:line="159" w:lineRule="exact"/>
              <w:rPr>
                <w:sz w:val="20"/>
                <w:szCs w:val="20"/>
                <w:color w:val="auto"/>
              </w:rPr>
            </w:pPr>
            <w:r>
              <w:rPr>
                <w:rFonts w:ascii="Arial" w:cs="Arial" w:eastAsia="Arial" w:hAnsi="Arial"/>
                <w:sz w:val="14"/>
                <w:szCs w:val="14"/>
                <w:color w:val="auto"/>
                <w:w w:val="92"/>
              </w:rPr>
              <w:t>September 30, 2010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(in thousands)</w:t>
            </w: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5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8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894,667</w:t>
            </w: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93,000</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Consolidation of loan securitization trusts</w:t>
            </w:r>
          </w:p>
        </w:tc>
        <w:tc>
          <w:tcPr>
            <w:tcW w:w="2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charge-offs</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Charge-offs</w:t>
            </w:r>
          </w:p>
        </w:tc>
        <w:tc>
          <w:tcPr>
            <w:tcW w:w="2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(101,782)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420"/>
              <w:spacing w:after="0"/>
              <w:rPr>
                <w:sz w:val="20"/>
                <w:szCs w:val="20"/>
                <w:color w:val="auto"/>
              </w:rPr>
            </w:pPr>
            <w:r>
              <w:rPr>
                <w:rFonts w:ascii="Arial" w:cs="Arial" w:eastAsia="Arial" w:hAnsi="Arial"/>
                <w:sz w:val="18"/>
                <w:szCs w:val="18"/>
                <w:color w:val="auto"/>
              </w:rPr>
              <w:t>Recoveries</w:t>
            </w:r>
          </w:p>
        </w:tc>
        <w:tc>
          <w:tcPr>
            <w:tcW w:w="20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8,835</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(92,947)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(269,054)</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40" w:type="dxa"/>
            <w:vAlign w:val="bottom"/>
            <w:gridSpan w:val="2"/>
            <w:vMerge w:val="continue"/>
          </w:tcPr>
          <w:p>
            <w:pPr>
              <w:spacing w:after="0"/>
              <w:rPr>
                <w:sz w:val="19"/>
                <w:szCs w:val="19"/>
                <w:color w:val="auto"/>
              </w:rPr>
            </w:pPr>
          </w:p>
        </w:tc>
        <w:tc>
          <w:tcPr>
            <w:tcW w:w="228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894,720</w:t>
            </w:r>
          </w:p>
        </w:tc>
        <w:tc>
          <w:tcPr>
            <w:tcW w:w="80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894,720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0" w:type="dxa"/>
            <w:vAlign w:val="bottom"/>
            <w:vMerge w:val="restart"/>
          </w:tcPr>
          <w:p>
            <w:pPr>
              <w:jc w:val="right"/>
              <w:ind w:right="937"/>
              <w:spacing w:after="0"/>
              <w:rPr>
                <w:sz w:val="20"/>
                <w:szCs w:val="20"/>
                <w:color w:val="auto"/>
              </w:rPr>
            </w:pPr>
            <w:r>
              <w:rPr>
                <w:rFonts w:ascii="Arial" w:cs="Arial" w:eastAsia="Arial" w:hAnsi="Arial"/>
                <w:sz w:val="18"/>
                <w:szCs w:val="18"/>
                <w:color w:val="auto"/>
              </w:rPr>
              <w:t>- 17 -</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all commercial and commercial real estate credits.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Except for consumer and residential mortgage loans that are considered smaller balance homogenous loans and are evaluated collectively and purchased-impaired and other acquired impaired loans,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Purchased-impaired loans are considered impaired under GAAP when it is probable that the Company will be unable to collect all cash flows expected at acquisition plus additional cash flows expected to be collected arising from changes in estimates after acquisition.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 Other acquired impaired loans were not specifically identified as impaired as of the acquisition date, but ceased performing in accordance with their contractual terms subsequent to their respective acquisition date. In accordance with GAAP, such loans are not considered impaired in the aggregate because they are included in accounting pools that continue to accrue interest. Impairment of expected cash flows for acquired loans is evaluated at the pool level. The following tables provide information with respect to loans and leases that were considered impaired as of September 30, 2011 and December 31, 2010 and for the three months and nine months ended September 30, 2011 and September 30, 2010.</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color w:val="auto"/>
                <w:w w:val="92"/>
              </w:rPr>
              <w:t>September 30, 2011</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color w:val="auto"/>
                <w:w w:val="94"/>
              </w:rPr>
              <w:t>December 31, 2010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90"/>
              </w:rPr>
              <w:t>Unpaid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Arial" w:cs="Arial" w:eastAsia="Arial" w:hAnsi="Arial"/>
                <w:sz w:val="14"/>
                <w:szCs w:val="14"/>
                <w:color w:val="auto"/>
                <w:w w:val="85"/>
              </w:rPr>
              <w:t>Unpaid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5"/>
              </w:rPr>
              <w:t>Recorded</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principal</w:t>
            </w: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Related</w:t>
            </w: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Recorded</w:t>
            </w:r>
          </w:p>
        </w:tc>
        <w:tc>
          <w:tcPr>
            <w:tcW w:w="2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principal</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88"/>
              </w:rPr>
              <w:t>investment</w:t>
            </w:r>
          </w:p>
        </w:tc>
        <w:tc>
          <w:tcPr>
            <w:tcW w:w="9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5"/>
              </w:rPr>
              <w:t>balance</w:t>
            </w:r>
          </w:p>
        </w:tc>
        <w:tc>
          <w:tcPr>
            <w:tcW w:w="8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94"/>
              </w:rPr>
              <w:t>investment</w:t>
            </w:r>
          </w:p>
        </w:tc>
        <w:tc>
          <w:tcPr>
            <w:tcW w:w="220" w:type="dxa"/>
            <w:vAlign w:val="bottom"/>
          </w:tcPr>
          <w:p>
            <w:pPr>
              <w:spacing w:after="0"/>
              <w:rPr>
                <w:sz w:val="13"/>
                <w:szCs w:val="13"/>
                <w:color w:val="auto"/>
              </w:rPr>
            </w:pPr>
          </w:p>
        </w:tc>
        <w:tc>
          <w:tcPr>
            <w:tcW w:w="9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5"/>
              </w:rPr>
              <w:t>balance</w:t>
            </w:r>
          </w:p>
        </w:tc>
        <w:tc>
          <w:tcPr>
            <w:tcW w:w="7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394"/>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104,806</w:t>
            </w:r>
          </w:p>
        </w:tc>
        <w:tc>
          <w:tcPr>
            <w:tcW w:w="760" w:type="dxa"/>
            <w:vAlign w:val="bottom"/>
          </w:tcPr>
          <w:p>
            <w:pPr>
              <w:jc w:val="right"/>
              <w:spacing w:after="0"/>
              <w:rPr>
                <w:sz w:val="20"/>
                <w:szCs w:val="20"/>
                <w:color w:val="auto"/>
              </w:rPr>
            </w:pPr>
            <w:r>
              <w:rPr>
                <w:rFonts w:ascii="Arial" w:cs="Arial" w:eastAsia="Arial" w:hAnsi="Arial"/>
                <w:sz w:val="18"/>
                <w:szCs w:val="18"/>
                <w:color w:val="auto"/>
              </w:rPr>
              <w:t>124,624</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41,474</w:t>
            </w:r>
          </w:p>
        </w:tc>
        <w:tc>
          <w:tcPr>
            <w:tcW w:w="740" w:type="dxa"/>
            <w:vAlign w:val="bottom"/>
          </w:tcPr>
          <w:p>
            <w:pPr>
              <w:jc w:val="right"/>
              <w:spacing w:after="0"/>
              <w:rPr>
                <w:sz w:val="20"/>
                <w:szCs w:val="20"/>
                <w:color w:val="auto"/>
              </w:rPr>
            </w:pPr>
            <w:r>
              <w:rPr>
                <w:rFonts w:ascii="Arial" w:cs="Arial" w:eastAsia="Arial" w:hAnsi="Arial"/>
                <w:sz w:val="18"/>
                <w:szCs w:val="18"/>
                <w:color w:val="auto"/>
              </w:rPr>
              <w:t>121,744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170,888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120,070</w:t>
            </w:r>
          </w:p>
        </w:tc>
        <w:tc>
          <w:tcPr>
            <w:tcW w:w="760" w:type="dxa"/>
            <w:vAlign w:val="bottom"/>
          </w:tcPr>
          <w:p>
            <w:pPr>
              <w:jc w:val="right"/>
              <w:spacing w:after="0"/>
              <w:rPr>
                <w:sz w:val="20"/>
                <w:szCs w:val="20"/>
                <w:color w:val="auto"/>
              </w:rPr>
            </w:pPr>
            <w:r>
              <w:rPr>
                <w:rFonts w:ascii="Arial" w:cs="Arial" w:eastAsia="Arial" w:hAnsi="Arial"/>
                <w:sz w:val="18"/>
                <w:szCs w:val="18"/>
                <w:color w:val="auto"/>
              </w:rPr>
              <w:t>160,518</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22,084</w:t>
            </w:r>
          </w:p>
        </w:tc>
        <w:tc>
          <w:tcPr>
            <w:tcW w:w="740" w:type="dxa"/>
            <w:vAlign w:val="bottom"/>
          </w:tcPr>
          <w:p>
            <w:pPr>
              <w:jc w:val="right"/>
              <w:spacing w:after="0"/>
              <w:rPr>
                <w:sz w:val="20"/>
                <w:szCs w:val="20"/>
                <w:color w:val="auto"/>
              </w:rPr>
            </w:pPr>
            <w:r>
              <w:rPr>
                <w:rFonts w:ascii="Arial" w:cs="Arial" w:eastAsia="Arial" w:hAnsi="Arial"/>
                <w:sz w:val="18"/>
                <w:szCs w:val="18"/>
                <w:color w:val="auto"/>
              </w:rPr>
              <w:t>110,975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140,015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189,304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242,088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81,048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295,031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86,961</w:t>
            </w:r>
          </w:p>
        </w:tc>
        <w:tc>
          <w:tcPr>
            <w:tcW w:w="760" w:type="dxa"/>
            <w:vAlign w:val="bottom"/>
          </w:tcPr>
          <w:p>
            <w:pPr>
              <w:jc w:val="right"/>
              <w:spacing w:after="0"/>
              <w:rPr>
                <w:sz w:val="20"/>
                <w:szCs w:val="20"/>
                <w:color w:val="auto"/>
              </w:rPr>
            </w:pPr>
            <w:r>
              <w:rPr>
                <w:rFonts w:ascii="Arial" w:cs="Arial" w:eastAsia="Arial" w:hAnsi="Arial"/>
                <w:sz w:val="18"/>
                <w:szCs w:val="18"/>
                <w:color w:val="auto"/>
              </w:rPr>
              <w:t>91,053</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13,182</w:t>
            </w:r>
          </w:p>
        </w:tc>
        <w:tc>
          <w:tcPr>
            <w:tcW w:w="740" w:type="dxa"/>
            <w:vAlign w:val="bottom"/>
          </w:tcPr>
          <w:p>
            <w:pPr>
              <w:jc w:val="right"/>
              <w:spacing w:after="0"/>
              <w:rPr>
                <w:sz w:val="20"/>
                <w:szCs w:val="20"/>
                <w:color w:val="auto"/>
              </w:rPr>
            </w:pPr>
            <w:r>
              <w:rPr>
                <w:rFonts w:ascii="Arial" w:cs="Arial" w:eastAsia="Arial" w:hAnsi="Arial"/>
                <w:sz w:val="18"/>
                <w:szCs w:val="18"/>
                <w:color w:val="auto"/>
              </w:rPr>
              <w:t>80,934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85,432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85,279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155,027</w:t>
            </w:r>
          </w:p>
        </w:tc>
        <w:tc>
          <w:tcPr>
            <w:tcW w:w="760" w:type="dxa"/>
            <w:vAlign w:val="bottom"/>
          </w:tcPr>
          <w:p>
            <w:pPr>
              <w:jc w:val="right"/>
              <w:spacing w:after="0"/>
              <w:rPr>
                <w:sz w:val="20"/>
                <w:szCs w:val="20"/>
                <w:color w:val="auto"/>
              </w:rPr>
            </w:pPr>
            <w:r>
              <w:rPr>
                <w:rFonts w:ascii="Arial" w:cs="Arial" w:eastAsia="Arial" w:hAnsi="Arial"/>
                <w:sz w:val="18"/>
                <w:szCs w:val="18"/>
                <w:color w:val="auto"/>
              </w:rPr>
              <w:t>166,870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26,000</w:t>
            </w:r>
          </w:p>
        </w:tc>
        <w:tc>
          <w:tcPr>
            <w:tcW w:w="740" w:type="dxa"/>
            <w:vAlign w:val="bottom"/>
          </w:tcPr>
          <w:p>
            <w:pPr>
              <w:jc w:val="right"/>
              <w:spacing w:after="0"/>
              <w:rPr>
                <w:sz w:val="20"/>
                <w:szCs w:val="20"/>
                <w:color w:val="auto"/>
              </w:rPr>
            </w:pPr>
            <w:r>
              <w:rPr>
                <w:rFonts w:ascii="Arial" w:cs="Arial" w:eastAsia="Arial" w:hAnsi="Arial"/>
                <w:sz w:val="18"/>
                <w:szCs w:val="18"/>
                <w:color w:val="auto"/>
              </w:rPr>
              <w:t>180,665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191,445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11,730</w:t>
            </w:r>
          </w:p>
        </w:tc>
        <w:tc>
          <w:tcPr>
            <w:tcW w:w="760" w:type="dxa"/>
            <w:vAlign w:val="bottom"/>
          </w:tcPr>
          <w:p>
            <w:pPr>
              <w:jc w:val="right"/>
              <w:spacing w:after="0"/>
              <w:rPr>
                <w:sz w:val="20"/>
                <w:szCs w:val="20"/>
                <w:color w:val="auto"/>
              </w:rPr>
            </w:pPr>
            <w:r>
              <w:rPr>
                <w:rFonts w:ascii="Arial" w:cs="Arial" w:eastAsia="Arial" w:hAnsi="Arial"/>
                <w:sz w:val="18"/>
                <w:szCs w:val="18"/>
                <w:color w:val="auto"/>
              </w:rPr>
              <w:t>12,920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2,863</w:t>
            </w:r>
          </w:p>
        </w:tc>
        <w:tc>
          <w:tcPr>
            <w:tcW w:w="740" w:type="dxa"/>
            <w:vAlign w:val="bottom"/>
          </w:tcPr>
          <w:p>
            <w:pPr>
              <w:jc w:val="right"/>
              <w:spacing w:after="0"/>
              <w:rPr>
                <w:sz w:val="20"/>
                <w:szCs w:val="20"/>
                <w:color w:val="auto"/>
              </w:rPr>
            </w:pPr>
            <w:r>
              <w:rPr>
                <w:rFonts w:ascii="Arial" w:cs="Arial" w:eastAsia="Arial" w:hAnsi="Arial"/>
                <w:sz w:val="18"/>
                <w:szCs w:val="18"/>
                <w:color w:val="auto"/>
              </w:rPr>
              <w:t>11,799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13,378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54,748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58,858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823,139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973,956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202,216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1,043,304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213,933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financial, leasing, etc.</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66,692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81,800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146,743</w:t>
            </w:r>
          </w:p>
        </w:tc>
        <w:tc>
          <w:tcPr>
            <w:tcW w:w="760" w:type="dxa"/>
            <w:vAlign w:val="bottom"/>
          </w:tcPr>
          <w:p>
            <w:pPr>
              <w:jc w:val="right"/>
              <w:spacing w:after="0"/>
              <w:rPr>
                <w:sz w:val="20"/>
                <w:szCs w:val="20"/>
                <w:color w:val="auto"/>
              </w:rPr>
            </w:pPr>
            <w:r>
              <w:rPr>
                <w:rFonts w:ascii="Arial" w:cs="Arial" w:eastAsia="Arial" w:hAnsi="Arial"/>
                <w:sz w:val="18"/>
                <w:szCs w:val="18"/>
                <w:color w:val="auto"/>
              </w:rPr>
              <w:t>174,243</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71,162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86,039</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9,000</w:t>
            </w:r>
          </w:p>
        </w:tc>
        <w:tc>
          <w:tcPr>
            <w:tcW w:w="760" w:type="dxa"/>
            <w:vAlign w:val="bottom"/>
          </w:tcPr>
          <w:p>
            <w:pPr>
              <w:jc w:val="right"/>
              <w:spacing w:after="0"/>
              <w:rPr>
                <w:sz w:val="20"/>
                <w:szCs w:val="20"/>
                <w:color w:val="auto"/>
              </w:rPr>
            </w:pPr>
            <w:r>
              <w:rPr>
                <w:rFonts w:ascii="Arial" w:cs="Arial" w:eastAsia="Arial" w:hAnsi="Arial"/>
                <w:sz w:val="18"/>
                <w:szCs w:val="18"/>
                <w:color w:val="auto"/>
              </w:rPr>
              <w:t>13,634</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5,035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7,723</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34,437</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59,606</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28,967</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47,879</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330,417</w:t>
            </w:r>
          </w:p>
        </w:tc>
        <w:tc>
          <w:tcPr>
            <w:tcW w:w="760" w:type="dxa"/>
            <w:vAlign w:val="bottom"/>
          </w:tcPr>
          <w:p>
            <w:pPr>
              <w:jc w:val="right"/>
              <w:spacing w:after="0"/>
              <w:rPr>
                <w:sz w:val="20"/>
                <w:szCs w:val="20"/>
                <w:color w:val="auto"/>
              </w:rPr>
            </w:pPr>
            <w:r>
              <w:rPr>
                <w:rFonts w:ascii="Arial" w:cs="Arial" w:eastAsia="Arial" w:hAnsi="Arial"/>
                <w:sz w:val="18"/>
                <w:szCs w:val="18"/>
                <w:color w:val="auto"/>
              </w:rPr>
              <w:t>403,935</w:t>
            </w:r>
          </w:p>
        </w:tc>
        <w:tc>
          <w:tcPr>
            <w:tcW w:w="200" w:type="dxa"/>
            <w:vAlign w:val="bottom"/>
          </w:tcPr>
          <w:p>
            <w:pPr>
              <w:spacing w:after="0"/>
              <w:rPr>
                <w:sz w:val="20"/>
                <w:szCs w:val="20"/>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271,166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327,240</w:t>
            </w:r>
          </w:p>
        </w:tc>
        <w:tc>
          <w:tcPr>
            <w:tcW w:w="220" w:type="dxa"/>
            <w:vAlign w:val="bottom"/>
          </w:tcPr>
          <w:p>
            <w:pPr>
              <w:spacing w:after="0"/>
              <w:rPr>
                <w:sz w:val="20"/>
                <w:szCs w:val="20"/>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159,981</w:t>
            </w:r>
          </w:p>
        </w:tc>
        <w:tc>
          <w:tcPr>
            <w:tcW w:w="760" w:type="dxa"/>
            <w:vAlign w:val="bottom"/>
          </w:tcPr>
          <w:p>
            <w:pPr>
              <w:jc w:val="right"/>
              <w:spacing w:after="0"/>
              <w:rPr>
                <w:sz w:val="20"/>
                <w:szCs w:val="20"/>
                <w:color w:val="auto"/>
              </w:rPr>
            </w:pPr>
            <w:r>
              <w:rPr>
                <w:rFonts w:ascii="Arial" w:cs="Arial" w:eastAsia="Arial" w:hAnsi="Arial"/>
                <w:sz w:val="18"/>
                <w:szCs w:val="18"/>
                <w:color w:val="auto"/>
              </w:rPr>
              <w:t>190,939</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41,474</w:t>
            </w:r>
          </w:p>
        </w:tc>
        <w:tc>
          <w:tcPr>
            <w:tcW w:w="740" w:type="dxa"/>
            <w:vAlign w:val="bottom"/>
          </w:tcPr>
          <w:p>
            <w:pPr>
              <w:jc w:val="right"/>
              <w:spacing w:after="0"/>
              <w:rPr>
                <w:sz w:val="20"/>
                <w:szCs w:val="20"/>
                <w:color w:val="auto"/>
              </w:rPr>
            </w:pPr>
            <w:r>
              <w:rPr>
                <w:rFonts w:ascii="Arial" w:cs="Arial" w:eastAsia="Arial" w:hAnsi="Arial"/>
                <w:sz w:val="18"/>
                <w:szCs w:val="18"/>
                <w:color w:val="auto"/>
              </w:rPr>
              <w:t>174,197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237,580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186,642</w:t>
            </w:r>
          </w:p>
        </w:tc>
        <w:tc>
          <w:tcPr>
            <w:tcW w:w="760" w:type="dxa"/>
            <w:vAlign w:val="bottom"/>
          </w:tcPr>
          <w:p>
            <w:pPr>
              <w:jc w:val="right"/>
              <w:spacing w:after="0"/>
              <w:rPr>
                <w:sz w:val="20"/>
                <w:szCs w:val="20"/>
                <w:color w:val="auto"/>
              </w:rPr>
            </w:pPr>
            <w:r>
              <w:rPr>
                <w:rFonts w:ascii="Arial" w:cs="Arial" w:eastAsia="Arial" w:hAnsi="Arial"/>
                <w:sz w:val="18"/>
                <w:szCs w:val="18"/>
                <w:color w:val="auto"/>
              </w:rPr>
              <w:t>231,921</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22,084</w:t>
            </w:r>
          </w:p>
        </w:tc>
        <w:tc>
          <w:tcPr>
            <w:tcW w:w="740" w:type="dxa"/>
            <w:vAlign w:val="bottom"/>
          </w:tcPr>
          <w:p>
            <w:pPr>
              <w:jc w:val="right"/>
              <w:spacing w:after="0"/>
              <w:rPr>
                <w:sz w:val="20"/>
                <w:szCs w:val="20"/>
                <w:color w:val="auto"/>
              </w:rPr>
            </w:pPr>
            <w:r>
              <w:rPr>
                <w:rFonts w:ascii="Arial" w:cs="Arial" w:eastAsia="Arial" w:hAnsi="Arial"/>
                <w:sz w:val="18"/>
                <w:szCs w:val="18"/>
                <w:color w:val="auto"/>
              </w:rPr>
              <w:t>188,244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221,815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336,047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416,331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81,048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381,070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105,451</w:t>
            </w:r>
          </w:p>
        </w:tc>
        <w:tc>
          <w:tcPr>
            <w:tcW w:w="760" w:type="dxa"/>
            <w:vAlign w:val="bottom"/>
          </w:tcPr>
          <w:p>
            <w:pPr>
              <w:jc w:val="right"/>
              <w:spacing w:after="0"/>
              <w:rPr>
                <w:sz w:val="20"/>
                <w:szCs w:val="20"/>
                <w:color w:val="auto"/>
              </w:rPr>
            </w:pPr>
            <w:r>
              <w:rPr>
                <w:rFonts w:ascii="Arial" w:cs="Arial" w:eastAsia="Arial" w:hAnsi="Arial"/>
                <w:sz w:val="18"/>
                <w:szCs w:val="18"/>
                <w:color w:val="auto"/>
              </w:rPr>
              <w:t>109,787</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13,182</w:t>
            </w:r>
          </w:p>
        </w:tc>
        <w:tc>
          <w:tcPr>
            <w:tcW w:w="740" w:type="dxa"/>
            <w:vAlign w:val="bottom"/>
          </w:tcPr>
          <w:p>
            <w:pPr>
              <w:jc w:val="right"/>
              <w:spacing w:after="0"/>
              <w:rPr>
                <w:sz w:val="20"/>
                <w:szCs w:val="20"/>
                <w:color w:val="auto"/>
              </w:rPr>
            </w:pPr>
            <w:r>
              <w:rPr>
                <w:rFonts w:ascii="Arial" w:cs="Arial" w:eastAsia="Arial" w:hAnsi="Arial"/>
                <w:sz w:val="18"/>
                <w:szCs w:val="18"/>
                <w:color w:val="auto"/>
              </w:rPr>
              <w:t>117,214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122,539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93,002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189,464</w:t>
            </w:r>
          </w:p>
        </w:tc>
        <w:tc>
          <w:tcPr>
            <w:tcW w:w="760" w:type="dxa"/>
            <w:vAlign w:val="bottom"/>
          </w:tcPr>
          <w:p>
            <w:pPr>
              <w:jc w:val="right"/>
              <w:spacing w:after="0"/>
              <w:rPr>
                <w:sz w:val="20"/>
                <w:szCs w:val="20"/>
                <w:color w:val="auto"/>
              </w:rPr>
            </w:pPr>
            <w:r>
              <w:rPr>
                <w:rFonts w:ascii="Arial" w:cs="Arial" w:eastAsia="Arial" w:hAnsi="Arial"/>
                <w:sz w:val="18"/>
                <w:szCs w:val="18"/>
                <w:color w:val="auto"/>
              </w:rPr>
              <w:t>226,476</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26,000</w:t>
            </w:r>
          </w:p>
        </w:tc>
        <w:tc>
          <w:tcPr>
            <w:tcW w:w="740" w:type="dxa"/>
            <w:vAlign w:val="bottom"/>
          </w:tcPr>
          <w:p>
            <w:pPr>
              <w:jc w:val="right"/>
              <w:spacing w:after="0"/>
              <w:rPr>
                <w:sz w:val="20"/>
                <w:szCs w:val="20"/>
                <w:color w:val="auto"/>
              </w:rPr>
            </w:pPr>
            <w:r>
              <w:rPr>
                <w:rFonts w:ascii="Arial" w:cs="Arial" w:eastAsia="Arial" w:hAnsi="Arial"/>
                <w:sz w:val="18"/>
                <w:szCs w:val="18"/>
                <w:color w:val="auto"/>
              </w:rPr>
              <w:t>209,632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239,324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11,730</w:t>
            </w:r>
          </w:p>
        </w:tc>
        <w:tc>
          <w:tcPr>
            <w:tcW w:w="760" w:type="dxa"/>
            <w:vAlign w:val="bottom"/>
          </w:tcPr>
          <w:p>
            <w:pPr>
              <w:jc w:val="right"/>
              <w:spacing w:after="0"/>
              <w:rPr>
                <w:sz w:val="20"/>
                <w:szCs w:val="20"/>
                <w:color w:val="auto"/>
              </w:rPr>
            </w:pPr>
            <w:r>
              <w:rPr>
                <w:rFonts w:ascii="Arial" w:cs="Arial" w:eastAsia="Arial" w:hAnsi="Arial"/>
                <w:sz w:val="18"/>
                <w:szCs w:val="18"/>
                <w:color w:val="auto"/>
              </w:rPr>
              <w:t>12,920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2,863</w:t>
            </w:r>
          </w:p>
        </w:tc>
        <w:tc>
          <w:tcPr>
            <w:tcW w:w="740" w:type="dxa"/>
            <w:vAlign w:val="bottom"/>
          </w:tcPr>
          <w:p>
            <w:pPr>
              <w:jc w:val="right"/>
              <w:spacing w:after="0"/>
              <w:rPr>
                <w:sz w:val="20"/>
                <w:szCs w:val="20"/>
                <w:color w:val="auto"/>
              </w:rPr>
            </w:pPr>
            <w:r>
              <w:rPr>
                <w:rFonts w:ascii="Arial" w:cs="Arial" w:eastAsia="Arial" w:hAnsi="Arial"/>
                <w:sz w:val="18"/>
                <w:szCs w:val="18"/>
                <w:color w:val="auto"/>
              </w:rPr>
              <w:t>11,799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13,378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54,748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58,858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1,153,556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1,377,891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202,216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1,175,670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1,370,544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213,933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- 19 -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center"/>
              <w:ind w:left="279"/>
              <w:spacing w:after="0"/>
              <w:rPr>
                <w:sz w:val="20"/>
                <w:szCs w:val="20"/>
                <w:color w:val="auto"/>
              </w:rPr>
            </w:pPr>
            <w:r>
              <w:rPr>
                <w:rFonts w:ascii="Arial" w:cs="Arial" w:eastAsia="Arial" w:hAnsi="Arial"/>
                <w:sz w:val="14"/>
                <w:szCs w:val="14"/>
                <w:color w:val="auto"/>
                <w:w w:val="85"/>
              </w:rPr>
              <w:t>Three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left="409"/>
              <w:spacing w:after="0"/>
              <w:rPr>
                <w:sz w:val="20"/>
                <w:szCs w:val="20"/>
                <w:color w:val="auto"/>
              </w:rPr>
            </w:pPr>
            <w:r>
              <w:rPr>
                <w:rFonts w:ascii="Arial" w:cs="Arial" w:eastAsia="Arial" w:hAnsi="Arial"/>
                <w:sz w:val="14"/>
                <w:szCs w:val="14"/>
                <w:color w:val="auto"/>
                <w:w w:val="85"/>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center"/>
              <w:ind w:left="299"/>
              <w:spacing w:after="0" w:line="159" w:lineRule="exact"/>
              <w:rPr>
                <w:sz w:val="20"/>
                <w:szCs w:val="20"/>
                <w:color w:val="auto"/>
              </w:rPr>
            </w:pPr>
            <w:r>
              <w:rPr>
                <w:rFonts w:ascii="Arial" w:cs="Arial" w:eastAsia="Arial" w:hAnsi="Arial"/>
                <w:sz w:val="14"/>
                <w:szCs w:val="14"/>
                <w:color w:val="auto"/>
                <w:w w:val="85"/>
              </w:rPr>
              <w:t>September 30, 2011</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tcBorders>
              <w:bottom w:val="single" w:sz="8" w:color="auto"/>
            </w:tcBorders>
            <w:gridSpan w:val="5"/>
          </w:tcPr>
          <w:p>
            <w:pPr>
              <w:jc w:val="center"/>
              <w:ind w:left="389"/>
              <w:spacing w:after="0" w:line="159" w:lineRule="exact"/>
              <w:rPr>
                <w:sz w:val="20"/>
                <w:szCs w:val="20"/>
                <w:color w:val="auto"/>
              </w:rPr>
            </w:pPr>
            <w:r>
              <w:rPr>
                <w:rFonts w:ascii="Arial" w:cs="Arial" w:eastAsia="Arial" w:hAnsi="Arial"/>
                <w:sz w:val="14"/>
                <w:szCs w:val="14"/>
                <w:color w:val="auto"/>
                <w:w w:val="85"/>
              </w:rPr>
              <w:t>September 30, 2010</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4"/>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4"/>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88"/>
              </w:rPr>
              <w:t>Average</w:t>
            </w:r>
          </w:p>
        </w:tc>
        <w:tc>
          <w:tcPr>
            <w:tcW w:w="220" w:type="dxa"/>
            <w:vAlign w:val="bottom"/>
          </w:tcPr>
          <w:p>
            <w:pPr>
              <w:spacing w:after="0"/>
              <w:rPr>
                <w:sz w:val="13"/>
                <w:szCs w:val="13"/>
                <w:color w:val="auto"/>
              </w:rPr>
            </w:pPr>
          </w:p>
        </w:tc>
        <w:tc>
          <w:tcPr>
            <w:tcW w:w="1060" w:type="dxa"/>
            <w:vAlign w:val="bottom"/>
            <w:tcBorders>
              <w:bottom w:val="single" w:sz="8" w:color="auto"/>
            </w:tcBorders>
            <w:gridSpan w:val="3"/>
          </w:tcPr>
          <w:p>
            <w:pPr>
              <w:jc w:val="center"/>
              <w:ind w:left="387"/>
              <w:spacing w:after="0" w:line="159" w:lineRule="exact"/>
              <w:rPr>
                <w:sz w:val="20"/>
                <w:szCs w:val="20"/>
                <w:color w:val="auto"/>
              </w:rPr>
            </w:pPr>
            <w:r>
              <w:rPr>
                <w:rFonts w:ascii="Arial" w:cs="Arial" w:eastAsia="Arial" w:hAnsi="Arial"/>
                <w:sz w:val="14"/>
                <w:szCs w:val="14"/>
                <w:color w:val="auto"/>
                <w:w w:val="87"/>
              </w:rPr>
              <w:t>recognized</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4"/>
              </w:rPr>
              <w:t>Average</w:t>
            </w:r>
          </w:p>
        </w:tc>
        <w:tc>
          <w:tcPr>
            <w:tcW w:w="1060" w:type="dxa"/>
            <w:vAlign w:val="bottom"/>
            <w:tcBorders>
              <w:bottom w:val="single" w:sz="8" w:color="auto"/>
            </w:tcBorders>
            <w:gridSpan w:val="3"/>
          </w:tcPr>
          <w:p>
            <w:pPr>
              <w:jc w:val="center"/>
              <w:ind w:left="377"/>
              <w:spacing w:after="0" w:line="159" w:lineRule="exact"/>
              <w:rPr>
                <w:sz w:val="20"/>
                <w:szCs w:val="20"/>
                <w:color w:val="auto"/>
              </w:rPr>
            </w:pPr>
            <w:r>
              <w:rPr>
                <w:rFonts w:ascii="Arial" w:cs="Arial" w:eastAsia="Arial" w:hAnsi="Arial"/>
                <w:sz w:val="14"/>
                <w:szCs w:val="14"/>
                <w:color w:val="auto"/>
                <w:w w:val="87"/>
              </w:rPr>
              <w:t>recognized</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3"/>
              </w:rPr>
              <w:t>recorded</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ind w:right="117"/>
              <w:spacing w:after="0" w:line="149" w:lineRule="exact"/>
              <w:rPr>
                <w:sz w:val="20"/>
                <w:szCs w:val="20"/>
                <w:color w:val="auto"/>
              </w:rPr>
            </w:pPr>
            <w:r>
              <w:rPr>
                <w:rFonts w:ascii="Arial" w:cs="Arial" w:eastAsia="Arial" w:hAnsi="Arial"/>
                <w:sz w:val="14"/>
                <w:szCs w:val="14"/>
                <w:color w:val="auto"/>
                <w:w w:val="73"/>
              </w:rPr>
              <w:t>Cash</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recorded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spacing w:after="0" w:line="159" w:lineRule="exact"/>
              <w:rPr>
                <w:sz w:val="20"/>
                <w:szCs w:val="20"/>
                <w:color w:val="auto"/>
              </w:rPr>
            </w:pPr>
            <w:r>
              <w:rPr>
                <w:rFonts w:ascii="Arial" w:cs="Arial" w:eastAsia="Arial" w:hAnsi="Arial"/>
                <w:sz w:val="14"/>
                <w:szCs w:val="14"/>
                <w:color w:val="auto"/>
                <w:w w:val="85"/>
              </w:rPr>
              <w:t>investment</w:t>
            </w:r>
          </w:p>
        </w:tc>
        <w:tc>
          <w:tcPr>
            <w:tcW w:w="220" w:type="dxa"/>
            <w:vAlign w:val="bottom"/>
          </w:tcPr>
          <w:p>
            <w:pPr>
              <w:spacing w:after="0"/>
              <w:rPr>
                <w:sz w:val="13"/>
                <w:szCs w:val="13"/>
                <w:color w:val="auto"/>
              </w:rPr>
            </w:pPr>
          </w:p>
        </w:tc>
        <w:tc>
          <w:tcPr>
            <w:tcW w:w="1060" w:type="dxa"/>
            <w:vAlign w:val="bottom"/>
            <w:gridSpan w:val="3"/>
          </w:tcPr>
          <w:p>
            <w:pPr>
              <w:ind w:left="180"/>
              <w:spacing w:after="0" w:line="159" w:lineRule="exact"/>
              <w:rPr>
                <w:sz w:val="20"/>
                <w:szCs w:val="20"/>
                <w:color w:val="auto"/>
              </w:rPr>
            </w:pPr>
            <w:r>
              <w:rPr>
                <w:rFonts w:ascii="Arial" w:cs="Arial" w:eastAsia="Arial" w:hAnsi="Arial"/>
                <w:sz w:val="14"/>
                <w:szCs w:val="14"/>
                <w:color w:val="auto"/>
              </w:rPr>
              <w:t>Total</w:t>
            </w:r>
          </w:p>
        </w:tc>
        <w:tc>
          <w:tcPr>
            <w:tcW w:w="460" w:type="dxa"/>
            <w:vAlign w:val="bottom"/>
          </w:tcPr>
          <w:p>
            <w:pPr>
              <w:jc w:val="right"/>
              <w:ind w:right="117"/>
              <w:spacing w:after="0" w:line="159" w:lineRule="exact"/>
              <w:rPr>
                <w:sz w:val="20"/>
                <w:szCs w:val="20"/>
                <w:color w:val="auto"/>
              </w:rPr>
            </w:pPr>
            <w:r>
              <w:rPr>
                <w:rFonts w:ascii="Arial" w:cs="Arial" w:eastAsia="Arial" w:hAnsi="Arial"/>
                <w:sz w:val="14"/>
                <w:szCs w:val="14"/>
                <w:color w:val="auto"/>
                <w:w w:val="73"/>
              </w:rPr>
              <w:t>basis</w:t>
            </w:r>
          </w:p>
        </w:tc>
        <w:tc>
          <w:tcPr>
            <w:tcW w:w="200" w:type="dxa"/>
            <w:vAlign w:val="bottom"/>
          </w:tcPr>
          <w:p>
            <w:pPr>
              <w:spacing w:after="0"/>
              <w:rPr>
                <w:sz w:val="13"/>
                <w:szCs w:val="13"/>
                <w:color w:val="auto"/>
              </w:rPr>
            </w:pPr>
          </w:p>
        </w:tc>
        <w:tc>
          <w:tcPr>
            <w:tcW w:w="9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investment</w:t>
            </w:r>
          </w:p>
        </w:tc>
        <w:tc>
          <w:tcPr>
            <w:tcW w:w="10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Total</w:t>
            </w:r>
          </w:p>
        </w:tc>
        <w:tc>
          <w:tcPr>
            <w:tcW w:w="560" w:type="dxa"/>
            <w:vAlign w:val="bottom"/>
            <w:gridSpan w:val="2"/>
          </w:tcPr>
          <w:p>
            <w:pPr>
              <w:spacing w:after="0" w:line="159" w:lineRule="exact"/>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16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152,368</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219,225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Real estate: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195,832</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167,462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338,897</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268,579</w:t>
            </w:r>
          </w:p>
        </w:tc>
        <w:tc>
          <w:tcPr>
            <w:tcW w:w="66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26,550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98,885</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1,183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70,418</w:t>
            </w:r>
          </w:p>
        </w:tc>
        <w:tc>
          <w:tcPr>
            <w:tcW w:w="660" w:type="dxa"/>
            <w:vAlign w:val="bottom"/>
          </w:tcPr>
          <w:p>
            <w:pPr>
              <w:jc w:val="right"/>
              <w:spacing w:after="0"/>
              <w:rPr>
                <w:sz w:val="20"/>
                <w:szCs w:val="20"/>
                <w:color w:val="auto"/>
              </w:rPr>
            </w:pPr>
            <w:r>
              <w:rPr>
                <w:rFonts w:ascii="Arial" w:cs="Arial" w:eastAsia="Arial" w:hAnsi="Arial"/>
                <w:sz w:val="18"/>
                <w:szCs w:val="18"/>
                <w:color w:val="auto"/>
              </w:rPr>
              <w:t>774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Alt-A</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192,609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1,872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219,778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11,128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56,071</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55,871</w:t>
            </w:r>
          </w:p>
        </w:tc>
        <w:tc>
          <w:tcPr>
            <w:tcW w:w="660" w:type="dxa"/>
            <w:vAlign w:val="bottom"/>
          </w:tcPr>
          <w:p>
            <w:pPr>
              <w:jc w:val="right"/>
              <w:spacing w:after="0"/>
              <w:rPr>
                <w:sz w:val="20"/>
                <w:szCs w:val="20"/>
                <w:color w:val="auto"/>
              </w:rPr>
            </w:pPr>
            <w:r>
              <w:rPr>
                <w:rFonts w:ascii="Arial" w:cs="Arial" w:eastAsia="Arial" w:hAnsi="Arial"/>
                <w:sz w:val="18"/>
                <w:szCs w:val="18"/>
                <w:color w:val="auto"/>
              </w:rPr>
              <w:t>951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1,148,537</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6,727</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3,567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1,042,197</w:t>
            </w:r>
          </w:p>
        </w:tc>
        <w:tc>
          <w:tcPr>
            <w:tcW w:w="660" w:type="dxa"/>
            <w:vAlign w:val="bottom"/>
          </w:tcPr>
          <w:p>
            <w:pPr>
              <w:jc w:val="right"/>
              <w:spacing w:after="0"/>
              <w:rPr>
                <w:sz w:val="20"/>
                <w:szCs w:val="20"/>
                <w:color w:val="auto"/>
              </w:rPr>
            </w:pPr>
            <w:r>
              <w:rPr>
                <w:rFonts w:ascii="Arial" w:cs="Arial" w:eastAsia="Arial" w:hAnsi="Arial"/>
                <w:sz w:val="18"/>
                <w:szCs w:val="18"/>
                <w:color w:val="auto"/>
              </w:rPr>
              <w:t>5,895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5"/>
          </w:tcPr>
          <w:p>
            <w:pPr>
              <w:jc w:val="center"/>
              <w:ind w:left="299"/>
              <w:spacing w:after="0"/>
              <w:rPr>
                <w:sz w:val="20"/>
                <w:szCs w:val="20"/>
                <w:color w:val="auto"/>
              </w:rPr>
            </w:pPr>
            <w:r>
              <w:rPr>
                <w:rFonts w:ascii="Arial" w:cs="Arial" w:eastAsia="Arial" w:hAnsi="Arial"/>
                <w:sz w:val="14"/>
                <w:szCs w:val="14"/>
                <w:color w:val="auto"/>
                <w:w w:val="85"/>
              </w:rPr>
              <w:t>Nine months ended</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5"/>
          </w:tcPr>
          <w:p>
            <w:pPr>
              <w:jc w:val="center"/>
              <w:ind w:left="389"/>
              <w:spacing w:after="0"/>
              <w:rPr>
                <w:sz w:val="20"/>
                <w:szCs w:val="20"/>
                <w:color w:val="auto"/>
              </w:rPr>
            </w:pPr>
            <w:r>
              <w:rPr>
                <w:rFonts w:ascii="Arial" w:cs="Arial" w:eastAsia="Arial" w:hAnsi="Arial"/>
                <w:sz w:val="14"/>
                <w:szCs w:val="14"/>
                <w:color w:val="auto"/>
                <w:w w:val="85"/>
              </w:rPr>
              <w:t>Nine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center"/>
              <w:ind w:left="299"/>
              <w:spacing w:after="0" w:line="159" w:lineRule="exact"/>
              <w:rPr>
                <w:sz w:val="20"/>
                <w:szCs w:val="20"/>
                <w:color w:val="auto"/>
              </w:rPr>
            </w:pPr>
            <w:r>
              <w:rPr>
                <w:rFonts w:ascii="Arial" w:cs="Arial" w:eastAsia="Arial" w:hAnsi="Arial"/>
                <w:sz w:val="14"/>
                <w:szCs w:val="14"/>
                <w:color w:val="auto"/>
                <w:w w:val="85"/>
              </w:rPr>
              <w:t>September 30, 2011</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tcBorders>
              <w:bottom w:val="single" w:sz="8" w:color="auto"/>
            </w:tcBorders>
            <w:gridSpan w:val="5"/>
          </w:tcPr>
          <w:p>
            <w:pPr>
              <w:jc w:val="center"/>
              <w:ind w:left="389"/>
              <w:spacing w:after="0" w:line="159" w:lineRule="exact"/>
              <w:rPr>
                <w:sz w:val="20"/>
                <w:szCs w:val="20"/>
                <w:color w:val="auto"/>
              </w:rPr>
            </w:pPr>
            <w:r>
              <w:rPr>
                <w:rFonts w:ascii="Arial" w:cs="Arial" w:eastAsia="Arial" w:hAnsi="Arial"/>
                <w:sz w:val="14"/>
                <w:szCs w:val="14"/>
                <w:color w:val="auto"/>
                <w:w w:val="85"/>
              </w:rPr>
              <w:t>September 30, 2010</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4"/>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4"/>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88"/>
              </w:rPr>
              <w:t>Average</w:t>
            </w:r>
          </w:p>
        </w:tc>
        <w:tc>
          <w:tcPr>
            <w:tcW w:w="220" w:type="dxa"/>
            <w:vAlign w:val="bottom"/>
          </w:tcPr>
          <w:p>
            <w:pPr>
              <w:spacing w:after="0"/>
              <w:rPr>
                <w:sz w:val="13"/>
                <w:szCs w:val="13"/>
                <w:color w:val="auto"/>
              </w:rPr>
            </w:pPr>
          </w:p>
        </w:tc>
        <w:tc>
          <w:tcPr>
            <w:tcW w:w="1060" w:type="dxa"/>
            <w:vAlign w:val="bottom"/>
            <w:tcBorders>
              <w:bottom w:val="single" w:sz="8" w:color="auto"/>
            </w:tcBorders>
            <w:gridSpan w:val="3"/>
          </w:tcPr>
          <w:p>
            <w:pPr>
              <w:jc w:val="center"/>
              <w:ind w:left="387"/>
              <w:spacing w:after="0" w:line="159" w:lineRule="exact"/>
              <w:rPr>
                <w:sz w:val="20"/>
                <w:szCs w:val="20"/>
                <w:color w:val="auto"/>
              </w:rPr>
            </w:pPr>
            <w:r>
              <w:rPr>
                <w:rFonts w:ascii="Arial" w:cs="Arial" w:eastAsia="Arial" w:hAnsi="Arial"/>
                <w:sz w:val="14"/>
                <w:szCs w:val="14"/>
                <w:color w:val="auto"/>
                <w:w w:val="87"/>
              </w:rPr>
              <w:t>recognized</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4"/>
              </w:rPr>
              <w:t>Average</w:t>
            </w:r>
          </w:p>
        </w:tc>
        <w:tc>
          <w:tcPr>
            <w:tcW w:w="1060" w:type="dxa"/>
            <w:vAlign w:val="bottom"/>
            <w:tcBorders>
              <w:bottom w:val="single" w:sz="8" w:color="auto"/>
            </w:tcBorders>
            <w:gridSpan w:val="3"/>
          </w:tcPr>
          <w:p>
            <w:pPr>
              <w:jc w:val="center"/>
              <w:ind w:left="377"/>
              <w:spacing w:after="0" w:line="159" w:lineRule="exact"/>
              <w:rPr>
                <w:sz w:val="20"/>
                <w:szCs w:val="20"/>
                <w:color w:val="auto"/>
              </w:rPr>
            </w:pPr>
            <w:r>
              <w:rPr>
                <w:rFonts w:ascii="Arial" w:cs="Arial" w:eastAsia="Arial" w:hAnsi="Arial"/>
                <w:sz w:val="14"/>
                <w:szCs w:val="14"/>
                <w:color w:val="auto"/>
                <w:w w:val="87"/>
              </w:rPr>
              <w:t>recognized</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3"/>
              </w:rPr>
              <w:t>recorded</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ind w:right="117"/>
              <w:spacing w:after="0" w:line="149" w:lineRule="exact"/>
              <w:rPr>
                <w:sz w:val="20"/>
                <w:szCs w:val="20"/>
                <w:color w:val="auto"/>
              </w:rPr>
            </w:pPr>
            <w:r>
              <w:rPr>
                <w:rFonts w:ascii="Arial" w:cs="Arial" w:eastAsia="Arial" w:hAnsi="Arial"/>
                <w:sz w:val="14"/>
                <w:szCs w:val="14"/>
                <w:color w:val="auto"/>
                <w:w w:val="73"/>
              </w:rPr>
              <w:t>Cash</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recorded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spacing w:after="0" w:line="159" w:lineRule="exact"/>
              <w:rPr>
                <w:sz w:val="20"/>
                <w:szCs w:val="20"/>
                <w:color w:val="auto"/>
              </w:rPr>
            </w:pPr>
            <w:r>
              <w:rPr>
                <w:rFonts w:ascii="Arial" w:cs="Arial" w:eastAsia="Arial" w:hAnsi="Arial"/>
                <w:sz w:val="14"/>
                <w:szCs w:val="14"/>
                <w:color w:val="auto"/>
                <w:w w:val="85"/>
              </w:rPr>
              <w:t>investment</w:t>
            </w:r>
          </w:p>
        </w:tc>
        <w:tc>
          <w:tcPr>
            <w:tcW w:w="220" w:type="dxa"/>
            <w:vAlign w:val="bottom"/>
          </w:tcPr>
          <w:p>
            <w:pPr>
              <w:spacing w:after="0"/>
              <w:rPr>
                <w:sz w:val="13"/>
                <w:szCs w:val="13"/>
                <w:color w:val="auto"/>
              </w:rPr>
            </w:pPr>
          </w:p>
        </w:tc>
        <w:tc>
          <w:tcPr>
            <w:tcW w:w="1060" w:type="dxa"/>
            <w:vAlign w:val="bottom"/>
            <w:gridSpan w:val="3"/>
          </w:tcPr>
          <w:p>
            <w:pPr>
              <w:ind w:left="180"/>
              <w:spacing w:after="0" w:line="159" w:lineRule="exact"/>
              <w:rPr>
                <w:sz w:val="20"/>
                <w:szCs w:val="20"/>
                <w:color w:val="auto"/>
              </w:rPr>
            </w:pPr>
            <w:r>
              <w:rPr>
                <w:rFonts w:ascii="Arial" w:cs="Arial" w:eastAsia="Arial" w:hAnsi="Arial"/>
                <w:sz w:val="14"/>
                <w:szCs w:val="14"/>
                <w:color w:val="auto"/>
              </w:rPr>
              <w:t>Total</w:t>
            </w:r>
          </w:p>
        </w:tc>
        <w:tc>
          <w:tcPr>
            <w:tcW w:w="460" w:type="dxa"/>
            <w:vAlign w:val="bottom"/>
          </w:tcPr>
          <w:p>
            <w:pPr>
              <w:jc w:val="right"/>
              <w:ind w:right="117"/>
              <w:spacing w:after="0" w:line="159" w:lineRule="exact"/>
              <w:rPr>
                <w:sz w:val="20"/>
                <w:szCs w:val="20"/>
                <w:color w:val="auto"/>
              </w:rPr>
            </w:pPr>
            <w:r>
              <w:rPr>
                <w:rFonts w:ascii="Arial" w:cs="Arial" w:eastAsia="Arial" w:hAnsi="Arial"/>
                <w:sz w:val="14"/>
                <w:szCs w:val="14"/>
                <w:color w:val="auto"/>
                <w:w w:val="73"/>
              </w:rPr>
              <w:t>basis</w:t>
            </w:r>
          </w:p>
        </w:tc>
        <w:tc>
          <w:tcPr>
            <w:tcW w:w="200" w:type="dxa"/>
            <w:vAlign w:val="bottom"/>
          </w:tcPr>
          <w:p>
            <w:pPr>
              <w:spacing w:after="0"/>
              <w:rPr>
                <w:sz w:val="13"/>
                <w:szCs w:val="13"/>
                <w:color w:val="auto"/>
              </w:rPr>
            </w:pPr>
          </w:p>
        </w:tc>
        <w:tc>
          <w:tcPr>
            <w:tcW w:w="9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investment</w:t>
            </w:r>
          </w:p>
        </w:tc>
        <w:tc>
          <w:tcPr>
            <w:tcW w:w="10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Total</w:t>
            </w:r>
          </w:p>
        </w:tc>
        <w:tc>
          <w:tcPr>
            <w:tcW w:w="560" w:type="dxa"/>
            <w:vAlign w:val="bottom"/>
            <w:gridSpan w:val="2"/>
          </w:tcPr>
          <w:p>
            <w:pPr>
              <w:spacing w:after="0" w:line="159" w:lineRule="exact"/>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16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163,005</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2,844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262,310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Real estate: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191,818</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219,816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321,386</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1,261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282,762</w:t>
            </w:r>
          </w:p>
        </w:tc>
        <w:tc>
          <w:tcPr>
            <w:tcW w:w="660" w:type="dxa"/>
            <w:vAlign w:val="bottom"/>
          </w:tcPr>
          <w:p>
            <w:pPr>
              <w:jc w:val="right"/>
              <w:spacing w:after="0"/>
              <w:rPr>
                <w:sz w:val="20"/>
                <w:szCs w:val="20"/>
                <w:color w:val="auto"/>
              </w:rPr>
            </w:pPr>
            <w:r>
              <w:rPr>
                <w:rFonts w:ascii="Arial" w:cs="Arial" w:eastAsia="Arial" w:hAnsi="Arial"/>
                <w:sz w:val="18"/>
                <w:szCs w:val="18"/>
                <w:color w:val="auto"/>
              </w:rPr>
              <w:t>1,058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102,978</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28,342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92,918</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3,209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1,770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58,120</w:t>
            </w:r>
          </w:p>
        </w:tc>
        <w:tc>
          <w:tcPr>
            <w:tcW w:w="660" w:type="dxa"/>
            <w:vAlign w:val="bottom"/>
          </w:tcPr>
          <w:p>
            <w:pPr>
              <w:jc w:val="right"/>
              <w:spacing w:after="0"/>
              <w:rPr>
                <w:sz w:val="20"/>
                <w:szCs w:val="20"/>
                <w:color w:val="auto"/>
              </w:rPr>
            </w:pPr>
            <w:r>
              <w:rPr>
                <w:rFonts w:ascii="Arial" w:cs="Arial" w:eastAsia="Arial" w:hAnsi="Arial"/>
                <w:sz w:val="18"/>
                <w:szCs w:val="18"/>
                <w:color w:val="auto"/>
              </w:rPr>
              <w:t>1,985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Alt-A</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199,066</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5,858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1,455</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223,328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57,704</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2,925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53,062</w:t>
            </w:r>
          </w:p>
        </w:tc>
        <w:tc>
          <w:tcPr>
            <w:tcW w:w="660" w:type="dxa"/>
            <w:vAlign w:val="bottom"/>
          </w:tcPr>
          <w:p>
            <w:pPr>
              <w:jc w:val="right"/>
              <w:spacing w:after="0"/>
              <w:rPr>
                <w:sz w:val="20"/>
                <w:szCs w:val="20"/>
                <w:color w:val="auto"/>
              </w:rPr>
            </w:pPr>
            <w:r>
              <w:rPr>
                <w:rFonts w:ascii="Arial" w:cs="Arial" w:eastAsia="Arial" w:hAnsi="Arial"/>
                <w:sz w:val="18"/>
                <w:szCs w:val="18"/>
                <w:color w:val="auto"/>
              </w:rPr>
              <w:t>2,722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1,144,988</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19,271</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9,510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1,142,760</w:t>
            </w:r>
          </w:p>
        </w:tc>
        <w:tc>
          <w:tcPr>
            <w:tcW w:w="660" w:type="dxa"/>
            <w:vAlign w:val="bottom"/>
          </w:tcPr>
          <w:p>
            <w:pPr>
              <w:jc w:val="right"/>
              <w:spacing w:after="0"/>
              <w:rPr>
                <w:sz w:val="20"/>
                <w:szCs w:val="20"/>
                <w:color w:val="auto"/>
              </w:rPr>
            </w:pPr>
            <w:r>
              <w:rPr>
                <w:rFonts w:ascii="Arial" w:cs="Arial" w:eastAsia="Arial" w:hAnsi="Arial"/>
                <w:sz w:val="18"/>
                <w:szCs w:val="18"/>
                <w:color w:val="auto"/>
              </w:rPr>
              <w:t>16,359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60" w:type="dxa"/>
            <w:vAlign w:val="bottom"/>
            <w:vMerge w:val="restart"/>
          </w:tcPr>
          <w:p>
            <w:pPr>
              <w:jc w:val="right"/>
              <w:ind w:right="132"/>
              <w:spacing w:after="0"/>
              <w:rPr>
                <w:sz w:val="20"/>
                <w:szCs w:val="20"/>
                <w:color w:val="auto"/>
              </w:rPr>
            </w:pPr>
            <w:r>
              <w:rPr>
                <w:rFonts w:ascii="Arial" w:cs="Arial" w:eastAsia="Arial" w:hAnsi="Arial"/>
                <w:sz w:val="18"/>
                <w:szCs w:val="18"/>
                <w:color w:val="auto"/>
              </w:rPr>
              <w:t>- 20 -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 as of September 30, 2011 and December 31, 2010.</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9"/>
              </w:rPr>
              <w:t>Commercial,</w:t>
            </w:r>
          </w:p>
        </w:tc>
        <w:tc>
          <w:tcPr>
            <w:tcW w:w="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w w:val="85"/>
              </w:rPr>
              <w:t>Real Estate</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6"/>
              </w:rPr>
              <w:t>Residential</w:t>
            </w:r>
          </w:p>
        </w:tc>
        <w:tc>
          <w:tcPr>
            <w:tcW w:w="28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5"/>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Financial,</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Builder and</w:t>
            </w:r>
          </w:p>
        </w:tc>
        <w:tc>
          <w:tcPr>
            <w:tcW w:w="2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Commercial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4"/>
                <w:szCs w:val="14"/>
                <w:color w:val="auto"/>
                <w:w w:val="85"/>
              </w:rPr>
              <w:t>Leasing, etc.</w:t>
            </w:r>
          </w:p>
        </w:tc>
        <w:tc>
          <w:tcPr>
            <w:tcW w:w="280" w:type="dxa"/>
            <w:vAlign w:val="bottom"/>
          </w:tcPr>
          <w:p>
            <w:pPr>
              <w:spacing w:after="0"/>
              <w:rPr>
                <w:sz w:val="13"/>
                <w:szCs w:val="13"/>
                <w:color w:val="auto"/>
              </w:rPr>
            </w:pPr>
          </w:p>
        </w:tc>
        <w:tc>
          <w:tcPr>
            <w:tcW w:w="860" w:type="dxa"/>
            <w:vAlign w:val="bottom"/>
          </w:tcPr>
          <w:p>
            <w:pPr>
              <w:jc w:val="right"/>
              <w:ind w:right="22"/>
              <w:spacing w:after="0" w:line="159" w:lineRule="exact"/>
              <w:rPr>
                <w:sz w:val="20"/>
                <w:szCs w:val="20"/>
                <w:color w:val="auto"/>
              </w:rPr>
            </w:pPr>
            <w:r>
              <w:rPr>
                <w:rFonts w:ascii="Arial" w:cs="Arial" w:eastAsia="Arial" w:hAnsi="Arial"/>
                <w:sz w:val="14"/>
                <w:szCs w:val="14"/>
                <w:color w:val="auto"/>
                <w:w w:val="99"/>
              </w:rPr>
              <w:t>Commercial</w:t>
            </w:r>
          </w:p>
        </w:tc>
        <w:tc>
          <w:tcPr>
            <w:tcW w:w="30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7"/>
              </w:rPr>
              <w:t>Developer</w:t>
            </w:r>
          </w:p>
        </w:tc>
        <w:tc>
          <w:tcPr>
            <w:tcW w:w="280" w:type="dxa"/>
            <w:vAlign w:val="bottom"/>
          </w:tcPr>
          <w:p>
            <w:pPr>
              <w:spacing w:after="0"/>
              <w:rPr>
                <w:sz w:val="13"/>
                <w:szCs w:val="13"/>
                <w:color w:val="auto"/>
              </w:rPr>
            </w:pPr>
          </w:p>
        </w:tc>
        <w:tc>
          <w:tcPr>
            <w:tcW w:w="86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9"/>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right"/>
              <w:ind w:right="566"/>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Pass</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$14,350,581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18,851,277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412,916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2,600,236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401,825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938,076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150,702</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182,953</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318,957</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15,218,502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19,436,055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1,669,949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2,855,302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2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$12,384,512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15,855,774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722,747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Criticized 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832,733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891,655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311,932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519,651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173,365</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184,361</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316,811</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13,390,610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16,931,790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1,351,490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2,899,881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determining the allowance for credit losses, residential real estate loans and consumer loans are generally evaluated collectively after considering such factors as payment performance, recent loss experience and trends related thereto.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Given the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allocated portion of the allowance. The determination of the allocated portion of the allowance for credit losses is very subjective. Factors that influence the precision in developing loss estimates for the allocated allowance impact the level of the unallocated portion of the allowance. Such factors might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September 30, 2011 and December 31, 2010, the allocation of the allowance for credit losses summarized on the basis of the Company’s impairment methodology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Commercial,</w:t>
            </w:r>
          </w:p>
        </w:tc>
        <w:tc>
          <w:tcPr>
            <w:tcW w:w="2060" w:type="dxa"/>
            <w:vAlign w:val="bottom"/>
            <w:gridSpan w:val="4"/>
            <w:vMerge w:val="restart"/>
          </w:tcPr>
          <w:p>
            <w:pPr>
              <w:ind w:left="58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000" w:type="dxa"/>
            <w:vAlign w:val="bottom"/>
            <w:gridSpan w:val="3"/>
            <w:vMerge w:val="restart"/>
          </w:tcPr>
          <w:p>
            <w:pPr>
              <w:jc w:val="right"/>
              <w:ind w:right="380"/>
              <w:spacing w:after="0" w:line="149" w:lineRule="exact"/>
              <w:rPr>
                <w:sz w:val="20"/>
                <w:szCs w:val="20"/>
                <w:color w:val="auto"/>
              </w:rPr>
            </w:pPr>
            <w:r>
              <w:rPr>
                <w:rFonts w:ascii="Arial" w:cs="Arial" w:eastAsia="Arial" w:hAnsi="Arial"/>
                <w:sz w:val="14"/>
                <w:szCs w:val="14"/>
                <w:color w:val="auto"/>
              </w:rPr>
              <w:t>Financial,</w:t>
            </w:r>
          </w:p>
        </w:tc>
        <w:tc>
          <w:tcPr>
            <w:tcW w:w="206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0" w:type="dxa"/>
            <w:vAlign w:val="bottom"/>
            <w:gridSpan w:val="3"/>
          </w:tcPr>
          <w:p>
            <w:pPr>
              <w:spacing w:after="0" w:line="159" w:lineRule="exact"/>
              <w:rPr>
                <w:sz w:val="20"/>
                <w:szCs w:val="20"/>
                <w:color w:val="auto"/>
              </w:rPr>
            </w:pPr>
            <w:r>
              <w:rPr>
                <w:rFonts w:ascii="Arial" w:cs="Arial" w:eastAsia="Arial" w:hAnsi="Arial"/>
                <w:sz w:val="14"/>
                <w:szCs w:val="14"/>
                <w:color w:val="auto"/>
              </w:rPr>
              <w:t>Leasing, etc.</w:t>
            </w:r>
          </w:p>
        </w:tc>
        <w:tc>
          <w:tcPr>
            <w:tcW w:w="980" w:type="dxa"/>
            <w:vAlign w:val="bottom"/>
            <w:gridSpan w:val="2"/>
          </w:tcPr>
          <w:p>
            <w:pPr>
              <w:spacing w:after="0" w:line="159" w:lineRule="exact"/>
              <w:rPr>
                <w:sz w:val="20"/>
                <w:szCs w:val="20"/>
                <w:color w:val="auto"/>
              </w:rPr>
            </w:pPr>
            <w:r>
              <w:rPr>
                <w:rFonts w:ascii="Arial" w:cs="Arial" w:eastAsia="Arial" w:hAnsi="Arial"/>
                <w:sz w:val="14"/>
                <w:szCs w:val="14"/>
                <w:color w:val="auto"/>
              </w:rPr>
              <w:t>Commercial</w:t>
            </w:r>
          </w:p>
        </w:tc>
        <w:tc>
          <w:tcPr>
            <w:tcW w:w="10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Residential</w:t>
            </w:r>
          </w:p>
        </w:tc>
        <w:tc>
          <w:tcPr>
            <w:tcW w:w="9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Consumer</w:t>
            </w:r>
          </w:p>
        </w:tc>
        <w:tc>
          <w:tcPr>
            <w:tcW w:w="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(in thousands)</w:t>
            </w:r>
          </w:p>
        </w:tc>
        <w:tc>
          <w:tcPr>
            <w:tcW w:w="3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640" w:type="dxa"/>
            <w:vAlign w:val="bottom"/>
            <w:gridSpan w:val="2"/>
          </w:tcPr>
          <w:p>
            <w:pPr>
              <w:ind w:left="25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41,152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113,009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28,000</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15,533</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$197,694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182,090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271,379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56,973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124,013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634,455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Purchased impaired</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3,305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247</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648</w:t>
            </w:r>
          </w:p>
        </w:tc>
        <w:tc>
          <w:tcPr>
            <w:tcW w:w="660" w:type="dxa"/>
            <w:vAlign w:val="bottom"/>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223,564</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387,693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85,220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140,194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836,671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71,854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00" w:type="dxa"/>
            <w:vAlign w:val="bottom"/>
            <w:gridSpan w:val="2"/>
            <w:vMerge w:val="continue"/>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0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908,525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10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114,082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39,000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15,492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$209,033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171,670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282,505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46,976</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117,475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618,626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Allocated</w:t>
            </w:r>
          </w:p>
        </w:tc>
        <w:tc>
          <w:tcPr>
            <w:tcW w:w="2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2640" w:type="dxa"/>
            <w:vAlign w:val="bottom"/>
            <w:gridSpan w:val="2"/>
          </w:tcPr>
          <w:p>
            <w:pPr>
              <w:ind w:left="25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212,579</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400,562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86,351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133,067</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832,559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902,941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540" w:type="dxa"/>
            <w:vAlign w:val="bottom"/>
            <w:vMerge w:val="restart"/>
          </w:tcPr>
          <w:p>
            <w:pPr>
              <w:ind w:left="1420"/>
              <w:spacing w:after="0"/>
              <w:rPr>
                <w:sz w:val="20"/>
                <w:szCs w:val="20"/>
                <w:color w:val="auto"/>
              </w:rPr>
            </w:pPr>
            <w:r>
              <w:rPr>
                <w:rFonts w:ascii="Arial" w:cs="Arial" w:eastAsia="Arial" w:hAnsi="Arial"/>
                <w:sz w:val="18"/>
                <w:szCs w:val="18"/>
                <w:color w:val="auto"/>
              </w:rPr>
              <w:t>- 22 -</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recorded investment in loans and leases summarized on the basis of the Company’s impairment methodology as of September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Commercial,</w:t>
            </w:r>
          </w:p>
        </w:tc>
        <w:tc>
          <w:tcPr>
            <w:tcW w:w="200" w:type="dxa"/>
            <w:vAlign w:val="bottom"/>
          </w:tcPr>
          <w:p>
            <w:pPr>
              <w:spacing w:after="0"/>
              <w:rPr>
                <w:sz w:val="14"/>
                <w:szCs w:val="14"/>
                <w:color w:val="auto"/>
              </w:rPr>
            </w:pPr>
          </w:p>
        </w:tc>
        <w:tc>
          <w:tcPr>
            <w:tcW w:w="1820" w:type="dxa"/>
            <w:vAlign w:val="bottom"/>
            <w:gridSpan w:val="3"/>
            <w:vMerge w:val="restart"/>
          </w:tcPr>
          <w:p>
            <w:pPr>
              <w:jc w:val="right"/>
              <w:ind w:right="522"/>
              <w:spacing w:after="0"/>
              <w:rPr>
                <w:sz w:val="20"/>
                <w:szCs w:val="20"/>
                <w:color w:val="auto"/>
              </w:rPr>
            </w:pPr>
            <w:r>
              <w:rPr>
                <w:rFonts w:ascii="Arial" w:cs="Arial" w:eastAsia="Arial" w:hAnsi="Arial"/>
                <w:sz w:val="14"/>
                <w:szCs w:val="14"/>
                <w:color w:val="auto"/>
              </w:rPr>
              <w:t>Real Estate</w:t>
            </w:r>
          </w:p>
        </w:tc>
        <w:tc>
          <w:tcPr>
            <w:tcW w:w="20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13" w:lineRule="exact"/>
              <w:rPr>
                <w:sz w:val="20"/>
                <w:szCs w:val="20"/>
                <w:color w:val="auto"/>
              </w:rPr>
            </w:pPr>
            <w:r>
              <w:rPr>
                <w:rFonts w:ascii="Arial" w:cs="Arial" w:eastAsia="Arial" w:hAnsi="Arial"/>
                <w:sz w:val="12"/>
                <w:szCs w:val="12"/>
                <w:color w:val="auto"/>
              </w:rPr>
              <w:t>Financial,</w:t>
            </w:r>
          </w:p>
        </w:tc>
        <w:tc>
          <w:tcPr>
            <w:tcW w:w="200" w:type="dxa"/>
            <w:vAlign w:val="bottom"/>
          </w:tcPr>
          <w:p>
            <w:pPr>
              <w:spacing w:after="0"/>
              <w:rPr>
                <w:sz w:val="12"/>
                <w:szCs w:val="12"/>
                <w:color w:val="auto"/>
              </w:rPr>
            </w:pPr>
          </w:p>
        </w:tc>
        <w:tc>
          <w:tcPr>
            <w:tcW w:w="1820" w:type="dxa"/>
            <w:vAlign w:val="bottom"/>
            <w:tcBorders>
              <w:bottom w:val="single" w:sz="8" w:color="auto"/>
            </w:tcBorders>
            <w:gridSpan w:val="3"/>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Leasing, etc.</w:t>
            </w:r>
          </w:p>
        </w:tc>
        <w:tc>
          <w:tcPr>
            <w:tcW w:w="200" w:type="dxa"/>
            <w:vAlign w:val="bottom"/>
          </w:tcPr>
          <w:p>
            <w:pPr>
              <w:spacing w:after="0"/>
              <w:rPr>
                <w:sz w:val="12"/>
                <w:szCs w:val="12"/>
                <w:color w:val="auto"/>
              </w:rPr>
            </w:pPr>
          </w:p>
        </w:tc>
        <w:tc>
          <w:tcPr>
            <w:tcW w:w="860" w:type="dxa"/>
            <w:vAlign w:val="bottom"/>
          </w:tcPr>
          <w:p>
            <w:pPr>
              <w:jc w:val="right"/>
              <w:ind w:right="26"/>
              <w:spacing w:after="0" w:line="149" w:lineRule="exact"/>
              <w:rPr>
                <w:sz w:val="20"/>
                <w:szCs w:val="20"/>
                <w:color w:val="auto"/>
              </w:rPr>
            </w:pPr>
            <w:r>
              <w:rPr>
                <w:rFonts w:ascii="Arial" w:cs="Arial" w:eastAsia="Arial" w:hAnsi="Arial"/>
                <w:sz w:val="14"/>
                <w:szCs w:val="14"/>
                <w:color w:val="auto"/>
                <w:w w:val="99"/>
              </w:rPr>
              <w:t>Commercial</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Residential</w:t>
            </w: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159,287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611,034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287,510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71,866</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1,129,697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15,033,423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22,737,522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6,718,821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12,078,169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56,567,935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25,792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612,750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59,120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703,632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15,218,502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23,961,306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7,065,451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12,156,005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58,401,264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2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173,365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617,437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286,612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1,149,496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13,214,995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20,482,641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5,632,124</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11,414,107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50,743,867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83,083</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13,390,610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21,183,161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5,928,056</w:t>
            </w:r>
          </w:p>
        </w:tc>
        <w:tc>
          <w:tcPr>
            <w:tcW w:w="2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11,488,555</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51,990,382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 As a result of adopting amendments to the accounting guidance in the third quarter of 2011, the Company was required to reassess any loan modifications that occurred on or after January 1, 2011 to determine if they qualified as troubled debt restructurings. The impact of the retrospective evaluation of loan modifications was not significant.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jc w:val="right"/>
              <w:ind w:right="280"/>
              <w:spacing w:after="0"/>
              <w:rPr>
                <w:sz w:val="20"/>
                <w:szCs w:val="20"/>
                <w:color w:val="auto"/>
              </w:rPr>
            </w:pPr>
            <w:r>
              <w:rPr>
                <w:rFonts w:ascii="Arial" w:cs="Arial" w:eastAsia="Arial" w:hAnsi="Arial"/>
                <w:sz w:val="14"/>
                <w:szCs w:val="14"/>
                <w:color w:val="auto"/>
                <w:w w:val="92"/>
              </w:rPr>
              <w:t>Financial effects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6"/>
          </w:tcPr>
          <w:p>
            <w:pPr>
              <w:ind w:left="160"/>
              <w:spacing w:after="0" w:line="159" w:lineRule="exact"/>
              <w:rPr>
                <w:sz w:val="20"/>
                <w:szCs w:val="20"/>
                <w:color w:val="auto"/>
              </w:rPr>
            </w:pPr>
            <w:r>
              <w:rPr>
                <w:rFonts w:ascii="Arial" w:cs="Arial" w:eastAsia="Arial" w:hAnsi="Arial"/>
                <w:sz w:val="14"/>
                <w:szCs w:val="14"/>
                <w:color w:val="auto"/>
              </w:rPr>
              <w:t>Recorded investment</w:t>
            </w:r>
          </w:p>
        </w:tc>
        <w:tc>
          <w:tcPr>
            <w:tcW w:w="140" w:type="dxa"/>
            <w:vAlign w:val="bottom"/>
          </w:tcPr>
          <w:p>
            <w:pPr>
              <w:spacing w:after="0"/>
              <w:rPr>
                <w:sz w:val="13"/>
                <w:szCs w:val="13"/>
                <w:color w:val="auto"/>
              </w:rPr>
            </w:pPr>
          </w:p>
        </w:tc>
        <w:tc>
          <w:tcPr>
            <w:tcW w:w="1380" w:type="dxa"/>
            <w:vAlign w:val="bottom"/>
            <w:gridSpan w:val="5"/>
          </w:tcPr>
          <w:p>
            <w:pPr>
              <w:jc w:val="right"/>
              <w:ind w:right="46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Borders>
              <w:top w:val="single" w:sz="8" w:color="auto"/>
            </w:tcBorders>
            <w:gridSpan w:val="3"/>
          </w:tcPr>
          <w:p>
            <w:pPr>
              <w:ind w:left="40"/>
              <w:spacing w:after="0" w:line="131" w:lineRule="exact"/>
              <w:rPr>
                <w:sz w:val="20"/>
                <w:szCs w:val="20"/>
                <w:color w:val="auto"/>
              </w:rPr>
            </w:pPr>
            <w:r>
              <w:rPr>
                <w:rFonts w:ascii="Arial" w:cs="Arial" w:eastAsia="Arial" w:hAnsi="Arial"/>
                <w:sz w:val="14"/>
                <w:szCs w:val="14"/>
                <w:color w:val="auto"/>
              </w:rPr>
              <w:t>Recorded</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Pre-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Post-</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1"/>
              </w:rPr>
              <w:t>Interest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84"/>
              </w:rPr>
              <w:t>Number</w:t>
            </w:r>
          </w:p>
        </w:tc>
        <w:tc>
          <w:tcPr>
            <w:tcW w:w="400" w:type="dxa"/>
            <w:vAlign w:val="bottom"/>
          </w:tcPr>
          <w:p>
            <w:pPr>
              <w:spacing w:after="0"/>
              <w:rPr>
                <w:sz w:val="13"/>
                <w:szCs w:val="13"/>
                <w:color w:val="auto"/>
              </w:rPr>
            </w:pPr>
          </w:p>
        </w:tc>
        <w:tc>
          <w:tcPr>
            <w:tcW w:w="740" w:type="dxa"/>
            <w:vAlign w:val="bottom"/>
            <w:gridSpan w:val="3"/>
          </w:tcPr>
          <w:p>
            <w:pPr>
              <w:spacing w:after="0" w:line="159" w:lineRule="exact"/>
              <w:rPr>
                <w:sz w:val="20"/>
                <w:szCs w:val="20"/>
                <w:color w:val="auto"/>
              </w:rPr>
            </w:pPr>
            <w:r>
              <w:rPr>
                <w:rFonts w:ascii="Arial" w:cs="Arial" w:eastAsia="Arial" w:hAnsi="Arial"/>
                <w:sz w:val="14"/>
                <w:szCs w:val="14"/>
                <w:color w:val="auto"/>
                <w:w w:val="96"/>
              </w:rPr>
              <w:t>modification</w:t>
            </w:r>
          </w:p>
        </w:tc>
        <w:tc>
          <w:tcPr>
            <w:tcW w:w="360" w:type="dxa"/>
            <w:vAlign w:val="bottom"/>
          </w:tcPr>
          <w:p>
            <w:pPr>
              <w:spacing w:after="0"/>
              <w:rPr>
                <w:sz w:val="13"/>
                <w:szCs w:val="13"/>
                <w:color w:val="auto"/>
              </w:rPr>
            </w:pPr>
          </w:p>
        </w:tc>
        <w:tc>
          <w:tcPr>
            <w:tcW w:w="1080" w:type="dxa"/>
            <w:vAlign w:val="bottom"/>
            <w:gridSpan w:val="3"/>
          </w:tcPr>
          <w:p>
            <w:pPr>
              <w:spacing w:after="0" w:line="159" w:lineRule="exact"/>
              <w:rPr>
                <w:sz w:val="20"/>
                <w:szCs w:val="20"/>
                <w:color w:val="auto"/>
              </w:rPr>
            </w:pPr>
            <w:r>
              <w:rPr>
                <w:rFonts w:ascii="Arial" w:cs="Arial" w:eastAsia="Arial" w:hAnsi="Arial"/>
                <w:sz w:val="14"/>
                <w:szCs w:val="14"/>
                <w:color w:val="auto"/>
              </w:rPr>
              <w:t>modification</w:t>
            </w:r>
          </w:p>
        </w:tc>
        <w:tc>
          <w:tcPr>
            <w:tcW w:w="140" w:type="dxa"/>
            <w:vAlign w:val="bottom"/>
          </w:tcPr>
          <w:p>
            <w:pPr>
              <w:spacing w:after="0"/>
              <w:rPr>
                <w:sz w:val="13"/>
                <w:szCs w:val="13"/>
                <w:color w:val="auto"/>
              </w:rPr>
            </w:pPr>
          </w:p>
        </w:tc>
        <w:tc>
          <w:tcPr>
            <w:tcW w:w="6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5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4"/>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1,021</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1,115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1,301</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Residential builder and developer</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Residential</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Interest rate reduction</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2,972</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3,044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1,393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Automobile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Interest rate reduction</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Interest rate reduction</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gridSpan w:val="2"/>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404</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21,688</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21,676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present value of interest rate concessions discounted at the effective rate of the original loan.</w:t>
      </w:r>
    </w:p>
    <w:p>
      <w:pPr>
        <w:spacing w:after="0" w:line="151" w:lineRule="exact"/>
        <w:rPr>
          <w:rFonts w:ascii="Arial" w:cs="Arial" w:eastAsia="Arial" w:hAnsi="Arial"/>
          <w:sz w:val="18"/>
          <w:szCs w:val="18"/>
          <w:color w:val="auto"/>
        </w:rPr>
      </w:pPr>
    </w:p>
    <w:p>
      <w:pPr>
        <w:ind w:left="5620" w:hanging="96"/>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color w:val="auto"/>
                <w:w w:val="94"/>
              </w:rPr>
              <w:t>Financial effects</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ind w:left="180"/>
              <w:spacing w:after="0" w:line="159" w:lineRule="exact"/>
              <w:rPr>
                <w:sz w:val="20"/>
                <w:szCs w:val="20"/>
                <w:color w:val="auto"/>
              </w:rPr>
            </w:pPr>
            <w:r>
              <w:rPr>
                <w:rFonts w:ascii="Arial" w:cs="Arial" w:eastAsia="Arial" w:hAnsi="Arial"/>
                <w:sz w:val="14"/>
                <w:szCs w:val="14"/>
                <w:color w:val="auto"/>
              </w:rPr>
              <w:t>Recorded investment</w:t>
            </w:r>
          </w:p>
        </w:tc>
        <w:tc>
          <w:tcPr>
            <w:tcW w:w="100" w:type="dxa"/>
            <w:vAlign w:val="bottom"/>
          </w:tcPr>
          <w:p>
            <w:pPr>
              <w:spacing w:after="0"/>
              <w:rPr>
                <w:sz w:val="13"/>
                <w:szCs w:val="13"/>
                <w:color w:val="auto"/>
              </w:rPr>
            </w:pPr>
          </w:p>
        </w:tc>
        <w:tc>
          <w:tcPr>
            <w:tcW w:w="98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modification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240"/>
              <w:spacing w:after="0" w:line="131" w:lineRule="exact"/>
              <w:rPr>
                <w:sz w:val="20"/>
                <w:szCs w:val="20"/>
                <w:color w:val="auto"/>
              </w:rPr>
            </w:pPr>
            <w:r>
              <w:rPr>
                <w:rFonts w:ascii="Arial" w:cs="Arial" w:eastAsia="Arial" w:hAnsi="Arial"/>
                <w:sz w:val="14"/>
                <w:szCs w:val="14"/>
                <w:color w:val="auto"/>
                <w:w w:val="85"/>
              </w:rPr>
              <w:t>Recorded</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Pre-</w:t>
            </w:r>
          </w:p>
        </w:tc>
        <w:tc>
          <w:tcPr>
            <w:tcW w:w="10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Post-</w:t>
            </w: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8"/>
              </w:rPr>
              <w:t>Interest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w w:val="84"/>
              </w:rPr>
              <w:t>Number</w:t>
            </w:r>
          </w:p>
        </w:tc>
        <w:tc>
          <w:tcPr>
            <w:tcW w:w="300" w:type="dxa"/>
            <w:vAlign w:val="bottom"/>
          </w:tcPr>
          <w:p>
            <w:pPr>
              <w:spacing w:after="0"/>
              <w:rPr>
                <w:sz w:val="13"/>
                <w:szCs w:val="13"/>
                <w:color w:val="auto"/>
              </w:rPr>
            </w:pPr>
          </w:p>
        </w:tc>
        <w:tc>
          <w:tcPr>
            <w:tcW w:w="1000" w:type="dxa"/>
            <w:vAlign w:val="bottom"/>
            <w:gridSpan w:val="3"/>
          </w:tcPr>
          <w:p>
            <w:pPr>
              <w:spacing w:after="0" w:line="159" w:lineRule="exact"/>
              <w:rPr>
                <w:sz w:val="20"/>
                <w:szCs w:val="20"/>
                <w:color w:val="auto"/>
              </w:rPr>
            </w:pPr>
            <w:r>
              <w:rPr>
                <w:rFonts w:ascii="Arial" w:cs="Arial" w:eastAsia="Arial" w:hAnsi="Arial"/>
                <w:sz w:val="14"/>
                <w:szCs w:val="14"/>
                <w:color w:val="auto"/>
              </w:rPr>
              <w:t>modification</w:t>
            </w:r>
          </w:p>
        </w:tc>
        <w:tc>
          <w:tcPr>
            <w:tcW w:w="1000" w:type="dxa"/>
            <w:vAlign w:val="bottom"/>
            <w:gridSpan w:val="3"/>
          </w:tcPr>
          <w:p>
            <w:pPr>
              <w:spacing w:after="0" w:line="159" w:lineRule="exact"/>
              <w:rPr>
                <w:sz w:val="20"/>
                <w:szCs w:val="20"/>
                <w:color w:val="auto"/>
              </w:rPr>
            </w:pPr>
            <w:r>
              <w:rPr>
                <w:rFonts w:ascii="Arial" w:cs="Arial" w:eastAsia="Arial" w:hAnsi="Arial"/>
                <w:sz w:val="14"/>
                <w:szCs w:val="14"/>
                <w:color w:val="auto"/>
              </w:rPr>
              <w:t>modification</w:t>
            </w:r>
          </w:p>
        </w:tc>
        <w:tc>
          <w:tcPr>
            <w:tcW w:w="100" w:type="dxa"/>
            <w:vAlign w:val="bottom"/>
          </w:tcPr>
          <w:p>
            <w:pPr>
              <w:spacing w:after="0"/>
              <w:rPr>
                <w:sz w:val="13"/>
                <w:szCs w:val="13"/>
                <w:color w:val="auto"/>
              </w:rPr>
            </w:pPr>
          </w:p>
        </w:tc>
        <w:tc>
          <w:tcPr>
            <w:tcW w:w="68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(a)</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3"/>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ind w:left="600"/>
              <w:spacing w:after="0" w:line="142" w:lineRule="exact"/>
              <w:rPr>
                <w:sz w:val="20"/>
                <w:szCs w:val="20"/>
                <w:color w:val="auto"/>
              </w:rPr>
            </w:pPr>
            <w:r>
              <w:rPr>
                <w:rFonts w:ascii="Arial" w:cs="Arial" w:eastAsia="Arial" w:hAnsi="Arial"/>
                <w:sz w:val="14"/>
                <w:szCs w:val="14"/>
                <w:color w:val="auto"/>
                <w:w w:val="93"/>
              </w:rPr>
              <w:t>(Dollars in thousands)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8,302</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8,396</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Real estate: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118,114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110,156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(7,958)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commercial construction</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16,066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16,385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Alt-A</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Consumer: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Home equity lines and loans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211,291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202,956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(8,335)</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present value of interest rate concessions discounted at the effective rate of the original loan.</w:t>
      </w:r>
    </w:p>
    <w:p>
      <w:pPr>
        <w:spacing w:after="0" w:line="151" w:lineRule="exact"/>
        <w:rPr>
          <w:rFonts w:ascii="Arial" w:cs="Arial" w:eastAsia="Arial" w:hAnsi="Arial"/>
          <w:sz w:val="18"/>
          <w:szCs w:val="18"/>
          <w:color w:val="auto"/>
        </w:rPr>
      </w:pPr>
    </w:p>
    <w:p>
      <w:pPr>
        <w:ind w:left="5620" w:hanging="96"/>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September 30, 2011 for which there was a subsequent payment default during the three- and nine-month periods ended September 30, 2011 were not material.</w:t>
      </w:r>
    </w:p>
    <w:p>
      <w:pPr>
        <w:spacing w:after="0" w:line="26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M&amp;T had $1.2 billion of fixed and floating rate junior subordinated deferrable interest debentures (“Junior Subordinated Debentures”) outstanding at September 30, 2011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Under the Federal Reserve Board’s current risk-based capital guidelines, the Capital Securities are includable in M&amp;T’s Tier 1 capital. The Dodd-Frank Wall Street Reform and Consumer Protection Act of 2010 was signed into law on July 21, 2010. One of its provisions is for a three-year phase-in related to the exclusion of trust preferred capital securities from Tier 1 capital for large financial institutions, including M&amp;T. That phase-in period begins on January 1, 2013.</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2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Including the unamortized portions of acquisition accounting adjustments to reflect estimated fair value at the acquisition dates of the Common Securities of various trusts, the Junior Subordinated Debentures associated with Capital Securities had financial statement carrying values of $1.2 billion at each of September 30, 2011 and December 31, 2010.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41"/>
              <w:spacing w:after="0"/>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421"/>
              <w:spacing w:after="0" w:line="149" w:lineRule="exact"/>
              <w:rPr>
                <w:sz w:val="20"/>
                <w:szCs w:val="20"/>
                <w:color w:val="auto"/>
              </w:rPr>
            </w:pPr>
            <w:r>
              <w:rPr>
                <w:rFonts w:ascii="Arial" w:cs="Arial" w:eastAsia="Arial" w:hAnsi="Arial"/>
                <w:sz w:val="14"/>
                <w:szCs w:val="14"/>
                <w:color w:val="auto"/>
              </w:rPr>
              <w:t>value</w:t>
            </w:r>
          </w:p>
        </w:tc>
        <w:tc>
          <w:tcPr>
            <w:tcW w:w="3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300" w:type="dxa"/>
            <w:vAlign w:val="bottom"/>
            <w:gridSpan w:val="3"/>
          </w:tcPr>
          <w:p>
            <w:pPr>
              <w:jc w:val="right"/>
              <w:ind w:right="41"/>
              <w:spacing w:after="0" w:line="159" w:lineRule="exact"/>
              <w:rPr>
                <w:sz w:val="20"/>
                <w:szCs w:val="20"/>
                <w:color w:val="auto"/>
              </w:rPr>
            </w:pPr>
            <w:r>
              <w:rPr>
                <w:rFonts w:ascii="Arial" w:cs="Arial" w:eastAsia="Arial" w:hAnsi="Arial"/>
                <w:sz w:val="14"/>
                <w:szCs w:val="14"/>
                <w:color w:val="auto"/>
                <w:w w:val="91"/>
              </w:rPr>
              <w:t>September 30, 2011</w:t>
            </w:r>
          </w:p>
        </w:tc>
        <w:tc>
          <w:tcPr>
            <w:tcW w:w="130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6"/>
              </w:rPr>
              <w:t>December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3"/>
          </w:tcPr>
          <w:p>
            <w:pPr>
              <w:jc w:val="right"/>
              <w:ind w:right="539"/>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Series A (a) (d)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6"/>
              </w:rPr>
              <w:t>Fixed Rate Cumulative Perpetual Preferred Stock, Series A, $1,000 liquidation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92"/>
              </w:rPr>
              <w:t>preference per share, 230,000 shares issued and outstanding at 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2011; 600,000 shares issued and outstanding at December 31, 2010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223,645</w:t>
            </w:r>
          </w:p>
        </w:tc>
        <w:tc>
          <w:tcPr>
            <w:tcW w:w="3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578,630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Series B (b)</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0"/>
              </w:rPr>
              <w:t>Series B Mandatory Convertible Non-cumulative Preferred Stock, $1,000 liquidation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87"/>
              </w:rPr>
              <w:t>preference per share, 26,500 shares issued and outstanding at December 31, 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Series C (a) (c)</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6"/>
              </w:rPr>
              <w:t>Fixed Rate Cumulative Perpetual Preferred Stock, Series C, $1,000 liquidation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92"/>
              </w:rPr>
              <w:t>preference per share, 151,500 shares issued and outstanding at 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2011 and December 31, 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139,072</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Series D (e)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0"/>
              </w:rPr>
              <w:t>Fixed Rate Non-cumulative Perpetual Preferred Stock, Series D, $10,000 liquidation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87"/>
              </w:rPr>
              <w:t>preference per share, 50,000 shares issued and outstanding at September 30, 2011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460" w:hanging="452"/>
        <w:spacing w:after="0" w:line="291" w:lineRule="auto"/>
        <w:tabs>
          <w:tab w:leader="none" w:pos="46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Shares were issued as part of the Troubled Asset Relief Program – Capital Purchase Program of the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at a rate of 9% per year. The agreement with the U.S. Treasury contains limitations on certain actions of M&amp;T, including the payment of quarterly cash dividends on M&amp;T’s common stock in excess of $.70 per share, the repurchase of its common stock during the first three years of the agreement, and the amount and nature of compensation arrangements for certain of the Company’s officers.</w:t>
      </w:r>
    </w:p>
    <w:p>
      <w:pPr>
        <w:spacing w:after="0" w:line="106" w:lineRule="exact"/>
        <w:rPr>
          <w:rFonts w:ascii="Arial" w:cs="Arial" w:eastAsia="Arial" w:hAnsi="Arial"/>
          <w:sz w:val="16"/>
          <w:szCs w:val="16"/>
          <w:i w:val="1"/>
          <w:iCs w:val="1"/>
          <w:color w:val="auto"/>
        </w:rPr>
      </w:pPr>
    </w:p>
    <w:p>
      <w:pPr>
        <w:ind w:left="5620" w:hanging="96"/>
        <w:spacing w:after="0"/>
        <w:tabs>
          <w:tab w:leader="none" w:pos="5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4" w:lineRule="exact"/>
        <w:rPr>
          <w:sz w:val="20"/>
          <w:szCs w:val="20"/>
          <w:color w:val="auto"/>
        </w:rPr>
      </w:pPr>
    </w:p>
    <w:p>
      <w:pPr>
        <w:ind w:left="460" w:right="120" w:hanging="452"/>
        <w:spacing w:after="0" w:line="286" w:lineRule="auto"/>
        <w:tabs>
          <w:tab w:leader="none" w:pos="46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Shares were assumed in an acquisition and a new Series B Preferred Stock was designated. Pursuant to their terms, the shares of Series B Preferred Stock were converted into 433,144 shares of M&amp;T common stock on April 1, 2011. The preferred stock had a stated dividend rate of 10% per year.</w:t>
      </w:r>
    </w:p>
    <w:p>
      <w:pPr>
        <w:ind w:left="460" w:hanging="452"/>
        <w:spacing w:after="0"/>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an acquisition and a new Series C Preferred Stock was designated.</w:t>
      </w:r>
    </w:p>
    <w:p>
      <w:pPr>
        <w:spacing w:after="0" w:line="9" w:lineRule="exact"/>
        <w:rPr>
          <w:rFonts w:ascii="Arial" w:cs="Arial" w:eastAsia="Arial" w:hAnsi="Arial"/>
          <w:sz w:val="18"/>
          <w:szCs w:val="18"/>
          <w:i w:val="1"/>
          <w:iCs w:val="1"/>
          <w:color w:val="auto"/>
        </w:rPr>
      </w:pPr>
    </w:p>
    <w:p>
      <w:pPr>
        <w:ind w:left="460" w:right="640" w:hanging="452"/>
        <w:spacing w:after="0" w:line="250" w:lineRule="auto"/>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On May 18, 2011, M&amp;T redeemed and retired 370,000 shares of the Series A Preferred Stock. Accelerated amortization of preferred stock discount associated with the redemption was $11.2 million.</w:t>
      </w:r>
    </w:p>
    <w:p>
      <w:pPr>
        <w:ind w:left="460" w:hanging="452"/>
        <w:spacing w:after="0" w:line="255" w:lineRule="auto"/>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on May 31, 2011. 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26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tcPr>
          <w:p>
            <w:pPr>
              <w:jc w:val="center"/>
              <w:ind w:left="440"/>
              <w:spacing w:after="0"/>
              <w:rPr>
                <w:sz w:val="20"/>
                <w:szCs w:val="20"/>
                <w:color w:val="auto"/>
              </w:rPr>
            </w:pPr>
            <w:r>
              <w:rPr>
                <w:rFonts w:ascii="Arial" w:cs="Arial" w:eastAsia="Arial" w:hAnsi="Arial"/>
                <w:sz w:val="14"/>
                <w:szCs w:val="14"/>
                <w:color w:val="auto"/>
                <w:w w:val="85"/>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ind w:left="520"/>
              <w:spacing w:after="0" w:line="149" w:lineRule="exact"/>
              <w:rPr>
                <w:sz w:val="20"/>
                <w:szCs w:val="20"/>
                <w:color w:val="auto"/>
              </w:rPr>
            </w:pPr>
            <w:r>
              <w:rPr>
                <w:rFonts w:ascii="Arial" w:cs="Arial" w:eastAsia="Arial" w:hAnsi="Arial"/>
                <w:sz w:val="14"/>
                <w:szCs w:val="14"/>
                <w:color w:val="auto"/>
                <w:w w:val="82"/>
              </w:rPr>
              <w:t>Pension</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87"/>
              </w:rPr>
              <w:t>postretirement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ind w:left="520"/>
              <w:spacing w:after="0" w:line="159" w:lineRule="exact"/>
              <w:rPr>
                <w:sz w:val="20"/>
                <w:szCs w:val="20"/>
                <w:color w:val="auto"/>
              </w:rPr>
            </w:pPr>
            <w:r>
              <w:rPr>
                <w:rFonts w:ascii="Arial" w:cs="Arial" w:eastAsia="Arial" w:hAnsi="Arial"/>
                <w:sz w:val="14"/>
                <w:szCs w:val="14"/>
                <w:color w:val="auto"/>
                <w:w w:val="85"/>
              </w:rPr>
              <w:t>benefits</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left="440"/>
              <w:spacing w:after="0" w:line="159" w:lineRule="exact"/>
              <w:rPr>
                <w:sz w:val="20"/>
                <w:szCs w:val="20"/>
                <w:color w:val="auto"/>
              </w:rPr>
            </w:pPr>
            <w:r>
              <w:rPr>
                <w:rFonts w:ascii="Arial" w:cs="Arial" w:eastAsia="Arial" w:hAnsi="Arial"/>
                <w:sz w:val="14"/>
                <w:szCs w:val="14"/>
                <w:color w:val="auto"/>
                <w:w w:val="85"/>
              </w:rPr>
              <w:t>benefits</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7"/>
          </w:tcPr>
          <w:p>
            <w:pPr>
              <w:ind w:left="100"/>
              <w:spacing w:after="0" w:line="131" w:lineRule="exact"/>
              <w:rPr>
                <w:sz w:val="20"/>
                <w:szCs w:val="20"/>
                <w:color w:val="auto"/>
              </w:rPr>
            </w:pPr>
            <w:r>
              <w:rPr>
                <w:rFonts w:ascii="Arial" w:cs="Arial" w:eastAsia="Arial" w:hAnsi="Arial"/>
                <w:sz w:val="14"/>
                <w:szCs w:val="14"/>
                <w:color w:val="auto"/>
                <w:w w:val="96"/>
              </w:rPr>
              <w:t>Three months ended September 30</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140"/>
              <w:spacing w:after="0" w:line="159" w:lineRule="exact"/>
              <w:rPr>
                <w:sz w:val="20"/>
                <w:szCs w:val="20"/>
                <w:color w:val="auto"/>
              </w:rPr>
            </w:pPr>
            <w:r>
              <w:rPr>
                <w:rFonts w:ascii="Arial" w:cs="Arial" w:eastAsia="Arial" w:hAnsi="Arial"/>
                <w:sz w:val="14"/>
                <w:szCs w:val="14"/>
                <w:color w:val="auto"/>
              </w:rPr>
              <w:t>2011</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7"/>
              <w:spacing w:after="0" w:line="159" w:lineRule="exact"/>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00"/>
              <w:spacing w:after="0" w:line="159" w:lineRule="exact"/>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ind w:left="320"/>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40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8,557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92"/>
              <w:spacing w:after="0"/>
              <w:rPr>
                <w:sz w:val="20"/>
                <w:szCs w:val="20"/>
                <w:color w:val="auto"/>
              </w:rPr>
            </w:pPr>
            <w:r>
              <w:rPr>
                <w:rFonts w:ascii="Arial" w:cs="Arial" w:eastAsia="Arial" w:hAnsi="Arial"/>
                <w:sz w:val="18"/>
                <w:szCs w:val="18"/>
                <w:color w:val="auto"/>
              </w:rPr>
              <w:t>16,155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12,031</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132"/>
              <w:spacing w:after="0"/>
              <w:rPr>
                <w:sz w:val="20"/>
                <w:szCs w:val="20"/>
                <w:color w:val="auto"/>
              </w:rPr>
            </w:pPr>
            <w:r>
              <w:rPr>
                <w:rFonts w:ascii="Arial" w:cs="Arial" w:eastAsia="Arial" w:hAnsi="Arial"/>
                <w:sz w:val="18"/>
                <w:szCs w:val="18"/>
                <w:color w:val="auto"/>
                <w:w w:val="98"/>
              </w:rPr>
              <w:t>(16,718)</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(12,722)</w:t>
            </w: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32"/>
              <w:spacing w:after="0"/>
              <w:rPr>
                <w:sz w:val="20"/>
                <w:szCs w:val="20"/>
                <w:color w:val="auto"/>
              </w:rPr>
            </w:pPr>
            <w:r>
              <w:rPr>
                <w:rFonts w:ascii="Arial" w:cs="Arial" w:eastAsia="Arial" w:hAnsi="Arial"/>
                <w:sz w:val="18"/>
                <w:szCs w:val="18"/>
                <w:color w:val="auto"/>
              </w:rPr>
              <w:t>(1,640)</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(1,640)</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06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92"/>
              <w:spacing w:after="0"/>
              <w:rPr>
                <w:sz w:val="20"/>
                <w:szCs w:val="20"/>
                <w:color w:val="auto"/>
              </w:rPr>
            </w:pPr>
            <w:r>
              <w:rPr>
                <w:rFonts w:ascii="Arial" w:cs="Arial" w:eastAsia="Arial" w:hAnsi="Arial"/>
                <w:sz w:val="18"/>
                <w:szCs w:val="18"/>
                <w:color w:val="auto"/>
              </w:rPr>
              <w:t>11,486</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5,975</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jc w:val="center"/>
              <w:ind w:left="440"/>
              <w:spacing w:after="0"/>
              <w:rPr>
                <w:sz w:val="20"/>
                <w:szCs w:val="20"/>
                <w:color w:val="auto"/>
              </w:rPr>
            </w:pPr>
            <w:r>
              <w:rPr>
                <w:rFonts w:ascii="Arial" w:cs="Arial" w:eastAsia="Arial" w:hAnsi="Arial"/>
                <w:sz w:val="14"/>
                <w:szCs w:val="14"/>
                <w:color w:val="auto"/>
                <w:w w:val="85"/>
              </w:rPr>
              <w:t>Other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ind w:left="460"/>
              <w:spacing w:after="0" w:line="149" w:lineRule="exact"/>
              <w:rPr>
                <w:sz w:val="20"/>
                <w:szCs w:val="20"/>
                <w:color w:val="auto"/>
              </w:rPr>
            </w:pPr>
            <w:r>
              <w:rPr>
                <w:rFonts w:ascii="Arial" w:cs="Arial" w:eastAsia="Arial" w:hAnsi="Arial"/>
                <w:sz w:val="14"/>
                <w:szCs w:val="14"/>
                <w:color w:val="auto"/>
                <w:w w:val="94"/>
              </w:rPr>
              <w:t>Pension</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87"/>
              </w:rPr>
              <w:t>postretirement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ind w:left="460"/>
              <w:spacing w:after="0" w:line="159" w:lineRule="exact"/>
              <w:rPr>
                <w:sz w:val="20"/>
                <w:szCs w:val="20"/>
                <w:color w:val="auto"/>
              </w:rPr>
            </w:pPr>
            <w:r>
              <w:rPr>
                <w:rFonts w:ascii="Arial" w:cs="Arial" w:eastAsia="Arial" w:hAnsi="Arial"/>
                <w:sz w:val="14"/>
                <w:szCs w:val="14"/>
                <w:color w:val="auto"/>
                <w:w w:val="97"/>
              </w:rPr>
              <w:t>benefits</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left="440"/>
              <w:spacing w:after="0" w:line="159" w:lineRule="exact"/>
              <w:rPr>
                <w:sz w:val="20"/>
                <w:szCs w:val="20"/>
                <w:color w:val="auto"/>
              </w:rPr>
            </w:pPr>
            <w:r>
              <w:rPr>
                <w:rFonts w:ascii="Arial" w:cs="Arial" w:eastAsia="Arial" w:hAnsi="Arial"/>
                <w:sz w:val="14"/>
                <w:szCs w:val="14"/>
                <w:color w:val="auto"/>
                <w:w w:val="85"/>
              </w:rPr>
              <w:t>benefits</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7"/>
          </w:tcPr>
          <w:p>
            <w:pPr>
              <w:ind w:left="100"/>
              <w:spacing w:after="0" w:line="131" w:lineRule="exact"/>
              <w:rPr>
                <w:sz w:val="20"/>
                <w:szCs w:val="20"/>
                <w:color w:val="auto"/>
              </w:rPr>
            </w:pPr>
            <w:r>
              <w:rPr>
                <w:rFonts w:ascii="Arial" w:cs="Arial" w:eastAsia="Arial" w:hAnsi="Arial"/>
                <w:sz w:val="14"/>
                <w:szCs w:val="14"/>
                <w:color w:val="auto"/>
              </w:rPr>
              <w:t>Nine months ended September 30</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rPr>
              <w:t>2011</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0"/>
              <w:spacing w:after="0" w:line="159" w:lineRule="exact"/>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ind w:left="280"/>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40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60" w:type="dxa"/>
            <w:vAlign w:val="bottom"/>
            <w:gridSpan w:val="2"/>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20,270</w:t>
            </w: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14,753</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42,391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36,092</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(43,981)</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(38,165)</w:t>
            </w:r>
          </w:p>
        </w:tc>
        <w:tc>
          <w:tcPr>
            <w:tcW w:w="10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(4,919)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(4,919)</w:t>
            </w: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15,397</w:t>
            </w: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10,164</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06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276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29,158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17,925</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760" w:type="dxa"/>
            <w:vAlign w:val="bottom"/>
            <w:vMerge w:val="restart"/>
          </w:tcPr>
          <w:p>
            <w:pPr>
              <w:jc w:val="right"/>
              <w:ind w:right="1292"/>
              <w:spacing w:after="0"/>
              <w:rPr>
                <w:sz w:val="20"/>
                <w:szCs w:val="20"/>
                <w:color w:val="auto"/>
              </w:rPr>
            </w:pPr>
            <w:r>
              <w:rPr>
                <w:rFonts w:ascii="Arial" w:cs="Arial" w:eastAsia="Arial" w:hAnsi="Arial"/>
                <w:sz w:val="18"/>
                <w:szCs w:val="18"/>
                <w:color w:val="auto"/>
              </w:rPr>
              <w:t>- 29 -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 continued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$10,455,000 and $9,461,000 for the three months ended September 30, 2011 and 2010, respectively, and $30,521,000 and $29,926,000 for the nine months ended September 30, 2011 and 2010, respectively. The Company is not required to make any minimum contributions to the qualified defined benefit pension plan in 2011, however, during the third quarter of 2011 the Company elected to contribute $70 million to that plan.</w:t>
      </w:r>
    </w:p>
    <w:p>
      <w:pPr>
        <w:spacing w:after="0" w:line="25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80"/>
              <w:spacing w:after="0"/>
              <w:rPr>
                <w:sz w:val="20"/>
                <w:szCs w:val="20"/>
                <w:color w:val="auto"/>
              </w:rPr>
            </w:pPr>
            <w:r>
              <w:rPr>
                <w:rFonts w:ascii="Arial" w:cs="Arial" w:eastAsia="Arial" w:hAnsi="Arial"/>
                <w:sz w:val="14"/>
                <w:szCs w:val="14"/>
                <w:color w:val="auto"/>
                <w:w w:val="94"/>
              </w:rPr>
              <w:t>Three months ended</w:t>
            </w:r>
          </w:p>
        </w:tc>
        <w:tc>
          <w:tcPr>
            <w:tcW w:w="1680" w:type="dxa"/>
            <w:vAlign w:val="bottom"/>
            <w:gridSpan w:val="4"/>
          </w:tcPr>
          <w:p>
            <w:pPr>
              <w:jc w:val="right"/>
              <w:ind w:right="3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right"/>
              <w:ind w:right="740"/>
              <w:spacing w:after="0" w:line="149" w:lineRule="exact"/>
              <w:rPr>
                <w:sz w:val="20"/>
                <w:szCs w:val="20"/>
                <w:color w:val="auto"/>
              </w:rPr>
            </w:pPr>
            <w:r>
              <w:rPr>
                <w:rFonts w:ascii="Arial" w:cs="Arial" w:eastAsia="Arial" w:hAnsi="Arial"/>
                <w:sz w:val="14"/>
                <w:szCs w:val="14"/>
                <w:color w:val="auto"/>
              </w:rPr>
              <w:t>September 30</w:t>
            </w:r>
          </w:p>
        </w:tc>
        <w:tc>
          <w:tcPr>
            <w:tcW w:w="1680" w:type="dxa"/>
            <w:vAlign w:val="bottom"/>
            <w:gridSpan w:val="4"/>
          </w:tcPr>
          <w:p>
            <w:pPr>
              <w:jc w:val="right"/>
              <w:ind w:right="52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line="159" w:lineRule="exact"/>
              <w:rPr>
                <w:sz w:val="20"/>
                <w:szCs w:val="20"/>
                <w:color w:val="auto"/>
              </w:rPr>
            </w:pPr>
            <w:r>
              <w:rPr>
                <w:rFonts w:ascii="Arial" w:cs="Arial" w:eastAsia="Arial" w:hAnsi="Arial"/>
                <w:sz w:val="14"/>
                <w:szCs w:val="14"/>
                <w:color w:val="auto"/>
              </w:rPr>
              <w:t>2011</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80"/>
              <w:spacing w:after="0" w:line="159" w:lineRule="exact"/>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5"/>
          </w:tcPr>
          <w:p>
            <w:pPr>
              <w:jc w:val="right"/>
              <w:ind w:right="260"/>
              <w:spacing w:after="0" w:line="142" w:lineRule="exact"/>
              <w:rPr>
                <w:sz w:val="20"/>
                <w:szCs w:val="20"/>
                <w:color w:val="auto"/>
              </w:rPr>
            </w:pPr>
            <w:r>
              <w:rPr>
                <w:rFonts w:ascii="Arial" w:cs="Arial" w:eastAsia="Arial" w:hAnsi="Arial"/>
                <w:sz w:val="14"/>
                <w:szCs w:val="14"/>
                <w:color w:val="auto"/>
                <w:w w:val="88"/>
              </w:rPr>
              <w:t>(in thousands, except per share)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183,108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192,015</w:t>
            </w:r>
          </w:p>
        </w:tc>
        <w:tc>
          <w:tcPr>
            <w:tcW w:w="32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711,739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531,719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Preferred stock dividends (a)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(14,079)</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(10,056)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(31,761)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60"/>
              <w:spacing w:after="0"/>
              <w:rPr>
                <w:sz w:val="20"/>
                <w:szCs w:val="20"/>
                <w:color w:val="auto"/>
              </w:rPr>
            </w:pPr>
            <w:r>
              <w:rPr>
                <w:rFonts w:ascii="Arial" w:cs="Arial" w:eastAsia="Arial" w:hAnsi="Arial"/>
                <w:sz w:val="18"/>
                <w:szCs w:val="18"/>
                <w:color w:val="auto"/>
              </w:rPr>
              <w:t>Amortization of preferred stock discount (a)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(1,848)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(2,653)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(18,132)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to common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167,181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179,306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661,846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493,735</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Less: Income attributable to unvested stock-based compensation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860"/>
              <w:spacing w:after="0"/>
              <w:rPr>
                <w:sz w:val="20"/>
                <w:szCs w:val="20"/>
                <w:color w:val="auto"/>
              </w:rPr>
            </w:pPr>
            <w:r>
              <w:rPr>
                <w:rFonts w:ascii="Arial" w:cs="Arial" w:eastAsia="Arial" w:hAnsi="Arial"/>
                <w:sz w:val="18"/>
                <w:szCs w:val="18"/>
                <w:color w:val="auto"/>
              </w:rPr>
              <w:t>awards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(2,513)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(2,526)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(9,905)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164,668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176,780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651,941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486,811</w:t>
            </w:r>
          </w:p>
        </w:tc>
        <w:tc>
          <w:tcPr>
            <w:tcW w:w="0" w:type="dxa"/>
            <w:vAlign w:val="bottom"/>
          </w:tcPr>
          <w:p>
            <w:pPr>
              <w:spacing w:after="0"/>
              <w:rPr>
                <w:sz w:val="1"/>
                <w:szCs w:val="1"/>
                <w:color w:val="auto"/>
              </w:rPr>
            </w:pPr>
          </w:p>
        </w:tc>
      </w:tr>
      <w:tr>
        <w:trPr>
          <w:trHeight w:val="322"/>
        </w:trPr>
        <w:tc>
          <w:tcPr>
            <w:tcW w:w="66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shares outstanding (including common stock issuable) and unvested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based compensation awards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126,478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120,010</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123,855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(1,903)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(1,690)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(1,850)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124,575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118,320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122,005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118,048</w:t>
            </w:r>
          </w:p>
        </w:tc>
        <w:tc>
          <w:tcPr>
            <w:tcW w:w="0" w:type="dxa"/>
            <w:vAlign w:val="bottom"/>
          </w:tcPr>
          <w:p>
            <w:pPr>
              <w:spacing w:after="0"/>
              <w:rPr>
                <w:sz w:val="1"/>
                <w:szCs w:val="1"/>
                <w:color w:val="auto"/>
              </w:rPr>
            </w:pPr>
          </w:p>
        </w:tc>
      </w:tr>
      <w:tr>
        <w:trPr>
          <w:trHeight w:val="322"/>
        </w:trPr>
        <w:tc>
          <w:tcPr>
            <w:tcW w:w="66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5.34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impact of not as yet declared cumulative dividends.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8.</w:t>
            </w:r>
          </w:p>
        </w:tc>
        <w:tc>
          <w:tcPr>
            <w:tcW w:w="7040" w:type="dxa"/>
            <w:vAlign w:val="bottom"/>
            <w:gridSpan w:val="2"/>
          </w:tcPr>
          <w:p>
            <w:pPr>
              <w:ind w:left="160"/>
              <w:spacing w:after="0"/>
              <w:rPr>
                <w:sz w:val="20"/>
                <w:szCs w:val="20"/>
                <w:color w:val="auto"/>
              </w:rPr>
            </w:pPr>
            <w:r>
              <w:rPr>
                <w:rFonts w:ascii="Arial" w:cs="Arial" w:eastAsia="Arial" w:hAnsi="Arial"/>
                <w:sz w:val="18"/>
                <w:szCs w:val="18"/>
                <w:b w:val="1"/>
                <w:bCs w:val="1"/>
                <w:color w:val="auto"/>
              </w:rPr>
              <w:t>Earnings per common share, continued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The computations of diluted earnings per common share follow:</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color w:val="auto"/>
                <w:w w:val="95"/>
              </w:rPr>
              <w:t>Three months ended</w:t>
            </w:r>
          </w:p>
        </w:tc>
        <w:tc>
          <w:tcPr>
            <w:tcW w:w="1680" w:type="dxa"/>
            <w:vAlign w:val="bottom"/>
            <w:gridSpan w:val="4"/>
          </w:tcPr>
          <w:p>
            <w:pPr>
              <w:jc w:val="right"/>
              <w:ind w:right="3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right"/>
              <w:ind w:right="760"/>
              <w:spacing w:after="0" w:line="149" w:lineRule="exact"/>
              <w:rPr>
                <w:sz w:val="20"/>
                <w:szCs w:val="20"/>
                <w:color w:val="auto"/>
              </w:rPr>
            </w:pPr>
            <w:r>
              <w:rPr>
                <w:rFonts w:ascii="Arial" w:cs="Arial" w:eastAsia="Arial" w:hAnsi="Arial"/>
                <w:sz w:val="14"/>
                <w:szCs w:val="14"/>
                <w:color w:val="auto"/>
              </w:rPr>
              <w:t>September 30</w:t>
            </w:r>
          </w:p>
        </w:tc>
        <w:tc>
          <w:tcPr>
            <w:tcW w:w="1680" w:type="dxa"/>
            <w:vAlign w:val="bottom"/>
            <w:gridSpan w:val="4"/>
          </w:tcPr>
          <w:p>
            <w:pPr>
              <w:jc w:val="right"/>
              <w:ind w:right="52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line="159" w:lineRule="exact"/>
              <w:rPr>
                <w:sz w:val="20"/>
                <w:szCs w:val="20"/>
                <w:color w:val="auto"/>
              </w:rPr>
            </w:pPr>
            <w:r>
              <w:rPr>
                <w:rFonts w:ascii="Arial" w:cs="Arial" w:eastAsia="Arial" w:hAnsi="Arial"/>
                <w:sz w:val="14"/>
                <w:szCs w:val="14"/>
                <w:color w:val="auto"/>
              </w:rPr>
              <w:t>2011</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92"/>
              <w:spacing w:after="0" w:line="159" w:lineRule="exact"/>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8"/>
              <w:spacing w:after="0" w:line="159" w:lineRule="exact"/>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5"/>
          </w:tcPr>
          <w:p>
            <w:pPr>
              <w:jc w:val="right"/>
              <w:ind w:right="260"/>
              <w:spacing w:after="0" w:line="142" w:lineRule="exact"/>
              <w:rPr>
                <w:sz w:val="20"/>
                <w:szCs w:val="20"/>
                <w:color w:val="auto"/>
              </w:rPr>
            </w:pPr>
            <w:r>
              <w:rPr>
                <w:rFonts w:ascii="Arial" w:cs="Arial" w:eastAsia="Arial" w:hAnsi="Arial"/>
                <w:sz w:val="14"/>
                <w:szCs w:val="14"/>
                <w:color w:val="auto"/>
                <w:w w:val="88"/>
              </w:rPr>
              <w:t>(in thousands, except per share)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167,181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179,306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661,846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493,735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tcPr>
          <w:p>
            <w:pPr>
              <w:ind w:left="4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(2,510)</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(2,517)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(9,880)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6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164,671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176,789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651,966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486,831</w:t>
            </w:r>
          </w:p>
        </w:tc>
        <w:tc>
          <w:tcPr>
            <w:tcW w:w="0" w:type="dxa"/>
            <w:vAlign w:val="bottom"/>
          </w:tcPr>
          <w:p>
            <w:pPr>
              <w:spacing w:after="0"/>
              <w:rPr>
                <w:sz w:val="1"/>
                <w:szCs w:val="1"/>
                <w:color w:val="auto"/>
              </w:rPr>
            </w:pPr>
          </w:p>
        </w:tc>
      </w:tr>
      <w:tr>
        <w:trPr>
          <w:trHeight w:val="322"/>
        </w:trPr>
        <w:tc>
          <w:tcPr>
            <w:tcW w:w="300" w:type="dxa"/>
            <w:vAlign w:val="bottom"/>
          </w:tcPr>
          <w:p>
            <w:pPr>
              <w:spacing w:after="0"/>
              <w:rPr>
                <w:sz w:val="24"/>
                <w:szCs w:val="24"/>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and unvested stock-based compensation awards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126,478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120,010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123,855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119,705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tcPr>
          <w:p>
            <w:pPr>
              <w:ind w:left="440"/>
              <w:spacing w:after="0"/>
              <w:rPr>
                <w:sz w:val="20"/>
                <w:szCs w:val="20"/>
                <w:color w:val="auto"/>
              </w:rPr>
            </w:pPr>
            <w:r>
              <w:rPr>
                <w:rFonts w:ascii="Arial" w:cs="Arial" w:eastAsia="Arial" w:hAnsi="Arial"/>
                <w:sz w:val="18"/>
                <w:szCs w:val="18"/>
                <w:color w:val="auto"/>
              </w:rPr>
              <w:t>Less: Unvested stock-based compensation awards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(1,903)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(1,690)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(1,850)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Plus: Incremental shares from assumed conversion of stock-based compensation awards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and convertible preferred stock</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00" w:type="dxa"/>
            <w:vAlign w:val="bottom"/>
          </w:tcPr>
          <w:p>
            <w:pPr>
              <w:spacing w:after="0"/>
              <w:rPr>
                <w:sz w:val="24"/>
                <w:szCs w:val="24"/>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124,860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119,155</w:t>
            </w:r>
          </w:p>
        </w:tc>
        <w:tc>
          <w:tcPr>
            <w:tcW w:w="32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122,521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118,766</w:t>
            </w: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During the nine-month periods ended September 30, 2011 and 2010, the Company issued stock-based compensation awards in the form of restricted stock and restricted stock units, which, in accordance with GAAP, are considered participating securities.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Stock-based compensation awards, warrants to purchase common stock of M&amp;T and preferred stock convertible into shares of M&amp;T stock representing approximately 11.2 million and 10.7 million common shares during the three-month periods ended September 30, 2011 and 2010, respectively, and 10.6 million and 11.1 million common shares during the nine-month periods ended September 30, 2011 and 2010, respectively, were not included in the computations of diluted earnings per common share because the effect on those periods would have been antidilutive.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3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262"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Nine months ended September 30, 2011</w:t>
      </w:r>
    </w:p>
    <w:tbl>
      <w:tblPr>
        <w:tblLayout w:type="fixed"/>
        <w:tblInd w:w="920" w:type="dxa"/>
        <w:tblCellMar>
          <w:top w:w="0" w:type="dxa"/>
          <w:left w:w="0" w:type="dxa"/>
          <w:bottom w:w="0" w:type="dxa"/>
          <w:right w:w="0" w:type="dxa"/>
        </w:tblCellMar>
      </w:tblPr>
      <w:tr>
        <w:trPr>
          <w:trHeight w:val="131"/>
        </w:trPr>
        <w:tc>
          <w:tcPr>
            <w:tcW w:w="6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480"/>
              <w:spacing w:after="0" w:line="131" w:lineRule="exact"/>
              <w:rPr>
                <w:sz w:val="20"/>
                <w:szCs w:val="20"/>
                <w:color w:val="auto"/>
              </w:rPr>
            </w:pPr>
            <w:r>
              <w:rPr>
                <w:rFonts w:ascii="Arial" w:cs="Arial" w:eastAsia="Arial" w:hAnsi="Arial"/>
                <w:sz w:val="14"/>
                <w:szCs w:val="14"/>
                <w:color w:val="auto"/>
                <w:w w:val="89"/>
              </w:rPr>
              <w:t>Before-tax</w:t>
            </w:r>
          </w:p>
        </w:tc>
        <w:tc>
          <w:tcPr>
            <w:tcW w:w="1160" w:type="dxa"/>
            <w:vAlign w:val="bottom"/>
            <w:tcBorders>
              <w:top w:val="single" w:sz="8" w:color="auto"/>
            </w:tcBorders>
            <w:gridSpan w:val="2"/>
          </w:tcPr>
          <w:p>
            <w:pPr>
              <w:jc w:val="center"/>
              <w:ind w:right="360"/>
              <w:spacing w:after="0" w:line="131" w:lineRule="exact"/>
              <w:rPr>
                <w:sz w:val="20"/>
                <w:szCs w:val="20"/>
                <w:color w:val="auto"/>
              </w:rPr>
            </w:pPr>
            <w:r>
              <w:rPr>
                <w:rFonts w:ascii="Arial" w:cs="Arial" w:eastAsia="Arial" w:hAnsi="Arial"/>
                <w:sz w:val="14"/>
                <w:szCs w:val="14"/>
                <w:color w:val="auto"/>
                <w:w w:val="87"/>
              </w:rPr>
              <w:t>Income</w:t>
            </w: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amount</w:t>
            </w:r>
          </w:p>
        </w:tc>
        <w:tc>
          <w:tcPr>
            <w:tcW w:w="116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83"/>
              </w:rPr>
              <w:t>taxes</w:t>
            </w:r>
          </w:p>
        </w:tc>
        <w:tc>
          <w:tcPr>
            <w:tcW w:w="9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80"/>
              <w:spacing w:after="0" w:line="142" w:lineRule="exact"/>
              <w:rPr>
                <w:sz w:val="20"/>
                <w:szCs w:val="20"/>
                <w:color w:val="auto"/>
              </w:rPr>
            </w:pPr>
            <w:r>
              <w:rPr>
                <w:rFonts w:ascii="Arial" w:cs="Arial" w:eastAsia="Arial" w:hAnsi="Arial"/>
                <w:sz w:val="14"/>
                <w:szCs w:val="14"/>
                <w:color w:val="auto"/>
                <w:w w:val="87"/>
              </w:rPr>
              <w:t>(in thousands)</w:t>
            </w: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120" w:type="dxa"/>
            <w:vAlign w:val="bottom"/>
          </w:tcPr>
          <w:p>
            <w:pPr>
              <w:spacing w:after="0"/>
              <w:rPr>
                <w:sz w:val="20"/>
                <w:szCs w:val="20"/>
                <w:color w:val="auto"/>
              </w:rPr>
            </w:pPr>
            <w:r>
              <w:rPr>
                <w:rFonts w:ascii="Arial" w:cs="Arial" w:eastAsia="Arial" w:hAnsi="Arial"/>
                <w:sz w:val="18"/>
                <w:szCs w:val="18"/>
                <w:color w:val="auto"/>
              </w:rPr>
              <w:t>Available-for-sale (“AFS”) investment securities with other-than-temporary</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120" w:type="dxa"/>
            <w:vAlign w:val="bottom"/>
          </w:tcPr>
          <w:p>
            <w:pPr>
              <w:ind w:left="220"/>
              <w:spacing w:after="0"/>
              <w:rPr>
                <w:sz w:val="20"/>
                <w:szCs w:val="20"/>
                <w:color w:val="auto"/>
              </w:rPr>
            </w:pPr>
            <w:r>
              <w:rPr>
                <w:rFonts w:ascii="Arial" w:cs="Arial" w:eastAsia="Arial" w:hAnsi="Arial"/>
                <w:sz w:val="18"/>
                <w:szCs w:val="18"/>
                <w:color w:val="auto"/>
              </w:rPr>
              <w:t>impairment (“OTTI”):</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holding losses, net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(35,305)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13,952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(21,353)</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3,814</w:t>
            </w:r>
          </w:p>
        </w:tc>
        <w:tc>
          <w:tcPr>
            <w:tcW w:w="3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(1,497)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OTTI charges recognized in net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(41,713)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16,372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(25,341)</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880"/>
              <w:spacing w:after="0"/>
              <w:rPr>
                <w:sz w:val="20"/>
                <w:szCs w:val="20"/>
                <w:color w:val="auto"/>
              </w:rPr>
            </w:pPr>
            <w:r>
              <w:rPr>
                <w:rFonts w:ascii="Arial" w:cs="Arial" w:eastAsia="Arial" w:hAnsi="Arial"/>
                <w:sz w:val="18"/>
                <w:szCs w:val="18"/>
                <w:color w:val="auto"/>
              </w:rPr>
              <w:t>Net change for AFS investment securities with OTTI</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2,594</w:t>
            </w:r>
          </w:p>
        </w:tc>
        <w:tc>
          <w:tcPr>
            <w:tcW w:w="3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116"/>
        </w:trPr>
        <w:tc>
          <w:tcPr>
            <w:tcW w:w="6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AFS investment securities – all other: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20" w:type="dxa"/>
            <w:vAlign w:val="bottom"/>
          </w:tcPr>
          <w:p>
            <w:pPr>
              <w:ind w:left="440"/>
              <w:spacing w:after="0"/>
              <w:rPr>
                <w:sz w:val="20"/>
                <w:szCs w:val="20"/>
                <w:color w:val="auto"/>
              </w:rPr>
            </w:pPr>
            <w:r>
              <w:rPr>
                <w:rFonts w:ascii="Arial" w:cs="Arial" w:eastAsia="Arial" w:hAnsi="Arial"/>
                <w:sz w:val="18"/>
                <w:szCs w:val="18"/>
                <w:color w:val="auto"/>
              </w:rPr>
              <w:t>Unrealized holding gains, net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147,338</w:t>
            </w:r>
          </w:p>
        </w:tc>
        <w:tc>
          <w:tcPr>
            <w:tcW w:w="3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(57,629)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89,709</w:t>
            </w: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(57,257)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88,858</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8"/>
                <w:szCs w:val="18"/>
                <w:color w:val="auto"/>
              </w:rPr>
              <w:t>Net change for AFS investment securities – all other</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1,223</w:t>
            </w:r>
          </w:p>
        </w:tc>
        <w:tc>
          <w:tcPr>
            <w:tcW w:w="3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116"/>
        </w:trPr>
        <w:tc>
          <w:tcPr>
            <w:tcW w:w="6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(“HTM”) investment securities with OTTI:</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20" w:type="dxa"/>
            <w:vAlign w:val="bottom"/>
          </w:tcPr>
          <w:p>
            <w:pPr>
              <w:ind w:left="440"/>
              <w:spacing w:after="0"/>
              <w:rPr>
                <w:sz w:val="20"/>
                <w:szCs w:val="20"/>
                <w:color w:val="auto"/>
              </w:rPr>
            </w:pPr>
            <w:r>
              <w:rPr>
                <w:rFonts w:ascii="Arial" w:cs="Arial" w:eastAsia="Arial" w:hAnsi="Arial"/>
                <w:sz w:val="18"/>
                <w:szCs w:val="18"/>
                <w:color w:val="auto"/>
              </w:rPr>
              <w:t>Unrealized holding losses, net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(8,500)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3,336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reclassification to income of unrealized holding losses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Less: OTTI charges recognized in net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(10,500)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4,121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for HTM investment securities with OTTI</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323"/>
        </w:trPr>
        <w:tc>
          <w:tcPr>
            <w:tcW w:w="6120" w:type="dxa"/>
            <w:vAlign w:val="bottom"/>
          </w:tcPr>
          <w:p>
            <w:pPr>
              <w:spacing w:after="0"/>
              <w:rPr>
                <w:sz w:val="20"/>
                <w:szCs w:val="20"/>
                <w:color w:val="auto"/>
              </w:rPr>
            </w:pPr>
            <w:r>
              <w:rPr>
                <w:rFonts w:ascii="Arial" w:cs="Arial" w:eastAsia="Arial" w:hAnsi="Arial"/>
                <w:sz w:val="18"/>
                <w:szCs w:val="18"/>
                <w:color w:val="auto"/>
                <w:w w:val="96"/>
              </w:rPr>
              <w:t>Reclassification to income of unrealized holding losses on investment securities</w:t>
            </w: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220"/>
              <w:spacing w:after="0"/>
              <w:rPr>
                <w:sz w:val="20"/>
                <w:szCs w:val="20"/>
                <w:color w:val="auto"/>
              </w:rPr>
            </w:pPr>
            <w:r>
              <w:rPr>
                <w:rFonts w:ascii="Arial" w:cs="Arial" w:eastAsia="Arial" w:hAnsi="Arial"/>
                <w:sz w:val="18"/>
                <w:szCs w:val="18"/>
                <w:color w:val="auto"/>
              </w:rPr>
              <w:t>previously transferred from AFS to HTM</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5,108</w:t>
            </w:r>
          </w:p>
        </w:tc>
        <w:tc>
          <w:tcPr>
            <w:tcW w:w="3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(2,005)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116"/>
        </w:trPr>
        <w:tc>
          <w:tcPr>
            <w:tcW w:w="6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 securities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322"/>
        </w:trPr>
        <w:tc>
          <w:tcPr>
            <w:tcW w:w="6120" w:type="dxa"/>
            <w:vAlign w:val="bottom"/>
          </w:tcPr>
          <w:p>
            <w:pPr>
              <w:spacing w:after="0"/>
              <w:rPr>
                <w:sz w:val="20"/>
                <w:szCs w:val="20"/>
                <w:color w:val="auto"/>
              </w:rPr>
            </w:pPr>
            <w:r>
              <w:rPr>
                <w:rFonts w:ascii="Arial" w:cs="Arial" w:eastAsia="Arial" w:hAnsi="Arial"/>
                <w:sz w:val="18"/>
                <w:szCs w:val="18"/>
                <w:color w:val="auto"/>
                <w:w w:val="91"/>
              </w:rPr>
              <w:t>Reclassification to income for amortization of gains on terminated cash flow hedges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(336)</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10"/>
        </w:trPr>
        <w:tc>
          <w:tcPr>
            <w:tcW w:w="6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323"/>
        </w:trPr>
        <w:tc>
          <w:tcPr>
            <w:tcW w:w="6120" w:type="dxa"/>
            <w:vAlign w:val="bottom"/>
          </w:tcPr>
          <w:p>
            <w:pPr>
              <w:spacing w:after="0"/>
              <w:rPr>
                <w:sz w:val="20"/>
                <w:szCs w:val="20"/>
                <w:color w:val="auto"/>
              </w:rPr>
            </w:pPr>
            <w:r>
              <w:rPr>
                <w:rFonts w:ascii="Arial" w:cs="Arial" w:eastAsia="Arial" w:hAnsi="Arial"/>
                <w:sz w:val="18"/>
                <w:szCs w:val="18"/>
                <w:color w:val="auto"/>
              </w:rPr>
              <w:t>Defined benefit plans liability adjustment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10,586</w:t>
            </w:r>
          </w:p>
        </w:tc>
        <w:tc>
          <w:tcPr>
            <w:tcW w:w="3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(4,155)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8"/>
        </w:trPr>
        <w:tc>
          <w:tcPr>
            <w:tcW w:w="6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20,609</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600"/>
              <w:spacing w:after="0"/>
              <w:rPr>
                <w:sz w:val="20"/>
                <w:szCs w:val="20"/>
                <w:color w:val="auto"/>
              </w:rPr>
            </w:pPr>
            <w:r>
              <w:rPr>
                <w:rFonts w:ascii="Arial" w:cs="Arial" w:eastAsia="Arial" w:hAnsi="Arial"/>
                <w:sz w:val="18"/>
                <w:szCs w:val="18"/>
                <w:color w:val="auto"/>
              </w:rPr>
              <w:t>- 32 -</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9.</w:t>
            </w:r>
          </w:p>
        </w:tc>
        <w:tc>
          <w:tcPr>
            <w:tcW w:w="7420" w:type="dxa"/>
            <w:vAlign w:val="bottom"/>
            <w:gridSpan w:val="2"/>
          </w:tcPr>
          <w:p>
            <w:pPr>
              <w:jc w:val="right"/>
              <w:ind w:right="4592"/>
              <w:spacing w:after="0"/>
              <w:rPr>
                <w:sz w:val="20"/>
                <w:szCs w:val="20"/>
                <w:color w:val="auto"/>
              </w:rPr>
            </w:pPr>
            <w:r>
              <w:rPr>
                <w:rFonts w:ascii="Arial" w:cs="Arial" w:eastAsia="Arial" w:hAnsi="Arial"/>
                <w:sz w:val="18"/>
                <w:szCs w:val="18"/>
                <w:b w:val="1"/>
                <w:bCs w:val="1"/>
                <w:color w:val="auto"/>
                <w:w w:val="90"/>
              </w:rPr>
              <w:t>Comprehensive income, continued</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780" w:type="dxa"/>
            <w:vAlign w:val="bottom"/>
            <w:gridSpan w:val="7"/>
          </w:tcPr>
          <w:p>
            <w:pPr>
              <w:jc w:val="center"/>
              <w:ind w:right="100"/>
              <w:spacing w:after="0"/>
              <w:rPr>
                <w:sz w:val="20"/>
                <w:szCs w:val="20"/>
                <w:color w:val="auto"/>
              </w:rPr>
            </w:pPr>
            <w:r>
              <w:rPr>
                <w:rFonts w:ascii="Arial" w:cs="Arial" w:eastAsia="Arial" w:hAnsi="Arial"/>
                <w:sz w:val="14"/>
                <w:szCs w:val="14"/>
                <w:color w:val="auto"/>
                <w:w w:val="85"/>
              </w:rPr>
              <w:t>Nine months ended September 30, 2010</w:t>
            </w: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220"/>
              <w:spacing w:after="0" w:line="131" w:lineRule="exact"/>
              <w:rPr>
                <w:sz w:val="20"/>
                <w:szCs w:val="20"/>
                <w:color w:val="auto"/>
              </w:rPr>
            </w:pPr>
            <w:r>
              <w:rPr>
                <w:rFonts w:ascii="Arial" w:cs="Arial" w:eastAsia="Arial" w:hAnsi="Arial"/>
                <w:sz w:val="14"/>
                <w:szCs w:val="14"/>
                <w:color w:val="auto"/>
                <w:w w:val="92"/>
              </w:rPr>
              <w:t>Before-tax</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80"/>
              <w:spacing w:after="0" w:line="131" w:lineRule="exact"/>
              <w:rPr>
                <w:sz w:val="20"/>
                <w:szCs w:val="20"/>
                <w:color w:val="auto"/>
              </w:rPr>
            </w:pPr>
            <w:r>
              <w:rPr>
                <w:rFonts w:ascii="Arial" w:cs="Arial" w:eastAsia="Arial" w:hAnsi="Arial"/>
                <w:sz w:val="14"/>
                <w:szCs w:val="14"/>
                <w:color w:val="auto"/>
                <w:w w:val="87"/>
              </w:rPr>
              <w:t>Income</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8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3"/>
                <w:szCs w:val="13"/>
                <w:color w:val="auto"/>
              </w:rPr>
            </w:pPr>
          </w:p>
        </w:tc>
        <w:tc>
          <w:tcPr>
            <w:tcW w:w="980" w:type="dxa"/>
            <w:vAlign w:val="bottom"/>
            <w:gridSpan w:val="2"/>
          </w:tcPr>
          <w:p>
            <w:pPr>
              <w:jc w:val="center"/>
              <w:ind w:right="380"/>
              <w:spacing w:after="0" w:line="159" w:lineRule="exact"/>
              <w:rPr>
                <w:sz w:val="20"/>
                <w:szCs w:val="20"/>
                <w:color w:val="auto"/>
              </w:rPr>
            </w:pPr>
            <w:r>
              <w:rPr>
                <w:rFonts w:ascii="Arial" w:cs="Arial" w:eastAsia="Arial" w:hAnsi="Arial"/>
                <w:sz w:val="14"/>
                <w:szCs w:val="14"/>
                <w:color w:val="auto"/>
                <w:w w:val="83"/>
              </w:rPr>
              <w:t>taxes</w:t>
            </w: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color w:val="auto"/>
                <w:w w:val="85"/>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AFS investment securities with OTTI:</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holding losses, net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(67,052)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26,074</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(40,978)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tcPr>
          <w:p>
            <w:pPr>
              <w:ind w:left="440"/>
              <w:spacing w:after="0"/>
              <w:rPr>
                <w:sz w:val="20"/>
                <w:szCs w:val="20"/>
                <w:color w:val="auto"/>
              </w:rPr>
            </w:pPr>
            <w:r>
              <w:rPr>
                <w:rFonts w:ascii="Arial" w:cs="Arial" w:eastAsia="Arial" w:hAnsi="Arial"/>
                <w:sz w:val="18"/>
                <w:szCs w:val="18"/>
                <w:color w:val="auto"/>
              </w:rPr>
              <w:t>Less: OTTI charges recognized in net income</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(58,714)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22,758</w:t>
            </w:r>
          </w:p>
        </w:tc>
        <w:tc>
          <w:tcPr>
            <w:tcW w:w="3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(35,956)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for AFS investment securities with OTTI</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32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AFS investment securities – all other:</w:t>
            </w: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holding gains, net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233,174</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(91,018)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142,156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tcPr>
          <w:p>
            <w:pPr>
              <w:ind w:left="44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(392)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for AFS investment securities – all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(90,626)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141,525</w:t>
            </w:r>
          </w:p>
        </w:tc>
        <w:tc>
          <w:tcPr>
            <w:tcW w:w="0" w:type="dxa"/>
            <w:vAlign w:val="bottom"/>
          </w:tcPr>
          <w:p>
            <w:pPr>
              <w:spacing w:after="0"/>
              <w:rPr>
                <w:sz w:val="1"/>
                <w:szCs w:val="1"/>
                <w:color w:val="auto"/>
              </w:rPr>
            </w:pPr>
          </w:p>
        </w:tc>
      </w:tr>
      <w:tr>
        <w:trPr>
          <w:trHeight w:val="323"/>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4"/>
              </w:rPr>
              <w:t>Reclassification to income of unrealized holding losses on investment securities previously</w:t>
            </w: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transferred from AFS to HTM</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6,400</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(2,511)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116"/>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 securities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230,213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(89,821)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140,392</w:t>
            </w:r>
          </w:p>
        </w:tc>
        <w:tc>
          <w:tcPr>
            <w:tcW w:w="0" w:type="dxa"/>
            <w:vAlign w:val="bottom"/>
          </w:tcPr>
          <w:p>
            <w:pPr>
              <w:spacing w:after="0"/>
              <w:rPr>
                <w:sz w:val="1"/>
                <w:szCs w:val="1"/>
                <w:color w:val="auto"/>
              </w:rPr>
            </w:pPr>
          </w:p>
        </w:tc>
      </w:tr>
      <w:tr>
        <w:trPr>
          <w:trHeight w:val="32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plans liability adjustment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235,247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(91,804)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143,443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420" w:type="dxa"/>
            <w:vAlign w:val="bottom"/>
            <w:gridSpan w:val="2"/>
            <w:vMerge w:val="restart"/>
          </w:tcPr>
          <w:p>
            <w:pPr>
              <w:jc w:val="right"/>
              <w:ind w:right="1732"/>
              <w:spacing w:after="0"/>
              <w:rPr>
                <w:sz w:val="20"/>
                <w:szCs w:val="20"/>
                <w:color w:val="auto"/>
              </w:rPr>
            </w:pPr>
            <w:r>
              <w:rPr>
                <w:rFonts w:ascii="Arial" w:cs="Arial" w:eastAsia="Arial" w:hAnsi="Arial"/>
                <w:sz w:val="18"/>
                <w:szCs w:val="18"/>
                <w:color w:val="auto"/>
              </w:rPr>
              <w:t>- 33 -</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74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income (loss), net consisted of unrealized gains (losses)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Foreign</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40" w:type="dxa"/>
            <w:vAlign w:val="bottom"/>
            <w:gridSpan w:val="3"/>
            <w:vMerge w:val="restart"/>
          </w:tcPr>
          <w:p>
            <w:pPr>
              <w:jc w:val="right"/>
              <w:ind w:right="175"/>
              <w:spacing w:after="0"/>
              <w:rPr>
                <w:sz w:val="20"/>
                <w:szCs w:val="20"/>
                <w:color w:val="auto"/>
              </w:rPr>
            </w:pPr>
            <w:r>
              <w:rPr>
                <w:rFonts w:ascii="Arial" w:cs="Arial" w:eastAsia="Arial" w:hAnsi="Arial"/>
                <w:sz w:val="14"/>
                <w:szCs w:val="14"/>
                <w:color w:val="auto"/>
              </w:rPr>
              <w:t>Investment securities</w:t>
            </w:r>
          </w:p>
        </w:tc>
        <w:tc>
          <w:tcPr>
            <w:tcW w:w="320" w:type="dxa"/>
            <w:vAlign w:val="bottom"/>
            <w:vMerge w:val="restart"/>
          </w:tcPr>
          <w:p>
            <w:pPr>
              <w:spacing w:after="0"/>
              <w:rPr>
                <w:sz w:val="12"/>
                <w:szCs w:val="12"/>
                <w:color w:val="auto"/>
              </w:rPr>
            </w:pPr>
          </w:p>
        </w:tc>
        <w:tc>
          <w:tcPr>
            <w:tcW w:w="6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Cash</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currency</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Defined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640" w:type="dxa"/>
            <w:vAlign w:val="bottom"/>
            <w:tcBorders>
              <w:bottom w:val="single" w:sz="8" w:color="auto"/>
            </w:tcBorders>
            <w:gridSpan w:val="3"/>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80" w:type="dxa"/>
            <w:vAlign w:val="bottom"/>
            <w:gridSpan w:val="2"/>
          </w:tcPr>
          <w:p>
            <w:pPr>
              <w:jc w:val="center"/>
              <w:ind w:right="320"/>
              <w:spacing w:after="0" w:line="113" w:lineRule="exact"/>
              <w:rPr>
                <w:sz w:val="20"/>
                <w:szCs w:val="20"/>
                <w:color w:val="auto"/>
              </w:rPr>
            </w:pPr>
            <w:r>
              <w:rPr>
                <w:rFonts w:ascii="Arial" w:cs="Arial" w:eastAsia="Arial" w:hAnsi="Arial"/>
                <w:sz w:val="12"/>
                <w:szCs w:val="12"/>
                <w:color w:val="auto"/>
              </w:rPr>
              <w:t>flow</w:t>
            </w:r>
          </w:p>
        </w:tc>
        <w:tc>
          <w:tcPr>
            <w:tcW w:w="900" w:type="dxa"/>
            <w:vAlign w:val="bottom"/>
            <w:gridSpan w:val="2"/>
          </w:tcPr>
          <w:p>
            <w:pPr>
              <w:jc w:val="center"/>
              <w:ind w:right="300"/>
              <w:spacing w:after="0" w:line="113" w:lineRule="exact"/>
              <w:rPr>
                <w:sz w:val="20"/>
                <w:szCs w:val="20"/>
                <w:color w:val="auto"/>
              </w:rPr>
            </w:pPr>
            <w:r>
              <w:rPr>
                <w:rFonts w:ascii="Arial" w:cs="Arial" w:eastAsia="Arial" w:hAnsi="Arial"/>
                <w:sz w:val="12"/>
                <w:szCs w:val="12"/>
                <w:color w:val="auto"/>
              </w:rPr>
              <w:t>translation</w:t>
            </w:r>
          </w:p>
        </w:tc>
        <w:tc>
          <w:tcPr>
            <w:tcW w:w="1000" w:type="dxa"/>
            <w:vAlign w:val="bottom"/>
            <w:gridSpan w:val="2"/>
          </w:tcPr>
          <w:p>
            <w:pPr>
              <w:jc w:val="center"/>
              <w:ind w:right="300"/>
              <w:spacing w:after="0" w:line="113" w:lineRule="exact"/>
              <w:rPr>
                <w:sz w:val="20"/>
                <w:szCs w:val="20"/>
                <w:color w:val="auto"/>
              </w:rPr>
            </w:pPr>
            <w:r>
              <w:rPr>
                <w:rFonts w:ascii="Arial" w:cs="Arial" w:eastAsia="Arial" w:hAnsi="Arial"/>
                <w:sz w:val="12"/>
                <w:szCs w:val="12"/>
                <w:color w:val="auto"/>
              </w:rPr>
              <w:t>benefit</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With OTTI</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All other</w:t>
            </w:r>
          </w:p>
        </w:tc>
        <w:tc>
          <w:tcPr>
            <w:tcW w:w="680" w:type="dxa"/>
            <w:vAlign w:val="bottom"/>
            <w:gridSpan w:val="2"/>
          </w:tcPr>
          <w:p>
            <w:pPr>
              <w:jc w:val="center"/>
              <w:ind w:right="320"/>
              <w:spacing w:after="0"/>
              <w:rPr>
                <w:sz w:val="20"/>
                <w:szCs w:val="20"/>
                <w:color w:val="auto"/>
              </w:rPr>
            </w:pPr>
            <w:r>
              <w:rPr>
                <w:rFonts w:ascii="Arial" w:cs="Arial" w:eastAsia="Arial" w:hAnsi="Arial"/>
                <w:sz w:val="14"/>
                <w:szCs w:val="14"/>
                <w:color w:val="auto"/>
                <w:w w:val="78"/>
              </w:rPr>
              <w:t>hedges</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adjustment</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plans</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4"/>
          </w:tcPr>
          <w:p>
            <w:pPr>
              <w:jc w:val="right"/>
              <w:ind w:right="54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2"/>
              </w:rPr>
              <w:t>$ (87,053)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2,332</w:t>
            </w:r>
          </w:p>
        </w:tc>
        <w:tc>
          <w:tcPr>
            <w:tcW w:w="360" w:type="dxa"/>
            <w:vAlign w:val="bottom"/>
            <w:shd w:val="clear" w:color="auto" w:fill="CCEEFF"/>
          </w:tcPr>
          <w:p>
            <w:pPr>
              <w:jc w:val="center"/>
              <w:ind w:left="21"/>
              <w:spacing w:after="0"/>
              <w:rPr>
                <w:sz w:val="20"/>
                <w:szCs w:val="20"/>
                <w:color w:val="auto"/>
              </w:rPr>
            </w:pPr>
            <w:r>
              <w:rPr>
                <w:rFonts w:ascii="Arial" w:cs="Arial" w:eastAsia="Arial" w:hAnsi="Arial"/>
                <w:sz w:val="18"/>
                <w:szCs w:val="18"/>
                <w:color w:val="auto"/>
                <w:w w:val="86"/>
              </w:rPr>
              <w:t>393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(120,892)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(205,220)</w:t>
            </w:r>
          </w:p>
        </w:tc>
        <w:tc>
          <w:tcPr>
            <w:tcW w:w="0" w:type="dxa"/>
            <w:vAlign w:val="bottom"/>
          </w:tcPr>
          <w:p>
            <w:pPr>
              <w:spacing w:after="0"/>
              <w:rPr>
                <w:sz w:val="1"/>
                <w:szCs w:val="1"/>
                <w:color w:val="auto"/>
              </w:rPr>
            </w:pPr>
          </w:p>
        </w:tc>
      </w:tr>
      <w:tr>
        <w:trPr>
          <w:trHeight w:val="323"/>
        </w:trPr>
        <w:tc>
          <w:tcPr>
            <w:tcW w:w="608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3,016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3,954</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(211)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6,431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0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(84,037)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6,286</w:t>
            </w:r>
          </w:p>
        </w:tc>
        <w:tc>
          <w:tcPr>
            <w:tcW w:w="360" w:type="dxa"/>
            <w:vAlign w:val="bottom"/>
            <w:shd w:val="clear" w:color="auto" w:fill="CCEEFF"/>
          </w:tcPr>
          <w:p>
            <w:pPr>
              <w:jc w:val="center"/>
              <w:ind w:left="21"/>
              <w:spacing w:after="0"/>
              <w:rPr>
                <w:sz w:val="20"/>
                <w:szCs w:val="20"/>
                <w:color w:val="auto"/>
              </w:rPr>
            </w:pPr>
            <w:r>
              <w:rPr>
                <w:rFonts w:ascii="Arial" w:cs="Arial" w:eastAsia="Arial" w:hAnsi="Arial"/>
                <w:sz w:val="18"/>
                <w:szCs w:val="18"/>
                <w:color w:val="auto"/>
                <w:w w:val="86"/>
              </w:rPr>
              <w:t>182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(114,461)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(192,533)</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080" w:type="dxa"/>
            <w:vAlign w:val="bottom"/>
            <w:gridSpan w:val="2"/>
          </w:tcPr>
          <w:p>
            <w:pPr>
              <w:spacing w:after="0"/>
              <w:rPr>
                <w:sz w:val="20"/>
                <w:szCs w:val="20"/>
                <w:color w:val="auto"/>
              </w:rPr>
            </w:pPr>
            <w:r>
              <w:rPr>
                <w:rFonts w:ascii="Arial" w:cs="Arial" w:eastAsia="Arial" w:hAnsi="Arial"/>
                <w:sz w:val="18"/>
                <w:szCs w:val="18"/>
                <w:color w:val="auto"/>
              </w:rPr>
              <w:t>Balance - January 1, 2010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2"/>
              </w:rPr>
              <w:t>$ (76,772)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(142,853)</w:t>
            </w:r>
          </w:p>
        </w:tc>
        <w:tc>
          <w:tcPr>
            <w:tcW w:w="360" w:type="dxa"/>
            <w:vAlign w:val="bottom"/>
          </w:tcPr>
          <w:p>
            <w:pPr>
              <w:jc w:val="center"/>
              <w:ind w:left="21"/>
              <w:spacing w:after="0"/>
              <w:rPr>
                <w:sz w:val="20"/>
                <w:szCs w:val="20"/>
                <w:color w:val="auto"/>
              </w:rPr>
            </w:pPr>
            <w:r>
              <w:rPr>
                <w:rFonts w:ascii="Arial" w:cs="Arial" w:eastAsia="Arial" w:hAnsi="Arial"/>
                <w:sz w:val="18"/>
                <w:szCs w:val="18"/>
                <w:color w:val="auto"/>
                <w:w w:val="86"/>
              </w:rPr>
              <w:t>674</w:t>
            </w:r>
          </w:p>
        </w:tc>
        <w:tc>
          <w:tcPr>
            <w:tcW w:w="32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(117,046)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(335,997)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145,414</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(211)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143,443</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080" w:type="dxa"/>
            <w:vAlign w:val="bottom"/>
            <w:gridSpan w:val="2"/>
          </w:tcPr>
          <w:p>
            <w:pPr>
              <w:spacing w:after="0"/>
              <w:rPr>
                <w:sz w:val="20"/>
                <w:szCs w:val="20"/>
                <w:color w:val="auto"/>
              </w:rPr>
            </w:pPr>
            <w:r>
              <w:rPr>
                <w:rFonts w:ascii="Arial" w:cs="Arial" w:eastAsia="Arial" w:hAnsi="Arial"/>
                <w:sz w:val="18"/>
                <w:szCs w:val="18"/>
                <w:color w:val="auto"/>
              </w:rPr>
              <w:t>Balance - September 30, 2010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(81,794)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2,561</w:t>
            </w:r>
          </w:p>
        </w:tc>
        <w:tc>
          <w:tcPr>
            <w:tcW w:w="360" w:type="dxa"/>
            <w:vAlign w:val="bottom"/>
          </w:tcPr>
          <w:p>
            <w:pPr>
              <w:jc w:val="center"/>
              <w:ind w:left="21"/>
              <w:spacing w:after="0"/>
              <w:rPr>
                <w:sz w:val="20"/>
                <w:szCs w:val="20"/>
                <w:color w:val="auto"/>
              </w:rPr>
            </w:pPr>
            <w:r>
              <w:rPr>
                <w:rFonts w:ascii="Arial" w:cs="Arial" w:eastAsia="Arial" w:hAnsi="Arial"/>
                <w:sz w:val="18"/>
                <w:szCs w:val="18"/>
                <w:color w:val="auto"/>
                <w:w w:val="86"/>
              </w:rPr>
              <w:t>463</w:t>
            </w:r>
          </w:p>
        </w:tc>
        <w:tc>
          <w:tcPr>
            <w:tcW w:w="32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(113,784)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(192,554)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September 30, 2011.</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net effect of interest rate swap agreements was to increase net interest income by $9 million and $10 million for the three-month periods ended September 30, 2011 and 2010, respectively, and $28 million and $32 million for the nine months ended September 30, 2011 and 2010, respectively. Information about interest rate swap agreements entered into for interest rate risk management purposes summarized by type of financial instrument the swap agreements were intended to hedge follows: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4"/>
          </w:tcPr>
          <w:p>
            <w:pPr>
              <w:jc w:val="right"/>
              <w:ind w:right="52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59"/>
        </w:trPr>
        <w:tc>
          <w:tcPr>
            <w:tcW w:w="7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Notional</w:t>
            </w:r>
          </w:p>
        </w:tc>
        <w:tc>
          <w:tcPr>
            <w:tcW w:w="8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8"/>
              </w:rPr>
              <w:t>Average</w:t>
            </w:r>
          </w:p>
        </w:tc>
        <w:tc>
          <w:tcPr>
            <w:tcW w:w="1400" w:type="dxa"/>
            <w:vAlign w:val="bottom"/>
            <w:gridSpan w:val="4"/>
          </w:tcPr>
          <w:p>
            <w:pPr>
              <w:jc w:val="right"/>
              <w:ind w:right="480"/>
              <w:spacing w:after="0" w:line="159" w:lineRule="exact"/>
              <w:rPr>
                <w:sz w:val="20"/>
                <w:szCs w:val="20"/>
                <w:color w:val="auto"/>
              </w:rPr>
            </w:pPr>
            <w:r>
              <w:rPr>
                <w:rFonts w:ascii="Arial" w:cs="Arial" w:eastAsia="Arial" w:hAnsi="Arial"/>
                <w:sz w:val="14"/>
                <w:szCs w:val="14"/>
                <w:color w:val="auto"/>
              </w:rPr>
              <w:t>average rate</w:t>
            </w: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amount</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6"/>
              </w:rPr>
              <w:t>maturity</w:t>
            </w:r>
          </w:p>
        </w:tc>
        <w:tc>
          <w:tcPr>
            <w:tcW w:w="7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color w:val="auto"/>
                <w:w w:val="93"/>
              </w:rPr>
              <w:t>Fixed</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3"/>
              </w:rPr>
              <w:t>(in thousands)</w:t>
            </w:r>
          </w:p>
        </w:tc>
        <w:tc>
          <w:tcPr>
            <w:tcW w:w="280" w:type="dxa"/>
            <w:vAlign w:val="bottom"/>
            <w:gridSpan w:val="2"/>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(in years)</w:t>
            </w: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6"/>
              </w:rPr>
              <w:t>900,000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6.07%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December 31, 2010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w w:val="86"/>
              </w:rPr>
              <w:t>900,000</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6.07%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57" w:lineRule="exact"/>
        <w:rPr>
          <w:rFonts w:ascii="Arial" w:cs="Arial" w:eastAsia="Arial" w:hAnsi="Arial"/>
          <w:sz w:val="18"/>
          <w:szCs w:val="18"/>
          <w:i w:val="1"/>
          <w:iCs w:val="1"/>
          <w:color w:val="auto"/>
        </w:rPr>
      </w:pPr>
    </w:p>
    <w:p>
      <w:pPr>
        <w:ind w:left="5620" w:hanging="96"/>
        <w:spacing w:after="0"/>
        <w:tabs>
          <w:tab w:leader="none" w:pos="5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$13.6 billion and $12.8 billion at September 30, 2011 and December 31, 2010, respectively. The notional amounts of foreign currency and other option and futures contracts entered into for trading purposes aggregated $1.3 billion and $769 million at September 30, 2011 and December 31, 2010,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right"/>
              <w:ind w:right="700"/>
              <w:spacing w:after="0"/>
              <w:rPr>
                <w:sz w:val="20"/>
                <w:szCs w:val="20"/>
                <w:color w:val="auto"/>
              </w:rPr>
            </w:pPr>
            <w:r>
              <w:rPr>
                <w:rFonts w:ascii="Arial" w:cs="Arial" w:eastAsia="Arial" w:hAnsi="Arial"/>
                <w:sz w:val="14"/>
                <w:szCs w:val="14"/>
                <w:color w:val="auto"/>
              </w:rPr>
              <w:t>Asset derivatives</w:t>
            </w:r>
          </w:p>
        </w:tc>
        <w:tc>
          <w:tcPr>
            <w:tcW w:w="140" w:type="dxa"/>
            <w:vAlign w:val="bottom"/>
          </w:tcPr>
          <w:p>
            <w:pPr>
              <w:spacing w:after="0"/>
              <w:rPr>
                <w:sz w:val="14"/>
                <w:szCs w:val="14"/>
                <w:color w:val="auto"/>
              </w:rPr>
            </w:pPr>
          </w:p>
        </w:tc>
        <w:tc>
          <w:tcPr>
            <w:tcW w:w="1760" w:type="dxa"/>
            <w:vAlign w:val="bottom"/>
            <w:gridSpan w:val="4"/>
          </w:tcPr>
          <w:p>
            <w:pPr>
              <w:ind w:left="22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3"/>
          </w:tcPr>
          <w:p>
            <w:pPr>
              <w:jc w:val="right"/>
              <w:ind w:right="557"/>
              <w:spacing w:after="0" w:line="142" w:lineRule="exact"/>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3"/>
          </w:tcPr>
          <w:p>
            <w:pPr>
              <w:jc w:val="right"/>
              <w:ind w:right="537"/>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3"/>
          </w:tcPr>
          <w:p>
            <w:pPr>
              <w:spacing w:after="0" w:line="131" w:lineRule="exact"/>
              <w:rPr>
                <w:sz w:val="20"/>
                <w:szCs w:val="20"/>
                <w:color w:val="auto"/>
              </w:rPr>
            </w:pPr>
            <w:r>
              <w:rPr>
                <w:rFonts w:ascii="Arial" w:cs="Arial" w:eastAsia="Arial" w:hAnsi="Arial"/>
                <w:sz w:val="14"/>
                <w:szCs w:val="14"/>
                <w:color w:val="auto"/>
              </w:rPr>
              <w:t>September 30,</w:t>
            </w: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260" w:type="dxa"/>
            <w:vAlign w:val="bottom"/>
          </w:tcPr>
          <w:p>
            <w:pPr>
              <w:spacing w:after="0"/>
              <w:rPr>
                <w:sz w:val="11"/>
                <w:szCs w:val="11"/>
                <w:color w:val="auto"/>
              </w:rPr>
            </w:pPr>
          </w:p>
        </w:tc>
        <w:tc>
          <w:tcPr>
            <w:tcW w:w="780" w:type="dxa"/>
            <w:vAlign w:val="bottom"/>
            <w:gridSpan w:val="2"/>
          </w:tcPr>
          <w:p>
            <w:pPr>
              <w:spacing w:after="0" w:line="131" w:lineRule="exact"/>
              <w:rPr>
                <w:sz w:val="20"/>
                <w:szCs w:val="20"/>
                <w:color w:val="auto"/>
              </w:rPr>
            </w:pPr>
            <w:r>
              <w:rPr>
                <w:rFonts w:ascii="Arial" w:cs="Arial" w:eastAsia="Arial" w:hAnsi="Arial"/>
                <w:sz w:val="14"/>
                <w:szCs w:val="14"/>
                <w:color w:val="auto"/>
                <w:w w:val="82"/>
              </w:rPr>
              <w:t>September 30,</w:t>
            </w:r>
          </w:p>
        </w:tc>
        <w:tc>
          <w:tcPr>
            <w:tcW w:w="26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7"/>
              <w:spacing w:after="0" w:line="159" w:lineRule="exact"/>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7"/>
              <w:spacing w:after="0" w:line="159" w:lineRule="exact"/>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7"/>
              <w:spacing w:after="0" w:line="159" w:lineRule="exact"/>
              <w:rPr>
                <w:sz w:val="20"/>
                <w:szCs w:val="20"/>
                <w:color w:val="auto"/>
              </w:rPr>
            </w:pPr>
            <w:r>
              <w:rPr>
                <w:rFonts w:ascii="Arial" w:cs="Arial" w:eastAsia="Arial" w:hAnsi="Arial"/>
                <w:sz w:val="14"/>
                <w:szCs w:val="14"/>
                <w:color w:val="auto"/>
              </w:rPr>
              <w:t>2011</w:t>
            </w:r>
          </w:p>
        </w:tc>
        <w:tc>
          <w:tcPr>
            <w:tcW w:w="1020" w:type="dxa"/>
            <w:vAlign w:val="bottom"/>
            <w:tcBorders>
              <w:bottom w:val="single" w:sz="8" w:color="auto"/>
            </w:tcBorders>
            <w:gridSpan w:val="2"/>
          </w:tcPr>
          <w:p>
            <w:pPr>
              <w:jc w:val="right"/>
              <w:ind w:right="157"/>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4"/>
          </w:tcPr>
          <w:p>
            <w:pPr>
              <w:jc w:val="right"/>
              <w:ind w:right="437"/>
              <w:spacing w:after="0" w:line="142" w:lineRule="exact"/>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Fair value hedges: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148,764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96,637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148,868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101,517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Mortgage-related commitments to originate real estate loans for sale (a)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7,997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10,322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Interest rate contracts (b)</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460,533</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345,632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434,844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and other option and futures contracts (b)</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25,855</w:t>
            </w:r>
          </w:p>
        </w:tc>
        <w:tc>
          <w:tcPr>
            <w:tcW w:w="2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23,376</w:t>
            </w:r>
          </w:p>
        </w:tc>
        <w:tc>
          <w:tcPr>
            <w:tcW w:w="2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494,581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370,048</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462,100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335,767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643,449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471,565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463,803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300"/>
          </w:cols>
          <w:pgMar w:left="24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Derivative financial instruments, continued</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88"/>
              </w:rPr>
              <w:t>Amount of unrealized gain (loss) recognized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4"/>
          </w:tcPr>
          <w:p>
            <w:pPr>
              <w:jc w:val="center"/>
              <w:ind w:right="440"/>
              <w:spacing w:after="0" w:line="131" w:lineRule="exact"/>
              <w:rPr>
                <w:sz w:val="20"/>
                <w:szCs w:val="20"/>
                <w:color w:val="auto"/>
              </w:rPr>
            </w:pPr>
            <w:r>
              <w:rPr>
                <w:rFonts w:ascii="Arial" w:cs="Arial" w:eastAsia="Arial" w:hAnsi="Arial"/>
                <w:sz w:val="14"/>
                <w:szCs w:val="14"/>
                <w:color w:val="auto"/>
                <w:w w:val="85"/>
              </w:rPr>
              <w:t>Three months ended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3"/>
          </w:tcPr>
          <w:p>
            <w:pPr>
              <w:jc w:val="center"/>
              <w:ind w:right="99"/>
              <w:spacing w:after="0" w:line="131" w:lineRule="exact"/>
              <w:rPr>
                <w:sz w:val="20"/>
                <w:szCs w:val="20"/>
                <w:color w:val="auto"/>
              </w:rPr>
            </w:pPr>
            <w:r>
              <w:rPr>
                <w:rFonts w:ascii="Arial" w:cs="Arial" w:eastAsia="Arial" w:hAnsi="Arial"/>
                <w:sz w:val="14"/>
                <w:szCs w:val="14"/>
                <w:color w:val="auto"/>
                <w:w w:val="86"/>
              </w:rPr>
              <w:t>Three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4"/>
          </w:tcPr>
          <w:p>
            <w:pPr>
              <w:jc w:val="center"/>
              <w:ind w:right="420"/>
              <w:spacing w:after="0" w:line="159" w:lineRule="exact"/>
              <w:rPr>
                <w:sz w:val="20"/>
                <w:szCs w:val="20"/>
                <w:color w:val="auto"/>
              </w:rPr>
            </w:pPr>
            <w:r>
              <w:rPr>
                <w:rFonts w:ascii="Arial" w:cs="Arial" w:eastAsia="Arial" w:hAnsi="Arial"/>
                <w:sz w:val="14"/>
                <w:szCs w:val="14"/>
                <w:color w:val="auto"/>
                <w:w w:val="88"/>
              </w:rPr>
              <w:t>September 30, 2011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tcPr>
          <w:p>
            <w:pPr>
              <w:jc w:val="center"/>
              <w:ind w:right="280"/>
              <w:spacing w:after="0" w:line="159" w:lineRule="exact"/>
              <w:rPr>
                <w:sz w:val="20"/>
                <w:szCs w:val="20"/>
                <w:color w:val="auto"/>
              </w:rPr>
            </w:pPr>
            <w:r>
              <w:rPr>
                <w:rFonts w:ascii="Arial" w:cs="Arial" w:eastAsia="Arial" w:hAnsi="Arial"/>
                <w:sz w:val="14"/>
                <w:szCs w:val="14"/>
                <w:color w:val="auto"/>
                <w:w w:val="88"/>
              </w:rPr>
              <w:t>September 30,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Derivative</w:t>
            </w:r>
          </w:p>
        </w:tc>
        <w:tc>
          <w:tcPr>
            <w:tcW w:w="4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5"/>
              </w:rPr>
              <w:t>Hedged item</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color w:val="auto"/>
                <w:w w:val="99"/>
              </w:rPr>
              <w:t>Derivative</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4"/>
          </w:tcPr>
          <w:p>
            <w:pPr>
              <w:jc w:val="center"/>
              <w:ind w:left="468"/>
              <w:spacing w:after="0" w:line="142" w:lineRule="exact"/>
              <w:rPr>
                <w:sz w:val="20"/>
                <w:szCs w:val="20"/>
                <w:color w:val="auto"/>
              </w:rPr>
            </w:pPr>
            <w:r>
              <w:rPr>
                <w:rFonts w:ascii="Arial" w:cs="Arial" w:eastAsia="Arial" w:hAnsi="Arial"/>
                <w:sz w:val="14"/>
                <w:szCs w:val="14"/>
                <w:color w:val="auto"/>
                <w:w w:val="87"/>
              </w:rPr>
              <w:t>(in thousands)</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0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42,587</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(40,355)</w:t>
            </w:r>
          </w:p>
        </w:tc>
        <w:tc>
          <w:tcPr>
            <w:tcW w:w="3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28,281</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(27,166)</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2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2,425</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813</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(1,532)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4,189</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(719)</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88"/>
              </w:rPr>
              <w:t>Amount of unrealized gain (loss) recognized</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4"/>
          </w:tcPr>
          <w:p>
            <w:pPr>
              <w:jc w:val="center"/>
              <w:ind w:right="420"/>
              <w:spacing w:after="0" w:line="131" w:lineRule="exact"/>
              <w:rPr>
                <w:sz w:val="20"/>
                <w:szCs w:val="20"/>
                <w:color w:val="auto"/>
              </w:rPr>
            </w:pPr>
            <w:r>
              <w:rPr>
                <w:rFonts w:ascii="Arial" w:cs="Arial" w:eastAsia="Arial" w:hAnsi="Arial"/>
                <w:sz w:val="14"/>
                <w:szCs w:val="14"/>
                <w:color w:val="auto"/>
                <w:w w:val="85"/>
              </w:rPr>
              <w:t>Nine months ended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3"/>
          </w:tcPr>
          <w:p>
            <w:pPr>
              <w:jc w:val="center"/>
              <w:ind w:right="99"/>
              <w:spacing w:after="0" w:line="131" w:lineRule="exact"/>
              <w:rPr>
                <w:sz w:val="20"/>
                <w:szCs w:val="20"/>
                <w:color w:val="auto"/>
              </w:rPr>
            </w:pPr>
            <w:r>
              <w:rPr>
                <w:rFonts w:ascii="Arial" w:cs="Arial" w:eastAsia="Arial" w:hAnsi="Arial"/>
                <w:sz w:val="14"/>
                <w:szCs w:val="14"/>
                <w:color w:val="auto"/>
                <w:w w:val="85"/>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4"/>
          </w:tcPr>
          <w:p>
            <w:pPr>
              <w:jc w:val="center"/>
              <w:ind w:right="420"/>
              <w:spacing w:after="0" w:line="159" w:lineRule="exact"/>
              <w:rPr>
                <w:sz w:val="20"/>
                <w:szCs w:val="20"/>
                <w:color w:val="auto"/>
              </w:rPr>
            </w:pPr>
            <w:r>
              <w:rPr>
                <w:rFonts w:ascii="Arial" w:cs="Arial" w:eastAsia="Arial" w:hAnsi="Arial"/>
                <w:sz w:val="14"/>
                <w:szCs w:val="14"/>
                <w:color w:val="auto"/>
                <w:w w:val="88"/>
              </w:rPr>
              <w:t>September 30, 2011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tcPr>
          <w:p>
            <w:pPr>
              <w:jc w:val="center"/>
              <w:ind w:right="280"/>
              <w:spacing w:after="0" w:line="159" w:lineRule="exact"/>
              <w:rPr>
                <w:sz w:val="20"/>
                <w:szCs w:val="20"/>
                <w:color w:val="auto"/>
              </w:rPr>
            </w:pPr>
            <w:r>
              <w:rPr>
                <w:rFonts w:ascii="Arial" w:cs="Arial" w:eastAsia="Arial" w:hAnsi="Arial"/>
                <w:sz w:val="14"/>
                <w:szCs w:val="14"/>
                <w:color w:val="auto"/>
                <w:w w:val="88"/>
              </w:rPr>
              <w:t>September 30,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Derivative</w:t>
            </w:r>
          </w:p>
        </w:tc>
        <w:tc>
          <w:tcPr>
            <w:tcW w:w="4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5"/>
              </w:rPr>
              <w:t>Hedged item</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color w:val="auto"/>
                <w:w w:val="99"/>
              </w:rPr>
              <w:t>Derivative</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4"/>
          </w:tcPr>
          <w:p>
            <w:pPr>
              <w:jc w:val="center"/>
              <w:ind w:left="468"/>
              <w:spacing w:after="0" w:line="142" w:lineRule="exact"/>
              <w:rPr>
                <w:sz w:val="20"/>
                <w:szCs w:val="20"/>
                <w:color w:val="auto"/>
              </w:rPr>
            </w:pPr>
            <w:r>
              <w:rPr>
                <w:rFonts w:ascii="Arial" w:cs="Arial" w:eastAsia="Arial" w:hAnsi="Arial"/>
                <w:sz w:val="14"/>
                <w:szCs w:val="14"/>
                <w:color w:val="auto"/>
                <w:w w:val="87"/>
              </w:rPr>
              <w:t>(in thousands)</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0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52,127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(49,452)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84,708</w:t>
            </w:r>
          </w:p>
        </w:tc>
        <w:tc>
          <w:tcPr>
            <w:tcW w:w="5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(80,827)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52,127</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(49,452)</w:t>
            </w:r>
          </w:p>
        </w:tc>
        <w:tc>
          <w:tcPr>
            <w:tcW w:w="3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84,205</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(80,324)</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3,901</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(305)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4,374</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(880)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0960"/>
          </w:cols>
          <w:pgMar w:left="240" w:top="459" w:right="6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$10 million and $17 million at September 30, 2011 and December 31, 2010, respectively. Changes in unrealized gains and losses are included in mortgage banking revenues and, in general, are realized in subsequent periods as the related loans are sold and commitments satisfied.</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aggregate fair value of derivative financial instruments in a net liability position at September 30, 2011 for which the Company was required to post collateral was $321 million. The fair value of collateral posted for such instruments was $285 million.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to the derivative financial instruments could demand immediate incremental collateralization on those instruments in a net liability position. The aggregate fair value of all derivative financial instruments with such credit-risk-related contingent features in a net liability position on September 30, 2011 was $105 million, for which the Company had posted collateral of $71 million in the normal course of business. If the credit-risk-related contingent features had been triggered on September 30, 2011, the maximum amount of additional collateral the Company would have been required to post to counterparties was $34 million.</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credit exposure with respect to the estimated fair value as of September 30, 2011 of interest rate swap agreements used for managing interest rate risk has been substantially mitigated through master netting arrangements with trading account interest rate contracts with the same counterparties as well as counterparty postings of $78 million of collateral with the Company. Trading account interest rate swap agreements entered into with customers are subject to the Company’s credit standards and often contain collateral provisions.</w:t>
      </w:r>
    </w:p>
    <w:p>
      <w:pPr>
        <w:spacing w:after="0" w:line="25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September 30, 2011 and December 31, 2010, the carrying values of the loans in the securitization trust were $214 million and $265 million, respectively. The outstanding principal amount of mortgage-backed securities issued by the qualified special purpose trust that was held by parties unrelated to M&amp;T at September 30, 2011 and December 31, 2010 was $33 million and $40 million, respectively. Because the transaction was non-recourse, the Company’s maximum exposure to loss as a result of its association with the trust at September 30, 2011 is limited to realizing the carrying value of the loans less the amount of the mortgage-backed securities held by third parties.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 continued</w:t>
      </w:r>
    </w:p>
    <w:p>
      <w:pPr>
        <w:spacing w:after="0" w:line="164"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September 30, 2011 and December 31, 2010,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capital securities described in note 5.</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invested as a limited partner in various real estate partnerships that collectively had total assets of approximately $1.5 billion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 billion at September 30, 2011 and December 31, 2010, respectively. Those partnerships generally construct or acquire properties for which the investing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 are eligible to receive certain federal income tax credits in accordance with government guidelines. Such investments may also provide tax deductible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to the partners. The partnership investments also assist the Company in achieving its community reinvestment initiatives. As a limited partner, there is no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recourse to the Company by creditors of the partnerships. However, the tax credits that result from the Company’s investments in such partnerships are generally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subject to recapture should a partnership fail to comply with the respective government regulations. The Company’s maximum exposure to loss of its investments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such partnerships was $238 million, including $50 million of unfunded commitments, at September 30, 2011 and $258 million, including $81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unfunded commitments, at December 31, 2010. The Company has not provided financial or other support to the partnerships that was not contractually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currently estimates that no material losses are probable as a result of the Company’s involvement with such entities.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provisions for variable interest entities, the Company, in its position as limited partner, does not direct the activities that most significantly impact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economic performance of the partnerships and therefore, the partnership entities are not included in the Company’s consolidated financial statements.</w:t>
      </w:r>
    </w:p>
    <w:p>
      <w:pPr>
        <w:spacing w:after="0" w:line="30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September 30, 2011.</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59" w:lineRule="exact"/>
        <w:rPr>
          <w:sz w:val="20"/>
          <w:szCs w:val="20"/>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90" w:lineRule="exact"/>
        <w:rPr>
          <w:rFonts w:ascii="Arial" w:cs="Arial" w:eastAsia="Arial" w:hAnsi="Arial"/>
          <w:sz w:val="18"/>
          <w:szCs w:val="18"/>
          <w:color w:val="auto"/>
        </w:rPr>
      </w:pPr>
    </w:p>
    <w:p>
      <w:pPr>
        <w:ind w:left="440" w:right="60" w:hanging="324"/>
        <w:spacing w:after="0" w:line="332" w:lineRule="auto"/>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4" w:lineRule="exact"/>
        <w:rPr>
          <w:rFonts w:ascii="Arial" w:cs="Arial" w:eastAsia="Arial" w:hAnsi="Arial"/>
          <w:sz w:val="16"/>
          <w:szCs w:val="16"/>
          <w:color w:val="auto"/>
        </w:rPr>
      </w:pPr>
    </w:p>
    <w:p>
      <w:pPr>
        <w:ind w:left="440" w:right="100" w:hanging="324"/>
        <w:spacing w:after="0" w:line="268"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w:t>
      </w:r>
    </w:p>
    <w:p>
      <w:pPr>
        <w:spacing w:after="0" w:line="38" w:lineRule="exact"/>
        <w:rPr>
          <w:sz w:val="20"/>
          <w:szCs w:val="20"/>
          <w:color w:val="auto"/>
        </w:rPr>
      </w:pPr>
    </w:p>
    <w:p>
      <w:pPr>
        <w:ind w:right="140" w:firstLine="8"/>
        <w:spacing w:after="0" w:line="295" w:lineRule="auto"/>
        <w:tabs>
          <w:tab w:leader="none" w:pos="1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Trading activity in privately issued mortgage-backed securities has been limited. The markets for such securities were generally characterized by a sharp reduction of non-agency mortgage-backed securities issuances, a significant reduction in trading volumes and wide bid-ask spreads.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GAAP provides guidance for estimating fair value when the volume and level of trading activity for an asset or liability have significantly decreased. The Company has concluded that there has been a significant decline in the volume and level of activity in the market for privately issued mortgage-backed securities. Therefore, the Company supplemented its determination of fair value for many of its privately issued mortgage-backed securities by obtaining pricing indications from two independent sources at September 30, 2011 and December 31, 2010.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privately issued residential mortgage-backed securities with an amortized cost basis of $1.3 billion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at September 30, 2011 and $1.5 billion at December 31, 2010.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further home price depreciation and loss rates. Differences between internal model valuations and external pricing indications were generally considered to be reflective of the lack of liquidity in the market for privately issued mortgage-backed securities given the nature of the cash flow modeling performed in the Company’s assessment of value. To determine the point within the range of potential values that was most representative of fair value for each of the bonds, the Company computed values based on judgmentally applied weightings of the internal model valuations and the indications obtained from the average of the two independent pricing sources. At September 30, 2011, weighted-average reliance on internal model pricing for the bonds modeled was 34% with a 66% average weighting placed on the values provided by the independent sources. The Company concluded its estimate of fair value for the $1.3 billion of privately issued residential mortgage-backed securities to approximate $1.1 billion, which implies a weighted-average market yield based on reasonably likely cash flows of 8.4%.</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Given the severe disruption in the credit markets and the wide disparity in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September 30, 2011 and December 31, 2010. The modeling techniques included discounting estimated cash flows using bond-specific assumptions about defaults, deferrals and prepayments of the trust preferred securities underlying each bond. The estimation of cash flows included assumptions as to future collateral defaults and related loss severities. The resulting cash flows were then discounted by reference to market yields observed in the single-name trust preferred securities market. At September 30, 2011, the total amortized cost and fair value of securities backed by trust preferred securities issued by financial institutions and other entities were $44 million and $51 million, respectively, and at December 31, 2010 were $95 million and $111 million, respectively. Privately issued mortgage-backed securities and securities backed by trust preferred securities issued by financial institutions and other entities constituted all of the available-for-sale investment securities classified as Level 3 valuations as of September 30, 2011 and December 31,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 servicing cash flows is also considered a significant unobservable input contributing to the Level 3 classification of commitments to originate real estate loans for sale.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The following tables present assets and liabilities at September 30, 2011 and December 31, 2010 measured at estimated fair value on a recurring basis: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4"/>
              <w:spacing w:after="0"/>
              <w:rPr>
                <w:sz w:val="20"/>
                <w:szCs w:val="20"/>
                <w:color w:val="auto"/>
              </w:rPr>
            </w:pPr>
            <w:r>
              <w:rPr>
                <w:rFonts w:ascii="Arial" w:cs="Arial" w:eastAsia="Arial" w:hAnsi="Arial"/>
                <w:sz w:val="14"/>
                <w:szCs w:val="14"/>
                <w:color w:val="auto"/>
                <w:w w:val="87"/>
              </w:rPr>
              <w:t>Fair value</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w w:val="81"/>
              </w:rPr>
              <w:t>measurements at</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September 30,</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54"/>
              <w:spacing w:after="0" w:line="159" w:lineRule="exact"/>
              <w:rPr>
                <w:sz w:val="20"/>
                <w:szCs w:val="20"/>
                <w:color w:val="auto"/>
              </w:rPr>
            </w:pPr>
            <w:r>
              <w:rPr>
                <w:rFonts w:ascii="Arial" w:cs="Arial" w:eastAsia="Arial" w:hAnsi="Arial"/>
                <w:sz w:val="14"/>
                <w:szCs w:val="14"/>
                <w:color w:val="auto"/>
                <w:w w:val="83"/>
              </w:rPr>
              <w:t>2011</w:t>
            </w:r>
          </w:p>
        </w:tc>
        <w:tc>
          <w:tcPr>
            <w:tcW w:w="40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0"/>
              </w:rPr>
              <w:t>Level 1 (a)</w:t>
            </w:r>
          </w:p>
        </w:tc>
        <w:tc>
          <w:tcPr>
            <w:tcW w:w="11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w w:val="99"/>
              </w:rPr>
              <w:t>Level 2 (a)</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605,557</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53,453</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552,104</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71,028</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46,792</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46,792</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3,877,038</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3,877,038</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1,215,078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1,215,078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16,829</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180,853</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180,853</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176,906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163,189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13,717</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5,635,878</w:t>
            </w:r>
          </w:p>
        </w:tc>
        <w:tc>
          <w:tcPr>
            <w:tcW w:w="4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163,189</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4,189,428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1,283,261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276,623</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276,623</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assets (b)</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157,061</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149,064</w:t>
            </w:r>
          </w:p>
        </w:tc>
        <w:tc>
          <w:tcPr>
            <w:tcW w:w="760" w:type="dxa"/>
            <w:vAlign w:val="bottom"/>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6,675,119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216,642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5,167,219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1,291,258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18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458,220</w:t>
            </w:r>
          </w:p>
        </w:tc>
        <w:tc>
          <w:tcPr>
            <w:tcW w:w="40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458,220</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vMerge w:val="continue"/>
          </w:tcPr>
          <w:p>
            <w:pPr>
              <w:spacing w:after="0"/>
              <w:rPr>
                <w:sz w:val="19"/>
                <w:szCs w:val="19"/>
                <w:color w:val="auto"/>
              </w:rPr>
            </w:pP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463,803</w:t>
            </w:r>
          </w:p>
        </w:tc>
        <w:tc>
          <w:tcPr>
            <w:tcW w:w="4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463,743</w:t>
            </w: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60" w:type="dxa"/>
            <w:vAlign w:val="bottom"/>
            <w:vMerge w:val="restart"/>
          </w:tcPr>
          <w:p>
            <w:pPr>
              <w:ind w:left="880"/>
              <w:spacing w:after="0"/>
              <w:rPr>
                <w:sz w:val="20"/>
                <w:szCs w:val="20"/>
                <w:color w:val="auto"/>
              </w:rPr>
            </w:pPr>
            <w:r>
              <w:rPr>
                <w:rFonts w:ascii="Arial" w:cs="Arial" w:eastAsia="Arial" w:hAnsi="Arial"/>
                <w:sz w:val="18"/>
                <w:szCs w:val="18"/>
                <w:color w:val="auto"/>
              </w:rPr>
              <w:t>- 42 -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4"/>
              <w:spacing w:after="0"/>
              <w:rPr>
                <w:sz w:val="20"/>
                <w:szCs w:val="20"/>
                <w:color w:val="auto"/>
              </w:rPr>
            </w:pPr>
            <w:r>
              <w:rPr>
                <w:rFonts w:ascii="Arial" w:cs="Arial" w:eastAsia="Arial" w:hAnsi="Arial"/>
                <w:sz w:val="14"/>
                <w:szCs w:val="14"/>
                <w:color w:val="auto"/>
                <w:w w:val="87"/>
              </w:rPr>
              <w:t>Fair value</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w w:val="81"/>
              </w:rPr>
              <w:t>measurements at</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December 31,</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54"/>
              <w:spacing w:after="0" w:line="159" w:lineRule="exact"/>
              <w:rPr>
                <w:sz w:val="20"/>
                <w:szCs w:val="20"/>
                <w:color w:val="auto"/>
              </w:rPr>
            </w:pPr>
            <w:r>
              <w:rPr>
                <w:rFonts w:ascii="Arial" w:cs="Arial" w:eastAsia="Arial" w:hAnsi="Arial"/>
                <w:sz w:val="14"/>
                <w:szCs w:val="14"/>
                <w:color w:val="auto"/>
                <w:w w:val="83"/>
              </w:rPr>
              <w:t>2010</w:t>
            </w:r>
          </w:p>
        </w:tc>
        <w:tc>
          <w:tcPr>
            <w:tcW w:w="40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0"/>
              </w:rPr>
              <w:t>Level 1 (a)</w:t>
            </w:r>
          </w:p>
        </w:tc>
        <w:tc>
          <w:tcPr>
            <w:tcW w:w="11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w w:val="99"/>
              </w:rPr>
              <w:t>Level 2 (a)</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523,834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53,032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470,802</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63,434</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60,425</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60,425</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3,306,241</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3,306,241</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1,435,561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1,435,561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22,407</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298,900</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298,900</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106,872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8,896</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5,413,492</w:t>
            </w:r>
          </w:p>
        </w:tc>
        <w:tc>
          <w:tcPr>
            <w:tcW w:w="4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106,872</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3,737,896</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1,568,724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544,567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544,567</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assets (b)</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114,666</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111,839</w:t>
            </w:r>
          </w:p>
        </w:tc>
        <w:tc>
          <w:tcPr>
            <w:tcW w:w="760" w:type="dxa"/>
            <w:vAlign w:val="bottom"/>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6,596,559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159,904</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4,865,104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1,571,551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14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333,222</w:t>
            </w:r>
          </w:p>
        </w:tc>
        <w:tc>
          <w:tcPr>
            <w:tcW w:w="40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333,222</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3,024</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336,829</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336,246</w:t>
            </w:r>
          </w:p>
        </w:tc>
        <w:tc>
          <w:tcPr>
            <w:tcW w:w="760" w:type="dxa"/>
            <w:vAlign w:val="bottom"/>
          </w:tcPr>
          <w:p>
            <w:pPr>
              <w:ind w:left="500"/>
              <w:spacing w:after="0"/>
              <w:rPr>
                <w:sz w:val="20"/>
                <w:szCs w:val="20"/>
                <w:color w:val="auto"/>
              </w:rPr>
            </w:pPr>
            <w:r>
              <w:rPr>
                <w:rFonts w:ascii="Arial" w:cs="Arial" w:eastAsia="Arial" w:hAnsi="Arial"/>
                <w:sz w:val="18"/>
                <w:szCs w:val="18"/>
                <w:color w:val="auto"/>
                <w:w w:val="79"/>
              </w:rPr>
              <w:t>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20" w:hanging="452"/>
        <w:spacing w:after="0" w:line="254" w:lineRule="auto"/>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and nine months ended September 30, 2011 and 2010.</w:t>
      </w:r>
    </w:p>
    <w:p>
      <w:pPr>
        <w:ind w:left="460" w:hanging="452"/>
        <w:spacing w:after="0" w:line="261" w:lineRule="auto"/>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4" w:lineRule="exact"/>
        <w:rPr>
          <w:rFonts w:ascii="Arial" w:cs="Arial" w:eastAsia="Arial" w:hAnsi="Arial"/>
          <w:sz w:val="18"/>
          <w:szCs w:val="18"/>
          <w:i w:val="1"/>
          <w:iCs w:val="1"/>
          <w:color w:val="auto"/>
        </w:rPr>
      </w:pPr>
    </w:p>
    <w:p>
      <w:pPr>
        <w:ind w:left="5620" w:hanging="96"/>
        <w:spacing w:after="0"/>
        <w:tabs>
          <w:tab w:leader="none" w:pos="5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2011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color w:val="auto"/>
                <w:w w:val="88"/>
              </w:rPr>
              <w:t>Investment securities available for sale</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760" w:type="dxa"/>
            <w:vAlign w:val="bottom"/>
            <w:gridSpan w:val="3"/>
          </w:tcPr>
          <w:p>
            <w:pPr>
              <w:jc w:val="center"/>
              <w:ind w:right="752"/>
              <w:spacing w:after="0" w:line="131" w:lineRule="exact"/>
              <w:rPr>
                <w:sz w:val="20"/>
                <w:szCs w:val="20"/>
                <w:color w:val="auto"/>
              </w:rPr>
            </w:pPr>
            <w:r>
              <w:rPr>
                <w:rFonts w:ascii="Arial" w:cs="Arial" w:eastAsia="Arial" w:hAnsi="Arial"/>
                <w:sz w:val="14"/>
                <w:szCs w:val="14"/>
                <w:color w:val="auto"/>
                <w:w w:val="87"/>
              </w:rPr>
              <w:t>Privately issued</w:t>
            </w:r>
          </w:p>
        </w:tc>
        <w:tc>
          <w:tcPr>
            <w:tcW w:w="1580" w:type="dxa"/>
            <w:vAlign w:val="bottom"/>
            <w:gridSpan w:val="3"/>
          </w:tcPr>
          <w:p>
            <w:pPr>
              <w:jc w:val="center"/>
              <w:ind w:right="640"/>
              <w:spacing w:after="0" w:line="131" w:lineRule="exact"/>
              <w:rPr>
                <w:sz w:val="20"/>
                <w:szCs w:val="20"/>
                <w:color w:val="auto"/>
              </w:rPr>
            </w:pPr>
            <w:r>
              <w:rPr>
                <w:rFonts w:ascii="Arial" w:cs="Arial" w:eastAsia="Arial" w:hAnsi="Arial"/>
                <w:sz w:val="14"/>
                <w:szCs w:val="14"/>
                <w:color w:val="auto"/>
                <w:w w:val="87"/>
              </w:rPr>
              <w:t>Privately issued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912"/>
              <w:spacing w:after="0" w:line="149" w:lineRule="exact"/>
              <w:rPr>
                <w:sz w:val="20"/>
                <w:szCs w:val="20"/>
                <w:color w:val="auto"/>
              </w:rPr>
            </w:pPr>
            <w:r>
              <w:rPr>
                <w:rFonts w:ascii="Arial" w:cs="Arial" w:eastAsia="Arial" w:hAnsi="Arial"/>
                <w:sz w:val="14"/>
                <w:szCs w:val="14"/>
                <w:color w:val="auto"/>
                <w:w w:val="87"/>
              </w:rPr>
              <w:t>residential</w:t>
            </w:r>
          </w:p>
        </w:tc>
        <w:tc>
          <w:tcPr>
            <w:tcW w:w="120" w:type="dxa"/>
            <w:vAlign w:val="bottom"/>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9"/>
              </w:rPr>
              <w:t>commercial</w:t>
            </w: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2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60" w:type="dxa"/>
            <w:vAlign w:val="bottom"/>
          </w:tcPr>
          <w:p>
            <w:pPr>
              <w:spacing w:after="0"/>
              <w:rPr>
                <w:sz w:val="12"/>
                <w:szCs w:val="12"/>
                <w:color w:val="auto"/>
              </w:rPr>
            </w:pPr>
          </w:p>
        </w:tc>
        <w:tc>
          <w:tcPr>
            <w:tcW w:w="9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debt</w:t>
            </w:r>
          </w:p>
        </w:tc>
        <w:tc>
          <w:tcPr>
            <w:tcW w:w="28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4"/>
              </w:rPr>
              <w:t>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892"/>
              <w:spacing w:after="0" w:line="159" w:lineRule="exact"/>
              <w:rPr>
                <w:sz w:val="20"/>
                <w:szCs w:val="20"/>
                <w:color w:val="auto"/>
              </w:rPr>
            </w:pPr>
            <w:r>
              <w:rPr>
                <w:rFonts w:ascii="Arial" w:cs="Arial" w:eastAsia="Arial" w:hAnsi="Arial"/>
                <w:sz w:val="14"/>
                <w:szCs w:val="14"/>
                <w:color w:val="auto"/>
                <w:w w:val="84"/>
              </w:rPr>
              <w:t>securities</w:t>
            </w:r>
          </w:p>
        </w:tc>
        <w:tc>
          <w:tcPr>
            <w:tcW w:w="120" w:type="dxa"/>
            <w:vAlign w:val="bottom"/>
          </w:tcPr>
          <w:p>
            <w:pPr>
              <w:spacing w:after="0"/>
              <w:rPr>
                <w:sz w:val="13"/>
                <w:szCs w:val="13"/>
                <w:color w:val="auto"/>
              </w:rPr>
            </w:pPr>
          </w:p>
        </w:tc>
        <w:tc>
          <w:tcPr>
            <w:tcW w:w="1460" w:type="dxa"/>
            <w:vAlign w:val="bottom"/>
            <w:gridSpan w:val="2"/>
          </w:tcPr>
          <w:p>
            <w:pPr>
              <w:jc w:val="center"/>
              <w:ind w:right="740"/>
              <w:spacing w:after="0" w:line="159" w:lineRule="exact"/>
              <w:rPr>
                <w:sz w:val="20"/>
                <w:szCs w:val="20"/>
                <w:color w:val="auto"/>
              </w:rPr>
            </w:pPr>
            <w:r>
              <w:rPr>
                <w:rFonts w:ascii="Arial" w:cs="Arial" w:eastAsia="Arial" w:hAnsi="Arial"/>
                <w:sz w:val="14"/>
                <w:szCs w:val="14"/>
                <w:color w:val="auto"/>
                <w:w w:val="87"/>
              </w:rPr>
              <w:t>securities</w:t>
            </w:r>
          </w:p>
        </w:tc>
        <w:tc>
          <w:tcPr>
            <w:tcW w:w="1100" w:type="dxa"/>
            <w:vAlign w:val="bottom"/>
            <w:gridSpan w:val="3"/>
          </w:tcPr>
          <w:p>
            <w:pPr>
              <w:jc w:val="right"/>
              <w:ind w:right="420"/>
              <w:spacing w:after="0" w:line="159" w:lineRule="exact"/>
              <w:rPr>
                <w:sz w:val="20"/>
                <w:szCs w:val="20"/>
                <w:color w:val="auto"/>
              </w:rPr>
            </w:pPr>
            <w:r>
              <w:rPr>
                <w:rFonts w:ascii="Arial" w:cs="Arial" w:eastAsia="Arial" w:hAnsi="Arial"/>
                <w:sz w:val="14"/>
                <w:szCs w:val="14"/>
                <w:color w:val="auto"/>
                <w:w w:val="98"/>
              </w:rPr>
              <w:t>obligations</w:t>
            </w:r>
          </w:p>
        </w:tc>
        <w:tc>
          <w:tcPr>
            <w:tcW w:w="280" w:type="dxa"/>
            <w:vAlign w:val="bottom"/>
          </w:tcPr>
          <w:p>
            <w:pPr>
              <w:spacing w:after="0"/>
              <w:rPr>
                <w:sz w:val="13"/>
                <w:szCs w:val="13"/>
                <w:color w:val="auto"/>
              </w:rPr>
            </w:pPr>
          </w:p>
        </w:tc>
        <w:tc>
          <w:tcPr>
            <w:tcW w:w="92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w w:val="97"/>
              </w:rPr>
              <w:t>1,306,202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17,233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61,601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13,171</w:t>
            </w:r>
          </w:p>
        </w:tc>
        <w:tc>
          <w:tcPr>
            <w:tcW w:w="0" w:type="dxa"/>
            <w:vAlign w:val="bottom"/>
          </w:tcPr>
          <w:p>
            <w:pPr>
              <w:spacing w:after="0"/>
              <w:rPr>
                <w:sz w:val="1"/>
                <w:szCs w:val="1"/>
                <w:color w:val="auto"/>
              </w:rPr>
            </w:pPr>
          </w:p>
        </w:tc>
      </w:tr>
      <w:tr>
        <w:trPr>
          <w:trHeight w:val="322"/>
        </w:trPr>
        <w:tc>
          <w:tcPr>
            <w:tcW w:w="486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(9,642)(a)</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13,565(b)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1620" w:type="dxa"/>
            <w:vAlign w:val="bottom"/>
            <w:gridSpan w:val="2"/>
          </w:tcPr>
          <w:p>
            <w:pPr>
              <w:jc w:val="right"/>
              <w:ind w:right="692"/>
              <w:spacing w:after="0"/>
              <w:rPr>
                <w:sz w:val="20"/>
                <w:szCs w:val="20"/>
                <w:color w:val="auto"/>
              </w:rPr>
            </w:pPr>
            <w:r>
              <w:rPr>
                <w:rFonts w:ascii="Arial" w:cs="Arial" w:eastAsia="Arial" w:hAnsi="Arial"/>
                <w:sz w:val="18"/>
                <w:szCs w:val="18"/>
                <w:color w:val="auto"/>
              </w:rPr>
              <w:t>(4,030)</w:t>
            </w: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1,581</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(9,482)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(77,452)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(1,985)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40" w:type="dxa"/>
            <w:vAlign w:val="bottom"/>
          </w:tcPr>
          <w:p>
            <w:pPr>
              <w:spacing w:after="0"/>
              <w:rPr>
                <w:sz w:val="18"/>
                <w:szCs w:val="18"/>
                <w:color w:val="auto"/>
              </w:rPr>
            </w:pPr>
          </w:p>
        </w:tc>
        <w:tc>
          <w:tcPr>
            <w:tcW w:w="162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(18,799)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w w:val="97"/>
              </w:rPr>
              <w:t>1,215,078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16,829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51,354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(losses) included in earnings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related to assets still held at September 30, 2011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92"/>
              <w:spacing w:after="0"/>
              <w:rPr>
                <w:sz w:val="20"/>
                <w:szCs w:val="20"/>
                <w:color w:val="auto"/>
              </w:rPr>
            </w:pPr>
            <w:r>
              <w:rPr>
                <w:rFonts w:ascii="Arial" w:cs="Arial" w:eastAsia="Arial" w:hAnsi="Arial"/>
                <w:sz w:val="18"/>
                <w:szCs w:val="18"/>
                <w:color w:val="auto"/>
              </w:rPr>
              <w:t>(9,642)(a)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5,926(b)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2010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w w:val="88"/>
              </w:rPr>
              <w:t>Investment securities available for sale</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gridSpan w:val="3"/>
          </w:tcPr>
          <w:p>
            <w:pPr>
              <w:jc w:val="center"/>
              <w:ind w:right="452"/>
              <w:spacing w:after="0" w:line="131" w:lineRule="exact"/>
              <w:rPr>
                <w:sz w:val="20"/>
                <w:szCs w:val="20"/>
                <w:color w:val="auto"/>
              </w:rPr>
            </w:pPr>
            <w:r>
              <w:rPr>
                <w:rFonts w:ascii="Arial" w:cs="Arial" w:eastAsia="Arial" w:hAnsi="Arial"/>
                <w:sz w:val="14"/>
                <w:szCs w:val="14"/>
                <w:color w:val="auto"/>
                <w:w w:val="87"/>
              </w:rPr>
              <w:t>Privately issued</w:t>
            </w:r>
          </w:p>
        </w:tc>
        <w:tc>
          <w:tcPr>
            <w:tcW w:w="280" w:type="dxa"/>
            <w:vAlign w:val="bottom"/>
          </w:tcPr>
          <w:p>
            <w:pPr>
              <w:spacing w:after="0"/>
              <w:rPr>
                <w:sz w:val="11"/>
                <w:szCs w:val="11"/>
                <w:color w:val="auto"/>
              </w:rPr>
            </w:pPr>
          </w:p>
        </w:tc>
        <w:tc>
          <w:tcPr>
            <w:tcW w:w="1460" w:type="dxa"/>
            <w:vAlign w:val="bottom"/>
            <w:gridSpan w:val="3"/>
          </w:tcPr>
          <w:p>
            <w:pPr>
              <w:jc w:val="center"/>
              <w:ind w:right="520"/>
              <w:spacing w:after="0" w:line="131" w:lineRule="exact"/>
              <w:rPr>
                <w:sz w:val="20"/>
                <w:szCs w:val="20"/>
                <w:color w:val="auto"/>
              </w:rPr>
            </w:pPr>
            <w:r>
              <w:rPr>
                <w:rFonts w:ascii="Arial" w:cs="Arial" w:eastAsia="Arial" w:hAnsi="Arial"/>
                <w:sz w:val="14"/>
                <w:szCs w:val="14"/>
                <w:color w:val="auto"/>
                <w:w w:val="87"/>
              </w:rPr>
              <w:t>Privately issued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612"/>
              <w:spacing w:after="0" w:line="149" w:lineRule="exact"/>
              <w:rPr>
                <w:sz w:val="20"/>
                <w:szCs w:val="20"/>
                <w:color w:val="auto"/>
              </w:rPr>
            </w:pPr>
            <w:r>
              <w:rPr>
                <w:rFonts w:ascii="Arial" w:cs="Arial" w:eastAsia="Arial" w:hAnsi="Arial"/>
                <w:sz w:val="14"/>
                <w:szCs w:val="14"/>
                <w:color w:val="auto"/>
                <w:w w:val="87"/>
              </w:rPr>
              <w:t>residential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6"/>
              </w:rPr>
              <w:t>commercial</w:t>
            </w:r>
          </w:p>
        </w:tc>
        <w:tc>
          <w:tcPr>
            <w:tcW w:w="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2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28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debt</w:t>
            </w:r>
          </w:p>
        </w:tc>
        <w:tc>
          <w:tcPr>
            <w:tcW w:w="260" w:type="dxa"/>
            <w:vAlign w:val="bottom"/>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97"/>
              </w:rPr>
              <w:t>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592"/>
              <w:spacing w:after="0" w:line="159" w:lineRule="exact"/>
              <w:rPr>
                <w:sz w:val="20"/>
                <w:szCs w:val="20"/>
                <w:color w:val="auto"/>
              </w:rPr>
            </w:pPr>
            <w:r>
              <w:rPr>
                <w:rFonts w:ascii="Arial" w:cs="Arial" w:eastAsia="Arial" w:hAnsi="Arial"/>
                <w:sz w:val="14"/>
                <w:szCs w:val="14"/>
                <w:color w:val="auto"/>
                <w:w w:val="84"/>
              </w:rPr>
              <w:t>securities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640"/>
              <w:spacing w:after="0" w:line="159" w:lineRule="exact"/>
              <w:rPr>
                <w:sz w:val="20"/>
                <w:szCs w:val="20"/>
                <w:color w:val="auto"/>
              </w:rPr>
            </w:pPr>
            <w:r>
              <w:rPr>
                <w:rFonts w:ascii="Arial" w:cs="Arial" w:eastAsia="Arial" w:hAnsi="Arial"/>
                <w:sz w:val="14"/>
                <w:szCs w:val="14"/>
                <w:color w:val="auto"/>
                <w:w w:val="84"/>
              </w:rPr>
              <w:t>securities</w:t>
            </w:r>
          </w:p>
        </w:tc>
        <w:tc>
          <w:tcPr>
            <w:tcW w:w="80" w:type="dxa"/>
            <w:vAlign w:val="bottom"/>
          </w:tcPr>
          <w:p>
            <w:pPr>
              <w:spacing w:after="0"/>
              <w:rPr>
                <w:sz w:val="13"/>
                <w:szCs w:val="13"/>
                <w:color w:val="auto"/>
              </w:rPr>
            </w:pPr>
          </w:p>
        </w:tc>
        <w:tc>
          <w:tcPr>
            <w:tcW w:w="1300" w:type="dxa"/>
            <w:vAlign w:val="bottom"/>
            <w:gridSpan w:val="3"/>
          </w:tcPr>
          <w:p>
            <w:pPr>
              <w:jc w:val="right"/>
              <w:ind w:right="620"/>
              <w:spacing w:after="0" w:line="159" w:lineRule="exact"/>
              <w:rPr>
                <w:sz w:val="20"/>
                <w:szCs w:val="20"/>
                <w:color w:val="auto"/>
              </w:rPr>
            </w:pPr>
            <w:r>
              <w:rPr>
                <w:rFonts w:ascii="Arial" w:cs="Arial" w:eastAsia="Arial" w:hAnsi="Arial"/>
                <w:sz w:val="14"/>
                <w:szCs w:val="14"/>
                <w:color w:val="auto"/>
                <w:w w:val="98"/>
              </w:rPr>
              <w:t>obligations</w:t>
            </w:r>
          </w:p>
        </w:tc>
        <w:tc>
          <w:tcPr>
            <w:tcW w:w="260" w:type="dxa"/>
            <w:vAlign w:val="bottom"/>
          </w:tcPr>
          <w:p>
            <w:pPr>
              <w:spacing w:after="0"/>
              <w:rPr>
                <w:sz w:val="13"/>
                <w:szCs w:val="13"/>
                <w:color w:val="auto"/>
              </w:rPr>
            </w:pPr>
          </w:p>
        </w:tc>
        <w:tc>
          <w:tcPr>
            <w:tcW w:w="92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2010</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1,598,033</w:t>
            </w: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26,643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118,040</w:t>
            </w: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20,843</w:t>
            </w:r>
          </w:p>
        </w:tc>
        <w:tc>
          <w:tcPr>
            <w:tcW w:w="0" w:type="dxa"/>
            <w:vAlign w:val="bottom"/>
          </w:tcPr>
          <w:p>
            <w:pPr>
              <w:spacing w:after="0"/>
              <w:rPr>
                <w:sz w:val="1"/>
                <w:szCs w:val="1"/>
                <w:color w:val="auto"/>
              </w:rPr>
            </w:pPr>
          </w:p>
        </w:tc>
      </w:tr>
      <w:tr>
        <w:trPr>
          <w:trHeight w:val="322"/>
        </w:trPr>
        <w:tc>
          <w:tcPr>
            <w:tcW w:w="438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(6,675)(a)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(2,857)(a)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38,399(b)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37,634</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(5,592)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(105,624)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(32,825)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2010</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1,523,368</w:t>
            </w: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23,480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109,342</w:t>
            </w: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26,417</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w w:val="94"/>
              </w:rPr>
              <w:t>Changes in unrealized gains (losses) included in earnings</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3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related to assets still held at September 30, 2010</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(6,675)(a)</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(2,857)(a)</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23,910(b)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156"/>
              <w:spacing w:after="0"/>
              <w:rPr>
                <w:sz w:val="20"/>
                <w:szCs w:val="20"/>
                <w:color w:val="auto"/>
              </w:rPr>
            </w:pPr>
            <w:r>
              <w:rPr>
                <w:rFonts w:ascii="Arial" w:cs="Arial" w:eastAsia="Arial" w:hAnsi="Arial"/>
                <w:sz w:val="18"/>
                <w:szCs w:val="18"/>
                <w:color w:val="auto"/>
              </w:rPr>
              <w:t>- 44 -</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2011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color w:val="auto"/>
                <w:w w:val="88"/>
              </w:rPr>
              <w:t>Investment securities available for sale</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760" w:type="dxa"/>
            <w:vAlign w:val="bottom"/>
            <w:gridSpan w:val="3"/>
          </w:tcPr>
          <w:p>
            <w:pPr>
              <w:jc w:val="center"/>
              <w:ind w:right="752"/>
              <w:spacing w:after="0" w:line="131" w:lineRule="exact"/>
              <w:rPr>
                <w:sz w:val="20"/>
                <w:szCs w:val="20"/>
                <w:color w:val="auto"/>
              </w:rPr>
            </w:pPr>
            <w:r>
              <w:rPr>
                <w:rFonts w:ascii="Arial" w:cs="Arial" w:eastAsia="Arial" w:hAnsi="Arial"/>
                <w:sz w:val="14"/>
                <w:szCs w:val="14"/>
                <w:color w:val="auto"/>
                <w:w w:val="87"/>
              </w:rPr>
              <w:t>Privately issued</w:t>
            </w:r>
          </w:p>
        </w:tc>
        <w:tc>
          <w:tcPr>
            <w:tcW w:w="1580" w:type="dxa"/>
            <w:vAlign w:val="bottom"/>
            <w:gridSpan w:val="3"/>
          </w:tcPr>
          <w:p>
            <w:pPr>
              <w:jc w:val="center"/>
              <w:ind w:right="640"/>
              <w:spacing w:after="0" w:line="131" w:lineRule="exact"/>
              <w:rPr>
                <w:sz w:val="20"/>
                <w:szCs w:val="20"/>
                <w:color w:val="auto"/>
              </w:rPr>
            </w:pPr>
            <w:r>
              <w:rPr>
                <w:rFonts w:ascii="Arial" w:cs="Arial" w:eastAsia="Arial" w:hAnsi="Arial"/>
                <w:sz w:val="14"/>
                <w:szCs w:val="14"/>
                <w:color w:val="auto"/>
                <w:w w:val="87"/>
              </w:rPr>
              <w:t>Privately issued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912"/>
              <w:spacing w:after="0" w:line="149" w:lineRule="exact"/>
              <w:rPr>
                <w:sz w:val="20"/>
                <w:szCs w:val="20"/>
                <w:color w:val="auto"/>
              </w:rPr>
            </w:pPr>
            <w:r>
              <w:rPr>
                <w:rFonts w:ascii="Arial" w:cs="Arial" w:eastAsia="Arial" w:hAnsi="Arial"/>
                <w:sz w:val="14"/>
                <w:szCs w:val="14"/>
                <w:color w:val="auto"/>
                <w:w w:val="87"/>
              </w:rPr>
              <w:t>residential</w:t>
            </w:r>
          </w:p>
        </w:tc>
        <w:tc>
          <w:tcPr>
            <w:tcW w:w="120" w:type="dxa"/>
            <w:vAlign w:val="bottom"/>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9"/>
              </w:rPr>
              <w:t>commercial</w:t>
            </w: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2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0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debt</w:t>
            </w:r>
          </w:p>
        </w:tc>
        <w:tc>
          <w:tcPr>
            <w:tcW w:w="28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w w:val="76"/>
              </w:rPr>
              <w:t>and</w:t>
            </w: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892"/>
              <w:spacing w:after="0" w:line="159" w:lineRule="exact"/>
              <w:rPr>
                <w:sz w:val="20"/>
                <w:szCs w:val="20"/>
                <w:color w:val="auto"/>
              </w:rPr>
            </w:pPr>
            <w:r>
              <w:rPr>
                <w:rFonts w:ascii="Arial" w:cs="Arial" w:eastAsia="Arial" w:hAnsi="Arial"/>
                <w:sz w:val="14"/>
                <w:szCs w:val="14"/>
                <w:color w:val="auto"/>
                <w:w w:val="84"/>
              </w:rPr>
              <w:t>securities</w:t>
            </w:r>
          </w:p>
        </w:tc>
        <w:tc>
          <w:tcPr>
            <w:tcW w:w="120" w:type="dxa"/>
            <w:vAlign w:val="bottom"/>
          </w:tcPr>
          <w:p>
            <w:pPr>
              <w:spacing w:after="0"/>
              <w:rPr>
                <w:sz w:val="13"/>
                <w:szCs w:val="13"/>
                <w:color w:val="auto"/>
              </w:rPr>
            </w:pPr>
          </w:p>
        </w:tc>
        <w:tc>
          <w:tcPr>
            <w:tcW w:w="1460" w:type="dxa"/>
            <w:vAlign w:val="bottom"/>
            <w:gridSpan w:val="2"/>
          </w:tcPr>
          <w:p>
            <w:pPr>
              <w:jc w:val="center"/>
              <w:ind w:right="740"/>
              <w:spacing w:after="0" w:line="159" w:lineRule="exact"/>
              <w:rPr>
                <w:sz w:val="20"/>
                <w:szCs w:val="20"/>
                <w:color w:val="auto"/>
              </w:rPr>
            </w:pPr>
            <w:r>
              <w:rPr>
                <w:rFonts w:ascii="Arial" w:cs="Arial" w:eastAsia="Arial" w:hAnsi="Arial"/>
                <w:sz w:val="14"/>
                <w:szCs w:val="14"/>
                <w:color w:val="auto"/>
                <w:w w:val="87"/>
              </w:rPr>
              <w:t>securities</w:t>
            </w:r>
          </w:p>
        </w:tc>
        <w:tc>
          <w:tcPr>
            <w:tcW w:w="1100" w:type="dxa"/>
            <w:vAlign w:val="bottom"/>
            <w:gridSpan w:val="3"/>
          </w:tcPr>
          <w:p>
            <w:pPr>
              <w:jc w:val="right"/>
              <w:ind w:right="420"/>
              <w:spacing w:after="0" w:line="159" w:lineRule="exact"/>
              <w:rPr>
                <w:sz w:val="20"/>
                <w:szCs w:val="20"/>
                <w:color w:val="auto"/>
              </w:rPr>
            </w:pPr>
            <w:r>
              <w:rPr>
                <w:rFonts w:ascii="Arial" w:cs="Arial" w:eastAsia="Arial" w:hAnsi="Arial"/>
                <w:sz w:val="14"/>
                <w:szCs w:val="14"/>
                <w:color w:val="auto"/>
                <w:w w:val="98"/>
              </w:rPr>
              <w:t>obligations</w:t>
            </w:r>
          </w:p>
        </w:tc>
        <w:tc>
          <w:tcPr>
            <w:tcW w:w="280" w:type="dxa"/>
            <w:vAlign w:val="bottom"/>
          </w:tcPr>
          <w:p>
            <w:pPr>
              <w:spacing w:after="0"/>
              <w:rPr>
                <w:sz w:val="13"/>
                <w:szCs w:val="13"/>
                <w:color w:val="auto"/>
              </w:rPr>
            </w:pPr>
          </w:p>
        </w:tc>
        <w:tc>
          <w:tcPr>
            <w:tcW w:w="92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w w:val="97"/>
              </w:rPr>
              <w:t>1,435,561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22,407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110,756</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2,244</w:t>
            </w:r>
          </w:p>
        </w:tc>
        <w:tc>
          <w:tcPr>
            <w:tcW w:w="0" w:type="dxa"/>
            <w:vAlign w:val="bottom"/>
          </w:tcPr>
          <w:p>
            <w:pPr>
              <w:spacing w:after="0"/>
              <w:rPr>
                <w:sz w:val="1"/>
                <w:szCs w:val="1"/>
                <w:color w:val="auto"/>
              </w:rPr>
            </w:pPr>
          </w:p>
        </w:tc>
      </w:tr>
      <w:tr>
        <w:trPr>
          <w:trHeight w:val="323"/>
        </w:trPr>
        <w:tc>
          <w:tcPr>
            <w:tcW w:w="486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(41,713)(a)</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56,809(b)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1620" w:type="dxa"/>
            <w:vAlign w:val="bottom"/>
            <w:gridSpan w:val="2"/>
          </w:tcPr>
          <w:p>
            <w:pPr>
              <w:jc w:val="right"/>
              <w:ind w:right="752"/>
              <w:spacing w:after="0"/>
              <w:rPr>
                <w:sz w:val="20"/>
                <w:szCs w:val="20"/>
                <w:color w:val="auto"/>
              </w:rPr>
            </w:pPr>
            <w:r>
              <w:rPr>
                <w:rFonts w:ascii="Arial" w:cs="Arial" w:eastAsia="Arial" w:hAnsi="Arial"/>
                <w:sz w:val="18"/>
                <w:szCs w:val="18"/>
                <w:color w:val="auto"/>
              </w:rPr>
              <w:t>95,526</w:t>
            </w: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(2,276)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50,790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8"/>
                <w:szCs w:val="18"/>
                <w:color w:val="auto"/>
              </w:rPr>
            </w:pPr>
          </w:p>
        </w:tc>
        <w:tc>
          <w:tcPr>
            <w:tcW w:w="162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(105,643)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(274,296)</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40" w:type="dxa"/>
            <w:vAlign w:val="bottom"/>
          </w:tcPr>
          <w:p>
            <w:pPr>
              <w:spacing w:after="0"/>
              <w:rPr>
                <w:sz w:val="18"/>
                <w:szCs w:val="18"/>
                <w:color w:val="auto"/>
              </w:rPr>
            </w:pPr>
          </w:p>
        </w:tc>
        <w:tc>
          <w:tcPr>
            <w:tcW w:w="162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(51,116)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w w:val="97"/>
              </w:rPr>
              <w:t>1,215,078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16,829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51,354</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7,937</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(losses) included in earnings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related to assets still held at September 30, 2011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92"/>
              <w:spacing w:after="0"/>
              <w:rPr>
                <w:sz w:val="20"/>
                <w:szCs w:val="20"/>
                <w:color w:val="auto"/>
              </w:rPr>
            </w:pPr>
            <w:r>
              <w:rPr>
                <w:rFonts w:ascii="Arial" w:cs="Arial" w:eastAsia="Arial" w:hAnsi="Arial"/>
                <w:sz w:val="18"/>
                <w:szCs w:val="18"/>
                <w:color w:val="auto"/>
              </w:rPr>
              <w:t>(41,713)(a)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7,932(b)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2010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color w:val="auto"/>
              </w:rPr>
              <w:t>Investment securities available for sale</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320" w:type="dxa"/>
            <w:vAlign w:val="bottom"/>
            <w:gridSpan w:val="3"/>
          </w:tcPr>
          <w:p>
            <w:pPr>
              <w:jc w:val="center"/>
              <w:ind w:right="380"/>
              <w:spacing w:after="0" w:line="131" w:lineRule="exact"/>
              <w:rPr>
                <w:sz w:val="20"/>
                <w:szCs w:val="20"/>
                <w:color w:val="auto"/>
              </w:rPr>
            </w:pPr>
            <w:r>
              <w:rPr>
                <w:rFonts w:ascii="Arial" w:cs="Arial" w:eastAsia="Arial" w:hAnsi="Arial"/>
                <w:sz w:val="14"/>
                <w:szCs w:val="14"/>
                <w:color w:val="auto"/>
                <w:w w:val="87"/>
              </w:rPr>
              <w:t>Privately issued</w:t>
            </w:r>
          </w:p>
        </w:tc>
        <w:tc>
          <w:tcPr>
            <w:tcW w:w="300" w:type="dxa"/>
            <w:vAlign w:val="bottom"/>
          </w:tcPr>
          <w:p>
            <w:pPr>
              <w:spacing w:after="0"/>
              <w:rPr>
                <w:sz w:val="11"/>
                <w:szCs w:val="11"/>
                <w:color w:val="auto"/>
              </w:rPr>
            </w:pPr>
          </w:p>
        </w:tc>
        <w:tc>
          <w:tcPr>
            <w:tcW w:w="1020" w:type="dxa"/>
            <w:vAlign w:val="bottom"/>
            <w:gridSpan w:val="3"/>
          </w:tcPr>
          <w:p>
            <w:pPr>
              <w:jc w:val="center"/>
              <w:ind w:right="80"/>
              <w:spacing w:after="0" w:line="131" w:lineRule="exact"/>
              <w:rPr>
                <w:sz w:val="20"/>
                <w:szCs w:val="20"/>
                <w:color w:val="auto"/>
              </w:rPr>
            </w:pPr>
            <w:r>
              <w:rPr>
                <w:rFonts w:ascii="Arial" w:cs="Arial" w:eastAsia="Arial" w:hAnsi="Arial"/>
                <w:sz w:val="14"/>
                <w:szCs w:val="14"/>
                <w:color w:val="auto"/>
                <w:w w:val="87"/>
              </w:rPr>
              <w:t>Privately issued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7"/>
              </w:rPr>
              <w:t>residential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commercial</w:t>
            </w:r>
          </w:p>
        </w:tc>
        <w:tc>
          <w:tcPr>
            <w:tcW w:w="4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100" w:type="dxa"/>
            <w:vAlign w:val="bottom"/>
          </w:tcPr>
          <w:p>
            <w:pPr>
              <w:spacing w:after="0"/>
              <w:rPr>
                <w:sz w:val="12"/>
                <w:szCs w:val="12"/>
                <w:color w:val="auto"/>
              </w:rPr>
            </w:pPr>
          </w:p>
        </w:tc>
        <w:tc>
          <w:tcPr>
            <w:tcW w:w="6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5"/>
              </w:rPr>
              <w:t>Other</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3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w w:val="91"/>
              </w:rPr>
              <w:t>mortgage-backed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debt</w:t>
            </w:r>
          </w:p>
        </w:tc>
        <w:tc>
          <w:tcPr>
            <w:tcW w:w="100" w:type="dxa"/>
            <w:vAlign w:val="bottom"/>
          </w:tcPr>
          <w:p>
            <w:pPr>
              <w:spacing w:after="0"/>
              <w:rPr>
                <w:sz w:val="12"/>
                <w:szCs w:val="12"/>
                <w:color w:val="auto"/>
              </w:rPr>
            </w:pPr>
          </w:p>
        </w:tc>
        <w:tc>
          <w:tcPr>
            <w:tcW w:w="6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0"/>
              </w:rPr>
              <w:t>debt</w:t>
            </w:r>
          </w:p>
        </w:tc>
        <w:tc>
          <w:tcPr>
            <w:tcW w:w="200" w:type="dxa"/>
            <w:vAlign w:val="bottom"/>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97"/>
              </w:rPr>
              <w:t>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540"/>
              <w:spacing w:after="0" w:line="159" w:lineRule="exact"/>
              <w:rPr>
                <w:sz w:val="20"/>
                <w:szCs w:val="20"/>
                <w:color w:val="auto"/>
              </w:rPr>
            </w:pPr>
            <w:r>
              <w:rPr>
                <w:rFonts w:ascii="Arial" w:cs="Arial" w:eastAsia="Arial" w:hAnsi="Arial"/>
                <w:sz w:val="14"/>
                <w:szCs w:val="14"/>
                <w:color w:val="auto"/>
                <w:w w:val="87"/>
              </w:rPr>
              <w:t>securities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4"/>
              </w:rPr>
              <w:t>securities</w:t>
            </w:r>
          </w:p>
        </w:tc>
        <w:tc>
          <w:tcPr>
            <w:tcW w:w="400" w:type="dxa"/>
            <w:vAlign w:val="bottom"/>
          </w:tcPr>
          <w:p>
            <w:pPr>
              <w:spacing w:after="0"/>
              <w:rPr>
                <w:sz w:val="13"/>
                <w:szCs w:val="13"/>
                <w:color w:val="auto"/>
              </w:rPr>
            </w:pPr>
          </w:p>
        </w:tc>
        <w:tc>
          <w:tcPr>
            <w:tcW w:w="1440" w:type="dxa"/>
            <w:vAlign w:val="bottom"/>
            <w:gridSpan w:val="3"/>
          </w:tcPr>
          <w:p>
            <w:pPr>
              <w:jc w:val="right"/>
              <w:ind w:right="760"/>
              <w:spacing w:after="0" w:line="159" w:lineRule="exact"/>
              <w:rPr>
                <w:sz w:val="20"/>
                <w:szCs w:val="20"/>
                <w:color w:val="auto"/>
              </w:rPr>
            </w:pPr>
            <w:r>
              <w:rPr>
                <w:rFonts w:ascii="Arial" w:cs="Arial" w:eastAsia="Arial" w:hAnsi="Arial"/>
                <w:sz w:val="14"/>
                <w:szCs w:val="14"/>
                <w:color w:val="auto"/>
                <w:w w:val="98"/>
              </w:rPr>
              <w:t>obligations</w:t>
            </w:r>
          </w:p>
        </w:tc>
        <w:tc>
          <w:tcPr>
            <w:tcW w:w="780" w:type="dxa"/>
            <w:vAlign w:val="bottom"/>
            <w:gridSpan w:val="3"/>
          </w:tcPr>
          <w:p>
            <w:pPr>
              <w:spacing w:after="0" w:line="159" w:lineRule="exact"/>
              <w:rPr>
                <w:sz w:val="20"/>
                <w:szCs w:val="20"/>
                <w:color w:val="auto"/>
              </w:rPr>
            </w:pPr>
            <w:r>
              <w:rPr>
                <w:rFonts w:ascii="Arial" w:cs="Arial" w:eastAsia="Arial" w:hAnsi="Arial"/>
                <w:sz w:val="14"/>
                <w:szCs w:val="14"/>
                <w:color w:val="auto"/>
              </w:rPr>
              <w:t>securities</w:t>
            </w:r>
          </w:p>
        </w:tc>
        <w:tc>
          <w:tcPr>
            <w:tcW w:w="200" w:type="dxa"/>
            <w:vAlign w:val="bottom"/>
          </w:tcPr>
          <w:p>
            <w:pPr>
              <w:spacing w:after="0"/>
              <w:rPr>
                <w:sz w:val="13"/>
                <w:szCs w:val="13"/>
                <w:color w:val="auto"/>
              </w:rPr>
            </w:pPr>
          </w:p>
        </w:tc>
        <w:tc>
          <w:tcPr>
            <w:tcW w:w="92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2,064,904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25,166</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115,346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23"/>
        </w:trPr>
        <w:tc>
          <w:tcPr>
            <w:tcW w:w="504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(41,018)(a)</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(5,703)(a)</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86,249(b)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152,882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(298,152)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(355,248)(d)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(59,752)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1,523,368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23,480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109,342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26,417</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w w:val="96"/>
              </w:rPr>
              <w:t>Changes in unrealized gains (losses) included in earnings related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0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to assets still held at September 30, 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(41,018)(a)</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(5,703)(a)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26,326(b)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other-than-temporary impairment loss in the consolidated statement of income or as gain (loss) on bank investment securities.</w:t>
      </w:r>
    </w:p>
    <w:p>
      <w:pPr>
        <w:spacing w:after="0" w:line="180" w:lineRule="exact"/>
        <w:rPr>
          <w:rFonts w:ascii="Arial" w:cs="Arial" w:eastAsia="Arial" w:hAnsi="Arial"/>
          <w:sz w:val="16"/>
          <w:szCs w:val="16"/>
          <w:i w:val="1"/>
          <w:iCs w:val="1"/>
          <w:color w:val="auto"/>
        </w:rPr>
      </w:pPr>
    </w:p>
    <w:p>
      <w:pPr>
        <w:ind w:left="5620" w:hanging="96"/>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8" w:lineRule="exact"/>
        <w:rPr>
          <w:rFonts w:ascii="Arial" w:cs="Arial" w:eastAsia="Arial" w:hAnsi="Arial"/>
          <w:sz w:val="16"/>
          <w:szCs w:val="16"/>
          <w:i w:val="1"/>
          <w:iCs w:val="1"/>
          <w:color w:val="auto"/>
        </w:rPr>
      </w:pPr>
    </w:p>
    <w:p>
      <w:pPr>
        <w:ind w:left="460" w:right="140" w:hanging="452"/>
        <w:spacing w:after="0" w:line="250" w:lineRule="auto"/>
        <w:tabs>
          <w:tab w:leader="none" w:pos="46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460" w:right="460" w:hanging="452"/>
        <w:spacing w:after="0" w:line="323" w:lineRule="auto"/>
        <w:tabs>
          <w:tab w:leader="none" w:pos="46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As a result of the Company’s adoption of new accounting rules governing the consolidation of variable interest entities, effective January 1, 2010 the Company derecognized $355 million of available-for-sale investment securities previously classified as Level 3 measurements.</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9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Estimates of fair value used for other collateral supporting commercial loans generally are based on assumptions not observable in the marketplace and therefore such valuations have been classified as Level 3. Loans subject to nonrecurring fair value measurement were $506 million at September 30, 2011, ($355 million and $151 million of which were classified as Level 2 and Level 3, respectively) and $625 million at September 30, 2010 ($373 million and $252 million of which were classified as Level 2 and Level 3, respectively). Changes in fair value recognized for partial charge-offs of loans and loan impairment reserves on loans held by the Company on September 30, 2011 were decreases of $38 million and $137 million for the three and nine months ended September 30, 2011, respectively, and on loans held by the Company on September 30, 2010 were decreases of $61 million and $154 million for the three months and nine months ended September 30, 2010,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$53 million and $31 million at September 30, 2011 and September 30, 2010, respectively. Reflecting further declines in residential real estate and residential development projects subsequent to foreclosure, changes in fair value recognized for those foreclosed assets held by the Company at September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30, 2011 were $6 million and $17 million for the three and nine months ended September 30, 2011, respectively. Changes in fair value recognized for those foreclosed assets held by the Company at September 30, 2010 were $7 million and $8 million for the three and nine months ended September 30, 2010,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September 30, 2011, $13 million of capitalized servicing rights had a carrying value equal to their fair value. Changes in fair value of capitalized servicing rights recognized for the three and nine months ended September 30, 2011 each reflected a decrease of $1 million. At September 30, 2010, $33 million of capitalized servicing rights had a carrying value equal to their fair value. Changes in fair value of capitalized servicing rights recognized for the three and nine months ended September 30, 2010 reflected decreases of $3 million and $6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carrying amounts and calculated estimates of fair value for financial instrument assets (liabilities) are presented in the following table: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640"/>
              <w:spacing w:after="0"/>
              <w:rPr>
                <w:sz w:val="20"/>
                <w:szCs w:val="20"/>
                <w:color w:val="auto"/>
              </w:rPr>
            </w:pPr>
            <w:r>
              <w:rPr>
                <w:rFonts w:ascii="Arial" w:cs="Arial" w:eastAsia="Arial" w:hAnsi="Arial"/>
                <w:sz w:val="14"/>
                <w:szCs w:val="14"/>
                <w:color w:val="auto"/>
              </w:rPr>
              <w:t>September 30, 2011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360"/>
              <w:spacing w:after="0" w:line="131" w:lineRule="exact"/>
              <w:rPr>
                <w:sz w:val="20"/>
                <w:szCs w:val="20"/>
                <w:color w:val="auto"/>
              </w:rPr>
            </w:pPr>
            <w:r>
              <w:rPr>
                <w:rFonts w:ascii="Arial" w:cs="Arial" w:eastAsia="Arial" w:hAnsi="Arial"/>
                <w:sz w:val="14"/>
                <w:szCs w:val="14"/>
                <w:color w:val="auto"/>
              </w:rPr>
              <w:t>Carrying</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5"/>
              <w:spacing w:after="0" w:line="131" w:lineRule="exact"/>
              <w:rPr>
                <w:sz w:val="20"/>
                <w:szCs w:val="20"/>
                <w:color w:val="auto"/>
              </w:rPr>
            </w:pPr>
            <w:r>
              <w:rPr>
                <w:rFonts w:ascii="Arial" w:cs="Arial" w:eastAsia="Arial" w:hAnsi="Arial"/>
                <w:sz w:val="14"/>
                <w:szCs w:val="14"/>
                <w:color w:val="auto"/>
                <w:w w:val="99"/>
              </w:rPr>
              <w:t>Calculated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20"/>
              <w:spacing w:after="0" w:line="131" w:lineRule="exact"/>
              <w:rPr>
                <w:sz w:val="20"/>
                <w:szCs w:val="20"/>
                <w:color w:val="auto"/>
              </w:rPr>
            </w:pPr>
            <w:r>
              <w:rPr>
                <w:rFonts w:ascii="Arial" w:cs="Arial" w:eastAsia="Arial" w:hAnsi="Arial"/>
                <w:sz w:val="14"/>
                <w:szCs w:val="14"/>
                <w:color w:val="auto"/>
              </w:rPr>
              <w:t>Carrying</w:t>
            </w: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4"/>
              <w:spacing w:after="0" w:line="131" w:lineRule="exact"/>
              <w:rPr>
                <w:sz w:val="20"/>
                <w:szCs w:val="20"/>
                <w:color w:val="auto"/>
              </w:rPr>
            </w:pPr>
            <w:r>
              <w:rPr>
                <w:rFonts w:ascii="Arial" w:cs="Arial" w:eastAsia="Arial" w:hAnsi="Arial"/>
                <w:sz w:val="14"/>
                <w:szCs w:val="14"/>
                <w:color w:val="auto"/>
                <w:w w:val="96"/>
              </w:rPr>
              <w:t>Calculated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estimate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3"/>
                <w:szCs w:val="13"/>
                <w:color w:val="auto"/>
              </w:rPr>
            </w:pPr>
          </w:p>
        </w:tc>
        <w:tc>
          <w:tcPr>
            <w:tcW w:w="9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estimate</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6"/>
          </w:tcPr>
          <w:p>
            <w:pPr>
              <w:jc w:val="right"/>
              <w:ind w:right="8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1,354,057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1,354,057</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933,755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933,755</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2,226,779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2,226,779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101,222</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605,557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605,557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523,834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523,834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7,173,797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7,109,175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7,150,540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7,051,454</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15,218,502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15,013,979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13,390,610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13,135,569</w:t>
            </w: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23,961,306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23,671,716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21,183,161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20,840,346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7,065,451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6,927,276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5,928,056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5,699,028</w:t>
            </w: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12,156,005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11,913,880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11,488,555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11,178,583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(908,525)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(902,941)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1300"/>
              <w:spacing w:after="0"/>
              <w:rPr>
                <w:sz w:val="20"/>
                <w:szCs w:val="20"/>
                <w:color w:val="auto"/>
              </w:rPr>
            </w:pPr>
            <w:r>
              <w:rPr>
                <w:rFonts w:ascii="Arial" w:cs="Arial" w:eastAsia="Arial" w:hAnsi="Arial"/>
                <w:sz w:val="18"/>
                <w:szCs w:val="18"/>
                <w:color w:val="auto"/>
              </w:rPr>
              <w:t>Loans and leases, net</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57,492,739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57,526,851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51,087,441</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50,853,526</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231,553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202,182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202,182</w:t>
            </w:r>
          </w:p>
        </w:tc>
        <w:tc>
          <w:tcPr>
            <w:tcW w:w="0" w:type="dxa"/>
            <w:vAlign w:val="bottom"/>
          </w:tcPr>
          <w:p>
            <w:pPr>
              <w:spacing w:after="0"/>
              <w:rPr>
                <w:sz w:val="1"/>
                <w:szCs w:val="1"/>
                <w:color w:val="auto"/>
              </w:rPr>
            </w:pPr>
          </w:p>
        </w:tc>
      </w:tr>
      <w:tr>
        <w:trPr>
          <w:trHeight w:val="323"/>
        </w:trPr>
        <w:tc>
          <w:tcPr>
            <w:tcW w:w="60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(19,637,491)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(19,637,491)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(14,557,568)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(14,557,568)</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(32,552,528)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(32,552,528)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(27,824,630)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(27,824,630)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(6,777,499)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(6,805,449)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(5,817,170)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(5,865,779)</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(514,871)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(514,871)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(1,605,916)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(1,605,916)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(694,398)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(694,398)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(947,432)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(947,432)</w:t>
            </w: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(6,748,857)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(6,854,853)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(7,840,151)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(7,937,397)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(71,954)</w:t>
            </w:r>
          </w:p>
        </w:tc>
        <w:tc>
          <w:tcPr>
            <w:tcW w:w="0" w:type="dxa"/>
            <w:vAlign w:val="bottom"/>
          </w:tcPr>
          <w:p>
            <w:pPr>
              <w:spacing w:after="0"/>
              <w:rPr>
                <w:sz w:val="1"/>
                <w:szCs w:val="1"/>
                <w:color w:val="auto"/>
              </w:rPr>
            </w:pPr>
          </w:p>
        </w:tc>
      </w:tr>
      <w:tr>
        <w:trPr>
          <w:trHeight w:val="222"/>
        </w:trPr>
        <w:tc>
          <w:tcPr>
            <w:tcW w:w="6000" w:type="dxa"/>
            <w:vAlign w:val="bottom"/>
          </w:tcPr>
          <w:p>
            <w:pPr>
              <w:ind w:left="4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(458,220)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(458,220)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(333,222)</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(333,222)</w:t>
            </w:r>
          </w:p>
        </w:tc>
        <w:tc>
          <w:tcPr>
            <w:tcW w:w="0" w:type="dxa"/>
            <w:vAlign w:val="bottom"/>
          </w:tcPr>
          <w:p>
            <w:pPr>
              <w:spacing w:after="0"/>
              <w:rPr>
                <w:sz w:val="1"/>
                <w:szCs w:val="1"/>
                <w:color w:val="auto"/>
              </w:rPr>
            </w:pPr>
          </w:p>
        </w:tc>
      </w:tr>
      <w:tr>
        <w:trPr>
          <w:trHeight w:val="102"/>
        </w:trPr>
        <w:tc>
          <w:tcPr>
            <w:tcW w:w="6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7,937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7,937</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12,178</w:t>
            </w:r>
          </w:p>
        </w:tc>
        <w:tc>
          <w:tcPr>
            <w:tcW w:w="0" w:type="dxa"/>
            <w:vAlign w:val="bottom"/>
          </w:tcPr>
          <w:p>
            <w:pPr>
              <w:spacing w:after="0"/>
              <w:rPr>
                <w:sz w:val="1"/>
                <w:szCs w:val="1"/>
                <w:color w:val="auto"/>
              </w:rPr>
            </w:pPr>
          </w:p>
        </w:tc>
      </w:tr>
      <w:tr>
        <w:trPr>
          <w:trHeight w:val="216"/>
        </w:trPr>
        <w:tc>
          <w:tcPr>
            <w:tcW w:w="6000" w:type="dxa"/>
            <w:vAlign w:val="bottom"/>
          </w:tcPr>
          <w:p>
            <w:pPr>
              <w:ind w:left="88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(98,520)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(98,520)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(74,426)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(74,426)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1"/>
              </w:rPr>
              <w:t>Interest rate swap agreements used for interest rate risk management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96,637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 interest-bearing deposits at banks, short-term borrowings, accrued interest receivable and accrued interest payable</w:t>
      </w:r>
    </w:p>
    <w:p>
      <w:pPr>
        <w:spacing w:after="0" w:line="11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300"/>
          </w:cols>
          <w:pgMar w:left="24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9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estimated fair value of interest rate swap agreements used for interest rate risk management represents the amount the Company would have expected to receive or pay to terminate such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20"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- 49 -</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228"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jc w:val="right"/>
              <w:ind w:right="252"/>
              <w:spacing w:after="0"/>
              <w:rPr>
                <w:sz w:val="20"/>
                <w:szCs w:val="20"/>
                <w:color w:val="auto"/>
              </w:rPr>
            </w:pPr>
            <w:r>
              <w:rPr>
                <w:rFonts w:ascii="Arial" w:cs="Arial" w:eastAsia="Arial" w:hAnsi="Arial"/>
                <w:sz w:val="14"/>
                <w:szCs w:val="14"/>
                <w:color w:val="auto"/>
                <w:w w:val="89"/>
              </w:rPr>
              <w:t>September 30,</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520" w:type="dxa"/>
            <w:vAlign w:val="bottom"/>
            <w:gridSpan w:val="2"/>
          </w:tcPr>
          <w:p>
            <w:pPr>
              <w:jc w:val="right"/>
              <w:ind w:right="512"/>
              <w:spacing w:after="0" w:line="159" w:lineRule="exact"/>
              <w:rPr>
                <w:sz w:val="20"/>
                <w:szCs w:val="20"/>
                <w:color w:val="auto"/>
              </w:rPr>
            </w:pPr>
            <w:r>
              <w:rPr>
                <w:rFonts w:ascii="Arial" w:cs="Arial" w:eastAsia="Arial" w:hAnsi="Arial"/>
                <w:sz w:val="14"/>
                <w:szCs w:val="14"/>
                <w:color w:val="auto"/>
              </w:rPr>
              <w:t>2011</w:t>
            </w:r>
          </w:p>
        </w:tc>
        <w:tc>
          <w:tcPr>
            <w:tcW w:w="1020" w:type="dxa"/>
            <w:vAlign w:val="bottom"/>
          </w:tcPr>
          <w:p>
            <w:pPr>
              <w:jc w:val="right"/>
              <w:ind w:right="176"/>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80" w:type="dxa"/>
            <w:vAlign w:val="bottom"/>
            <w:tcBorders>
              <w:top w:val="single" w:sz="8" w:color="auto"/>
            </w:tcBorders>
            <w:gridSpan w:val="2"/>
          </w:tcPr>
          <w:p>
            <w:pPr>
              <w:jc w:val="right"/>
              <w:ind w:right="61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Home equity lines of credit</w:t>
            </w:r>
          </w:p>
        </w:tc>
        <w:tc>
          <w:tcPr>
            <w:tcW w:w="2520" w:type="dxa"/>
            <w:vAlign w:val="bottom"/>
            <w:gridSpan w:val="2"/>
          </w:tcPr>
          <w:p>
            <w:pPr>
              <w:jc w:val="right"/>
              <w:ind w:right="192"/>
              <w:spacing w:after="0"/>
              <w:rPr>
                <w:sz w:val="20"/>
                <w:szCs w:val="20"/>
                <w:color w:val="auto"/>
              </w:rPr>
            </w:pPr>
            <w:r>
              <w:rPr>
                <w:rFonts w:ascii="Arial" w:cs="Arial" w:eastAsia="Arial" w:hAnsi="Arial"/>
                <w:sz w:val="18"/>
                <w:szCs w:val="18"/>
                <w:color w:val="auto"/>
              </w:rPr>
              <w:t>$ 6,428,783</w:t>
            </w:r>
          </w:p>
        </w:tc>
        <w:tc>
          <w:tcPr>
            <w:tcW w:w="1020" w:type="dxa"/>
            <w:vAlign w:val="bottom"/>
          </w:tcPr>
          <w:p>
            <w:pPr>
              <w:jc w:val="right"/>
              <w:spacing w:after="0"/>
              <w:rPr>
                <w:sz w:val="20"/>
                <w:szCs w:val="20"/>
                <w:color w:val="auto"/>
              </w:rPr>
            </w:pPr>
            <w:r>
              <w:rPr>
                <w:rFonts w:ascii="Arial" w:cs="Arial" w:eastAsia="Arial" w:hAnsi="Arial"/>
                <w:sz w:val="18"/>
                <w:szCs w:val="18"/>
                <w:color w:val="auto"/>
              </w:rPr>
              <w:t>6,281,366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real estate loans to be sold</w:t>
            </w:r>
          </w:p>
        </w:tc>
        <w:tc>
          <w:tcPr>
            <w:tcW w:w="25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55,622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 commercial real estate and construction</w:t>
            </w:r>
          </w:p>
        </w:tc>
        <w:tc>
          <w:tcPr>
            <w:tcW w:w="2520" w:type="dxa"/>
            <w:vAlign w:val="bottom"/>
            <w:gridSpan w:val="2"/>
          </w:tcPr>
          <w:p>
            <w:pPr>
              <w:jc w:val="right"/>
              <w:ind w:right="192"/>
              <w:spacing w:after="0"/>
              <w:rPr>
                <w:sz w:val="20"/>
                <w:szCs w:val="20"/>
                <w:color w:val="auto"/>
              </w:rPr>
            </w:pPr>
            <w:r>
              <w:rPr>
                <w:rFonts w:ascii="Arial" w:cs="Arial" w:eastAsia="Arial" w:hAnsi="Arial"/>
                <w:sz w:val="18"/>
                <w:szCs w:val="18"/>
                <w:color w:val="auto"/>
              </w:rPr>
              <w:t>2,978,229</w:t>
            </w:r>
          </w:p>
        </w:tc>
        <w:tc>
          <w:tcPr>
            <w:tcW w:w="1020" w:type="dxa"/>
            <w:vAlign w:val="bottom"/>
          </w:tcPr>
          <w:p>
            <w:pPr>
              <w:jc w:val="right"/>
              <w:spacing w:after="0"/>
              <w:rPr>
                <w:sz w:val="20"/>
                <w:szCs w:val="20"/>
                <w:color w:val="auto"/>
              </w:rPr>
            </w:pPr>
            <w:r>
              <w:rPr>
                <w:rFonts w:ascii="Arial" w:cs="Arial" w:eastAsia="Arial" w:hAnsi="Arial"/>
                <w:sz w:val="18"/>
                <w:szCs w:val="18"/>
                <w:color w:val="auto"/>
              </w:rPr>
              <w:t>1,672,006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real estate loans to be sold</w:t>
            </w:r>
          </w:p>
        </w:tc>
        <w:tc>
          <w:tcPr>
            <w:tcW w:w="25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227,178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 residential real estate</w:t>
            </w:r>
          </w:p>
        </w:tc>
        <w:tc>
          <w:tcPr>
            <w:tcW w:w="2520" w:type="dxa"/>
            <w:vAlign w:val="bottom"/>
            <w:gridSpan w:val="2"/>
          </w:tcPr>
          <w:p>
            <w:pPr>
              <w:jc w:val="right"/>
              <w:ind w:right="192"/>
              <w:spacing w:after="0"/>
              <w:rPr>
                <w:sz w:val="20"/>
                <w:szCs w:val="20"/>
                <w:color w:val="auto"/>
              </w:rPr>
            </w:pPr>
            <w:r>
              <w:rPr>
                <w:rFonts w:ascii="Arial" w:cs="Arial" w:eastAsia="Arial" w:hAnsi="Arial"/>
                <w:sz w:val="18"/>
                <w:szCs w:val="18"/>
                <w:color w:val="auto"/>
              </w:rPr>
              <w:t>199,734</w:t>
            </w:r>
          </w:p>
        </w:tc>
        <w:tc>
          <w:tcPr>
            <w:tcW w:w="1020" w:type="dxa"/>
            <w:vAlign w:val="bottom"/>
          </w:tcPr>
          <w:p>
            <w:pPr>
              <w:jc w:val="right"/>
              <w:spacing w:after="0"/>
              <w:rPr>
                <w:sz w:val="20"/>
                <w:szCs w:val="20"/>
                <w:color w:val="auto"/>
              </w:rPr>
            </w:pPr>
            <w:r>
              <w:rPr>
                <w:rFonts w:ascii="Arial" w:cs="Arial" w:eastAsia="Arial" w:hAnsi="Arial"/>
                <w:sz w:val="18"/>
                <w:szCs w:val="18"/>
                <w:color w:val="auto"/>
              </w:rPr>
              <w:t>151,111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and other</w:t>
            </w:r>
          </w:p>
        </w:tc>
        <w:tc>
          <w:tcPr>
            <w:tcW w:w="25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10,967,112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2520" w:type="dxa"/>
            <w:vAlign w:val="bottom"/>
            <w:gridSpan w:val="2"/>
          </w:tcPr>
          <w:p>
            <w:pPr>
              <w:jc w:val="right"/>
              <w:ind w:right="192"/>
              <w:spacing w:after="0"/>
              <w:rPr>
                <w:sz w:val="20"/>
                <w:szCs w:val="20"/>
                <w:color w:val="auto"/>
              </w:rPr>
            </w:pPr>
            <w:r>
              <w:rPr>
                <w:rFonts w:ascii="Arial" w:cs="Arial" w:eastAsia="Arial" w:hAnsi="Arial"/>
                <w:sz w:val="18"/>
                <w:szCs w:val="18"/>
                <w:color w:val="auto"/>
              </w:rPr>
              <w:t>3,878,609</w:t>
            </w:r>
          </w:p>
        </w:tc>
        <w:tc>
          <w:tcPr>
            <w:tcW w:w="1020" w:type="dxa"/>
            <w:vAlign w:val="bottom"/>
          </w:tcPr>
          <w:p>
            <w:pPr>
              <w:jc w:val="right"/>
              <w:spacing w:after="0"/>
              <w:rPr>
                <w:sz w:val="20"/>
                <w:szCs w:val="20"/>
                <w:color w:val="auto"/>
              </w:rPr>
            </w:pPr>
            <w:r>
              <w:rPr>
                <w:rFonts w:ascii="Arial" w:cs="Arial" w:eastAsia="Arial" w:hAnsi="Arial"/>
                <w:sz w:val="18"/>
                <w:szCs w:val="18"/>
                <w:color w:val="auto"/>
              </w:rPr>
              <w:t>3,917,318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5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41,567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2520" w:type="dxa"/>
            <w:vAlign w:val="bottom"/>
            <w:gridSpan w:val="2"/>
          </w:tcPr>
          <w:p>
            <w:pPr>
              <w:jc w:val="right"/>
              <w:ind w:right="192"/>
              <w:spacing w:after="0"/>
              <w:rPr>
                <w:sz w:val="20"/>
                <w:szCs w:val="20"/>
                <w:color w:val="auto"/>
              </w:rPr>
            </w:pPr>
            <w:r>
              <w:rPr>
                <w:rFonts w:ascii="Arial" w:cs="Arial" w:eastAsia="Arial" w:hAnsi="Arial"/>
                <w:sz w:val="18"/>
                <w:szCs w:val="18"/>
                <w:color w:val="auto"/>
              </w:rPr>
              <w:t>2,045,661</w:t>
            </w:r>
          </w:p>
        </w:tc>
        <w:tc>
          <w:tcPr>
            <w:tcW w:w="1020" w:type="dxa"/>
            <w:vAlign w:val="bottom"/>
          </w:tcPr>
          <w:p>
            <w:pPr>
              <w:jc w:val="right"/>
              <w:spacing w:after="0"/>
              <w:rPr>
                <w:sz w:val="20"/>
                <w:szCs w:val="20"/>
                <w:color w:val="auto"/>
              </w:rPr>
            </w:pPr>
            <w:r>
              <w:rPr>
                <w:rFonts w:ascii="Arial" w:cs="Arial" w:eastAsia="Arial" w:hAnsi="Arial"/>
                <w:sz w:val="18"/>
                <w:szCs w:val="18"/>
                <w:color w:val="auto"/>
              </w:rPr>
              <w:t>1,609,944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5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445,207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$1.8 billion and $1.6 billion at September 30, 2011 and December 31, 2010, respectively.</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$77 million at September 30, 2011. Assets of subsidiaries providing reinsurance that are available to satisfy claims totaled approximately $50 million at September 30, 2011. The amounts noted above are not necessarily indicative of losses which may ultimately be incurred. Such losses are expected to be substantially less because most loans are repaid by borrowers in accordance with the original loan terms. Management believes any reinsurance losses that may be payable by the Company will not be material to the Company’s consolidated financial position.</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September 30, 2011, management believes that any remaining liability arising out of the Company’s obligation to loan purchasers is not material to the Company’s consolidated financial position.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35"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financial information of the Company’s segments was compiled utilizing the accounting policies described in note 22 to the Company’s consolidated financial statements as of and for the year ended December 31, 2010.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2010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Information about the Company’s segments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center"/>
              <w:ind w:left="365"/>
              <w:spacing w:after="0"/>
              <w:rPr>
                <w:sz w:val="20"/>
                <w:szCs w:val="20"/>
                <w:color w:val="auto"/>
              </w:rPr>
            </w:pPr>
            <w:r>
              <w:rPr>
                <w:rFonts w:ascii="Arial" w:cs="Arial" w:eastAsia="Arial" w:hAnsi="Arial"/>
                <w:sz w:val="14"/>
                <w:szCs w:val="14"/>
                <w:color w:val="auto"/>
                <w:w w:val="85"/>
              </w:rPr>
              <w:t>Three months ended September 30</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292"/>
              <w:spacing w:after="0" w:line="131" w:lineRule="exact"/>
              <w:rPr>
                <w:sz w:val="20"/>
                <w:szCs w:val="20"/>
                <w:color w:val="auto"/>
              </w:rPr>
            </w:pPr>
            <w:r>
              <w:rPr>
                <w:rFonts w:ascii="Arial" w:cs="Arial" w:eastAsia="Arial" w:hAnsi="Arial"/>
                <w:sz w:val="14"/>
                <w:szCs w:val="14"/>
                <w:color w:val="auto"/>
              </w:rPr>
              <w:t>Inter-</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240"/>
              <w:spacing w:after="0" w:line="131" w:lineRule="exact"/>
              <w:rPr>
                <w:sz w:val="20"/>
                <w:szCs w:val="20"/>
                <w:color w:val="auto"/>
              </w:rPr>
            </w:pPr>
            <w:r>
              <w:rPr>
                <w:rFonts w:ascii="Arial" w:cs="Arial" w:eastAsia="Arial" w:hAnsi="Arial"/>
                <w:sz w:val="14"/>
                <w:szCs w:val="14"/>
                <w:color w:val="auto"/>
                <w:w w:val="91"/>
              </w:rPr>
              <w:t>Inter-</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89"/>
              </w:rPr>
              <w:t>Total</w:t>
            </w:r>
          </w:p>
        </w:tc>
        <w:tc>
          <w:tcPr>
            <w:tcW w:w="200" w:type="dxa"/>
            <w:vAlign w:val="bottom"/>
          </w:tcPr>
          <w:p>
            <w:pPr>
              <w:spacing w:after="0"/>
              <w:rPr>
                <w:sz w:val="12"/>
                <w:szCs w:val="12"/>
                <w:color w:val="auto"/>
              </w:rPr>
            </w:pP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income</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Total</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1"/>
              </w:rPr>
              <w:t>segment</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income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revenues(a)</w:t>
            </w:r>
          </w:p>
        </w:tc>
        <w:tc>
          <w:tcPr>
            <w:tcW w:w="200" w:type="dxa"/>
            <w:vAlign w:val="bottom"/>
          </w:tcPr>
          <w:p>
            <w:pPr>
              <w:spacing w:after="0"/>
              <w:rPr>
                <w:sz w:val="13"/>
                <w:szCs w:val="13"/>
                <w:color w:val="auto"/>
              </w:rPr>
            </w:pPr>
          </w:p>
        </w:tc>
        <w:tc>
          <w:tcPr>
            <w:tcW w:w="8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revenues</w:t>
            </w:r>
          </w:p>
        </w:tc>
        <w:tc>
          <w:tcPr>
            <w:tcW w:w="8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(loss)</w:t>
            </w:r>
          </w:p>
        </w:tc>
        <w:tc>
          <w:tcPr>
            <w:tcW w:w="9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2"/>
              </w:rPr>
              <w:t>revenues(a)</w:t>
            </w:r>
          </w:p>
        </w:tc>
        <w:tc>
          <w:tcPr>
            <w:tcW w:w="8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revenues</w:t>
            </w:r>
          </w:p>
        </w:tc>
        <w:tc>
          <w:tcPr>
            <w:tcW w:w="74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7"/>
              </w:rPr>
              <w:t>(loss)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4"/>
          </w:tcPr>
          <w:p>
            <w:pPr>
              <w:jc w:val="center"/>
              <w:ind w:right="360"/>
              <w:spacing w:after="0"/>
              <w:rPr>
                <w:sz w:val="20"/>
                <w:szCs w:val="20"/>
                <w:color w:val="auto"/>
              </w:rPr>
            </w:pPr>
            <w:r>
              <w:rPr>
                <w:rFonts w:ascii="Arial" w:cs="Arial" w:eastAsia="Arial" w:hAnsi="Arial"/>
                <w:sz w:val="14"/>
                <w:szCs w:val="14"/>
                <w:color w:val="auto"/>
                <w:w w:val="87"/>
              </w:rPr>
              <w:t>(in thousands)</w:t>
            </w: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8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110,627</w:t>
            </w:r>
          </w:p>
        </w:tc>
        <w:tc>
          <w:tcPr>
            <w:tcW w:w="10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957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31,237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103,475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Commercial Banking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230,023</w:t>
            </w:r>
          </w:p>
        </w:tc>
        <w:tc>
          <w:tcPr>
            <w:tcW w:w="1020" w:type="dxa"/>
            <w:vAlign w:val="bottom"/>
            <w:gridSpan w:val="3"/>
          </w:tcPr>
          <w:p>
            <w:pPr>
              <w:jc w:val="right"/>
              <w:ind w:right="152"/>
              <w:spacing w:after="0"/>
              <w:rPr>
                <w:sz w:val="20"/>
                <w:szCs w:val="20"/>
                <w:color w:val="auto"/>
              </w:rPr>
            </w:pPr>
            <w:r>
              <w:rPr>
                <w:rFonts w:ascii="Arial" w:cs="Arial" w:eastAsia="Arial" w:hAnsi="Arial"/>
                <w:sz w:val="18"/>
                <w:szCs w:val="18"/>
                <w:color w:val="auto"/>
              </w:rPr>
              <w:t>1,318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93,783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199,139</w:t>
            </w:r>
          </w:p>
        </w:tc>
        <w:tc>
          <w:tcPr>
            <w:tcW w:w="60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152,878</w:t>
            </w:r>
          </w:p>
        </w:tc>
        <w:tc>
          <w:tcPr>
            <w:tcW w:w="10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410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65,566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118,666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16,437</w:t>
            </w:r>
          </w:p>
        </w:tc>
        <w:tc>
          <w:tcPr>
            <w:tcW w:w="1020" w:type="dxa"/>
            <w:vAlign w:val="bottom"/>
            <w:gridSpan w:val="3"/>
          </w:tcPr>
          <w:p>
            <w:pPr>
              <w:jc w:val="right"/>
              <w:ind w:right="92"/>
              <w:spacing w:after="0"/>
              <w:rPr>
                <w:sz w:val="20"/>
                <w:szCs w:val="20"/>
                <w:color w:val="auto"/>
              </w:rPr>
            </w:pPr>
            <w:r>
              <w:rPr>
                <w:rFonts w:ascii="Arial" w:cs="Arial" w:eastAsia="Arial" w:hAnsi="Arial"/>
                <w:sz w:val="18"/>
                <w:szCs w:val="18"/>
                <w:color w:val="auto"/>
              </w:rPr>
              <w:t>(3,968)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2,077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12,493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(2,733)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67,757</w:t>
            </w:r>
          </w:p>
        </w:tc>
        <w:tc>
          <w:tcPr>
            <w:tcW w:w="10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25,012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73,744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Retail Banking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314,113</w:t>
            </w:r>
          </w:p>
        </w:tc>
        <w:tc>
          <w:tcPr>
            <w:tcW w:w="1020" w:type="dxa"/>
            <w:vAlign w:val="bottom"/>
            <w:gridSpan w:val="3"/>
          </w:tcPr>
          <w:p>
            <w:pPr>
              <w:jc w:val="right"/>
              <w:ind w:right="152"/>
              <w:spacing w:after="0"/>
              <w:rPr>
                <w:sz w:val="20"/>
                <w:szCs w:val="20"/>
                <w:color w:val="auto"/>
              </w:rPr>
            </w:pPr>
            <w:r>
              <w:rPr>
                <w:rFonts w:ascii="Arial" w:cs="Arial" w:eastAsia="Arial" w:hAnsi="Arial"/>
                <w:sz w:val="18"/>
                <w:szCs w:val="18"/>
                <w:color w:val="auto"/>
              </w:rPr>
              <w:t>2,583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43,947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302,656</w:t>
            </w:r>
          </w:p>
        </w:tc>
        <w:tc>
          <w:tcPr>
            <w:tcW w:w="600" w:type="dxa"/>
            <w:vAlign w:val="bottom"/>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5"/>
              </w:rPr>
              <w:t>(26,312)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(64,307)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49,594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(19,795)</w:t>
            </w: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985,101</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183,108</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859,767</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color w:val="auto"/>
                <w:w w:val="85"/>
              </w:rPr>
              <w:t>Nine months ended September 30</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292"/>
              <w:spacing w:after="0" w:line="131" w:lineRule="exact"/>
              <w:rPr>
                <w:sz w:val="20"/>
                <w:szCs w:val="20"/>
                <w:color w:val="auto"/>
              </w:rPr>
            </w:pPr>
            <w:r>
              <w:rPr>
                <w:rFonts w:ascii="Arial" w:cs="Arial" w:eastAsia="Arial" w:hAnsi="Arial"/>
                <w:sz w:val="14"/>
                <w:szCs w:val="14"/>
                <w:color w:val="auto"/>
              </w:rPr>
              <w:t>Inter-</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240"/>
              <w:spacing w:after="0" w:line="131" w:lineRule="exact"/>
              <w:rPr>
                <w:sz w:val="20"/>
                <w:szCs w:val="20"/>
                <w:color w:val="auto"/>
              </w:rPr>
            </w:pPr>
            <w:r>
              <w:rPr>
                <w:rFonts w:ascii="Arial" w:cs="Arial" w:eastAsia="Arial" w:hAnsi="Arial"/>
                <w:sz w:val="14"/>
                <w:szCs w:val="14"/>
                <w:color w:val="auto"/>
                <w:w w:val="91"/>
              </w:rPr>
              <w:t>Inter-</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89"/>
              </w:rPr>
              <w:t>Total</w:t>
            </w:r>
          </w:p>
        </w:tc>
        <w:tc>
          <w:tcPr>
            <w:tcW w:w="200" w:type="dxa"/>
            <w:vAlign w:val="bottom"/>
          </w:tcPr>
          <w:p>
            <w:pPr>
              <w:spacing w:after="0"/>
              <w:rPr>
                <w:sz w:val="12"/>
                <w:szCs w:val="12"/>
                <w:color w:val="auto"/>
              </w:rPr>
            </w:pP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income</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Total</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1"/>
              </w:rPr>
              <w:t>segment</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income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revenues(a)</w:t>
            </w:r>
          </w:p>
        </w:tc>
        <w:tc>
          <w:tcPr>
            <w:tcW w:w="200" w:type="dxa"/>
            <w:vAlign w:val="bottom"/>
          </w:tcPr>
          <w:p>
            <w:pPr>
              <w:spacing w:after="0"/>
              <w:rPr>
                <w:sz w:val="13"/>
                <w:szCs w:val="13"/>
                <w:color w:val="auto"/>
              </w:rPr>
            </w:pPr>
          </w:p>
        </w:tc>
        <w:tc>
          <w:tcPr>
            <w:tcW w:w="8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revenues</w:t>
            </w:r>
          </w:p>
        </w:tc>
        <w:tc>
          <w:tcPr>
            <w:tcW w:w="8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(loss)</w:t>
            </w:r>
          </w:p>
        </w:tc>
        <w:tc>
          <w:tcPr>
            <w:tcW w:w="9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2"/>
              </w:rPr>
              <w:t>revenues(a)</w:t>
            </w:r>
          </w:p>
        </w:tc>
        <w:tc>
          <w:tcPr>
            <w:tcW w:w="8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revenues</w:t>
            </w:r>
          </w:p>
        </w:tc>
        <w:tc>
          <w:tcPr>
            <w:tcW w:w="74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7"/>
              </w:rPr>
              <w:t>(loss)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4"/>
          </w:tcPr>
          <w:p>
            <w:pPr>
              <w:jc w:val="center"/>
              <w:ind w:right="360"/>
              <w:spacing w:after="0"/>
              <w:rPr>
                <w:sz w:val="20"/>
                <w:szCs w:val="20"/>
                <w:color w:val="auto"/>
              </w:rPr>
            </w:pPr>
            <w:r>
              <w:rPr>
                <w:rFonts w:ascii="Arial" w:cs="Arial" w:eastAsia="Arial" w:hAnsi="Arial"/>
                <w:sz w:val="14"/>
                <w:szCs w:val="14"/>
                <w:color w:val="auto"/>
                <w:w w:val="87"/>
              </w:rPr>
              <w:t>(in thousands)</w:t>
            </w: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8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314,416</w:t>
            </w:r>
          </w:p>
        </w:tc>
        <w:tc>
          <w:tcPr>
            <w:tcW w:w="10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2,890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84,121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307,881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Commercial Banking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672,199</w:t>
            </w:r>
          </w:p>
        </w:tc>
        <w:tc>
          <w:tcPr>
            <w:tcW w:w="1020" w:type="dxa"/>
            <w:vAlign w:val="bottom"/>
            <w:gridSpan w:val="3"/>
          </w:tcPr>
          <w:p>
            <w:pPr>
              <w:jc w:val="right"/>
              <w:ind w:right="152"/>
              <w:spacing w:after="0"/>
              <w:rPr>
                <w:sz w:val="20"/>
                <w:szCs w:val="20"/>
                <w:color w:val="auto"/>
              </w:rPr>
            </w:pPr>
            <w:r>
              <w:rPr>
                <w:rFonts w:ascii="Arial" w:cs="Arial" w:eastAsia="Arial" w:hAnsi="Arial"/>
                <w:sz w:val="18"/>
                <w:szCs w:val="18"/>
                <w:color w:val="auto"/>
              </w:rPr>
              <w:t>3,674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277,225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586,120</w:t>
            </w:r>
          </w:p>
        </w:tc>
        <w:tc>
          <w:tcPr>
            <w:tcW w:w="60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230,047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412,250</w:t>
            </w:r>
          </w:p>
        </w:tc>
        <w:tc>
          <w:tcPr>
            <w:tcW w:w="10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1,214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179,634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338,566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171,303</w:t>
            </w:r>
          </w:p>
        </w:tc>
        <w:tc>
          <w:tcPr>
            <w:tcW w:w="1020" w:type="dxa"/>
            <w:vAlign w:val="bottom"/>
            <w:gridSpan w:val="3"/>
          </w:tcPr>
          <w:p>
            <w:pPr>
              <w:jc w:val="right"/>
              <w:ind w:right="92"/>
              <w:spacing w:after="0"/>
              <w:rPr>
                <w:sz w:val="20"/>
                <w:szCs w:val="20"/>
                <w:color w:val="auto"/>
              </w:rPr>
            </w:pPr>
            <w:r>
              <w:rPr>
                <w:rFonts w:ascii="Arial" w:cs="Arial" w:eastAsia="Arial" w:hAnsi="Arial"/>
                <w:sz w:val="18"/>
                <w:szCs w:val="18"/>
                <w:color w:val="auto"/>
              </w:rPr>
              <w:t>(16,174)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76,566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5,840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(7,980)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183,910</w:t>
            </w:r>
          </w:p>
        </w:tc>
        <w:tc>
          <w:tcPr>
            <w:tcW w:w="10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44,018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202,627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Retail Banking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920,645</w:t>
            </w:r>
          </w:p>
        </w:tc>
        <w:tc>
          <w:tcPr>
            <w:tcW w:w="1020" w:type="dxa"/>
            <w:vAlign w:val="bottom"/>
            <w:gridSpan w:val="3"/>
          </w:tcPr>
          <w:p>
            <w:pPr>
              <w:jc w:val="right"/>
              <w:ind w:right="152"/>
              <w:spacing w:after="0"/>
              <w:rPr>
                <w:sz w:val="20"/>
                <w:szCs w:val="20"/>
                <w:color w:val="auto"/>
              </w:rPr>
            </w:pPr>
            <w:r>
              <w:rPr>
                <w:rFonts w:ascii="Arial" w:cs="Arial" w:eastAsia="Arial" w:hAnsi="Arial"/>
                <w:sz w:val="18"/>
                <w:szCs w:val="18"/>
                <w:color w:val="auto"/>
              </w:rPr>
              <w:t>8,537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151,318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925,769</w:t>
            </w:r>
          </w:p>
        </w:tc>
        <w:tc>
          <w:tcPr>
            <w:tcW w:w="600" w:type="dxa"/>
            <w:vAlign w:val="bottom"/>
          </w:tcPr>
          <w:p>
            <w:pPr>
              <w:jc w:val="right"/>
              <w:spacing w:after="0"/>
              <w:rPr>
                <w:sz w:val="20"/>
                <w:szCs w:val="20"/>
                <w:color w:val="auto"/>
              </w:rPr>
            </w:pPr>
            <w:r>
              <w:rPr>
                <w:rFonts w:ascii="Arial" w:cs="Arial" w:eastAsia="Arial" w:hAnsi="Arial"/>
                <w:sz w:val="18"/>
                <w:szCs w:val="18"/>
                <w:color w:val="auto"/>
              </w:rPr>
              <w:t>8,009</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281,460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5"/>
              </w:rPr>
              <w:t>(44,159)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(78,681)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147,788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(27,254)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(83,897)</w:t>
            </w:r>
          </w:p>
        </w:tc>
        <w:tc>
          <w:tcPr>
            <w:tcW w:w="0" w:type="dxa"/>
            <w:vAlign w:val="bottom"/>
          </w:tcPr>
          <w:p>
            <w:pPr>
              <w:spacing w:after="0"/>
              <w:rPr>
                <w:sz w:val="1"/>
                <w:szCs w:val="1"/>
                <w:color w:val="auto"/>
              </w:rPr>
            </w:pPr>
          </w:p>
        </w:tc>
      </w:tr>
      <w:tr>
        <w:trPr>
          <w:trHeight w:val="221"/>
        </w:trPr>
        <w:tc>
          <w:tcPr>
            <w:tcW w:w="3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2,956,183</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711,739</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2,514,591</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531,719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80" w:type="dxa"/>
            <w:vAlign w:val="bottom"/>
            <w:vMerge w:val="restart"/>
          </w:tcPr>
          <w:p>
            <w:pPr>
              <w:jc w:val="right"/>
              <w:ind w:right="232"/>
              <w:spacing w:after="0"/>
              <w:rPr>
                <w:sz w:val="20"/>
                <w:szCs w:val="20"/>
                <w:color w:val="auto"/>
              </w:rPr>
            </w:pPr>
            <w:r>
              <w:rPr>
                <w:rFonts w:ascii="Arial" w:cs="Arial" w:eastAsia="Arial" w:hAnsi="Arial"/>
                <w:sz w:val="18"/>
                <w:szCs w:val="18"/>
                <w:color w:val="auto"/>
              </w:rPr>
              <w:t>- 53 -</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Segment information, continued</w:t>
      </w:r>
    </w:p>
    <w:p>
      <w:pPr>
        <w:spacing w:after="0" w:line="16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7"/>
              <w:spacing w:after="0"/>
              <w:rPr>
                <w:sz w:val="20"/>
                <w:szCs w:val="20"/>
                <w:color w:val="auto"/>
              </w:rPr>
            </w:pPr>
            <w:r>
              <w:rPr>
                <w:rFonts w:ascii="Arial" w:cs="Arial" w:eastAsia="Arial" w:hAnsi="Arial"/>
                <w:sz w:val="14"/>
                <w:szCs w:val="14"/>
                <w:color w:val="auto"/>
                <w:w w:val="84"/>
              </w:rPr>
              <w:t>Average total assets .</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4"/>
          </w:tcPr>
          <w:p>
            <w:pPr>
              <w:jc w:val="center"/>
              <w:ind w:right="620"/>
              <w:spacing w:after="0" w:line="131" w:lineRule="exact"/>
              <w:rPr>
                <w:sz w:val="20"/>
                <w:szCs w:val="20"/>
                <w:color w:val="auto"/>
              </w:rPr>
            </w:pPr>
            <w:r>
              <w:rPr>
                <w:rFonts w:ascii="Arial" w:cs="Arial" w:eastAsia="Arial" w:hAnsi="Arial"/>
                <w:sz w:val="14"/>
                <w:szCs w:val="14"/>
                <w:color w:val="auto"/>
                <w:w w:val="87"/>
              </w:rPr>
              <w:t>Nine months ended</w:t>
            </w:r>
          </w:p>
        </w:tc>
        <w:tc>
          <w:tcPr>
            <w:tcW w:w="720" w:type="dxa"/>
            <w:vAlign w:val="bottom"/>
          </w:tcPr>
          <w:p>
            <w:pPr>
              <w:jc w:val="center"/>
              <w:spacing w:after="0" w:line="131" w:lineRule="exact"/>
              <w:rPr>
                <w:sz w:val="20"/>
                <w:szCs w:val="20"/>
                <w:color w:val="auto"/>
              </w:rPr>
            </w:pPr>
            <w:r>
              <w:rPr>
                <w:rFonts w:ascii="Arial" w:cs="Arial" w:eastAsia="Arial" w:hAnsi="Arial"/>
                <w:sz w:val="14"/>
                <w:szCs w:val="14"/>
                <w:color w:val="auto"/>
                <w:w w:val="82"/>
              </w:rPr>
              <w:t>Year ended</w:t>
            </w:r>
          </w:p>
        </w:tc>
        <w:tc>
          <w:tcPr>
            <w:tcW w:w="100" w:type="dxa"/>
            <w:vAlign w:val="bottom"/>
          </w:tcPr>
          <w:p>
            <w:pPr>
              <w:spacing w:after="0"/>
              <w:rPr>
                <w:sz w:val="11"/>
                <w:szCs w:val="11"/>
                <w:color w:val="auto"/>
              </w:rPr>
            </w:pPr>
          </w:p>
        </w:tc>
      </w:tr>
      <w:tr>
        <w:trPr>
          <w:trHeight w:val="162"/>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ind w:right="620"/>
              <w:spacing w:after="0"/>
              <w:rPr>
                <w:sz w:val="20"/>
                <w:szCs w:val="20"/>
                <w:color w:val="auto"/>
              </w:rPr>
            </w:pPr>
            <w:r>
              <w:rPr>
                <w:rFonts w:ascii="Arial" w:cs="Arial" w:eastAsia="Arial" w:hAnsi="Arial"/>
                <w:sz w:val="14"/>
                <w:szCs w:val="14"/>
                <w:color w:val="auto"/>
                <w:w w:val="84"/>
              </w:rPr>
              <w:t>September 30</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December 31</w:t>
            </w:r>
          </w:p>
        </w:tc>
      </w:tr>
      <w:tr>
        <w:trPr>
          <w:trHeight w:val="159"/>
        </w:trPr>
        <w:tc>
          <w:tcPr>
            <w:tcW w:w="6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8"/>
              <w:spacing w:after="0" w:line="159" w:lineRule="exact"/>
              <w:rPr>
                <w:sz w:val="20"/>
                <w:szCs w:val="20"/>
                <w:color w:val="auto"/>
              </w:rPr>
            </w:pPr>
            <w:r>
              <w:rPr>
                <w:rFonts w:ascii="Arial" w:cs="Arial" w:eastAsia="Arial" w:hAnsi="Arial"/>
                <w:sz w:val="14"/>
                <w:szCs w:val="14"/>
                <w:color w:val="auto"/>
                <w:w w:val="96"/>
              </w:rPr>
              <w:t>2011</w:t>
            </w:r>
          </w:p>
        </w:tc>
        <w:tc>
          <w:tcPr>
            <w:tcW w:w="1080" w:type="dxa"/>
            <w:vAlign w:val="bottom"/>
            <w:tcBorders>
              <w:bottom w:val="single" w:sz="8" w:color="auto"/>
            </w:tcBorders>
            <w:gridSpan w:val="2"/>
          </w:tcPr>
          <w:p>
            <w:pPr>
              <w:jc w:val="right"/>
              <w:ind w:right="62"/>
              <w:spacing w:after="0" w:line="159" w:lineRule="exact"/>
              <w:rPr>
                <w:sz w:val="20"/>
                <w:szCs w:val="20"/>
                <w:color w:val="auto"/>
              </w:rPr>
            </w:pPr>
            <w:r>
              <w:rPr>
                <w:rFonts w:ascii="Arial" w:cs="Arial" w:eastAsia="Arial" w:hAnsi="Arial"/>
                <w:sz w:val="14"/>
                <w:szCs w:val="14"/>
                <w:color w:val="auto"/>
              </w:rPr>
              <w:t>2010</w:t>
            </w:r>
          </w:p>
        </w:tc>
        <w:tc>
          <w:tcPr>
            <w:tcW w:w="5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3"/>
                <w:szCs w:val="13"/>
                <w:color w:val="auto"/>
              </w:rPr>
            </w:pPr>
          </w:p>
        </w:tc>
      </w:tr>
      <w:tr>
        <w:trPr>
          <w:trHeight w:val="166"/>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(in millions)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84"/>
        </w:trPr>
        <w:tc>
          <w:tcPr>
            <w:tcW w:w="6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00" w:type="dxa"/>
            <w:vAlign w:val="bottom"/>
            <w:shd w:val="clear" w:color="auto" w:fill="CCEEFF"/>
          </w:tcPr>
          <w:p>
            <w:pPr>
              <w:spacing w:after="0"/>
              <w:rPr>
                <w:sz w:val="18"/>
                <w:szCs w:val="18"/>
                <w:color w:val="auto"/>
              </w:rPr>
            </w:pPr>
          </w:p>
        </w:tc>
      </w:tr>
      <w:tr>
        <w:trPr>
          <w:trHeight w:val="322"/>
        </w:trPr>
        <w:tc>
          <w:tcPr>
            <w:tcW w:w="658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15,460</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Pr>
          <w:p>
            <w:pPr>
              <w:spacing w:after="0"/>
              <w:rPr>
                <w:sz w:val="24"/>
                <w:szCs w:val="24"/>
                <w:color w:val="auto"/>
              </w:rPr>
            </w:pPr>
          </w:p>
        </w:tc>
      </w:tr>
      <w:tr>
        <w:trPr>
          <w:trHeight w:val="110"/>
        </w:trPr>
        <w:tc>
          <w:tcPr>
            <w:tcW w:w="6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13,198</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13,194</w:t>
            </w:r>
          </w:p>
        </w:tc>
        <w:tc>
          <w:tcPr>
            <w:tcW w:w="100" w:type="dxa"/>
            <w:vAlign w:val="bottom"/>
            <w:shd w:val="clear" w:color="auto" w:fill="CCEEFF"/>
          </w:tcPr>
          <w:p>
            <w:pPr>
              <w:spacing w:after="0"/>
              <w:rPr>
                <w:sz w:val="18"/>
                <w:szCs w:val="18"/>
                <w:color w:val="auto"/>
              </w:rPr>
            </w:pPr>
          </w:p>
        </w:tc>
      </w:tr>
      <w:tr>
        <w:trPr>
          <w:trHeight w:val="322"/>
        </w:trPr>
        <w:tc>
          <w:tcPr>
            <w:tcW w:w="65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13,844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14,658</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14,690</w:t>
            </w:r>
          </w:p>
        </w:tc>
        <w:tc>
          <w:tcPr>
            <w:tcW w:w="100" w:type="dxa"/>
            <w:vAlign w:val="bottom"/>
          </w:tcPr>
          <w:p>
            <w:pPr>
              <w:spacing w:after="0"/>
              <w:rPr>
                <w:sz w:val="24"/>
                <w:szCs w:val="24"/>
                <w:color w:val="auto"/>
              </w:rPr>
            </w:pPr>
          </w:p>
        </w:tc>
      </w:tr>
      <w:tr>
        <w:trPr>
          <w:trHeight w:val="110"/>
        </w:trPr>
        <w:tc>
          <w:tcPr>
            <w:tcW w:w="6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18"/>
                <w:szCs w:val="18"/>
                <w:color w:val="auto"/>
              </w:rPr>
            </w:pPr>
          </w:p>
        </w:tc>
      </w:tr>
      <w:tr>
        <w:trPr>
          <w:trHeight w:val="322"/>
        </w:trPr>
        <w:tc>
          <w:tcPr>
            <w:tcW w:w="658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12,133</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12,079</w:t>
            </w:r>
          </w:p>
        </w:tc>
        <w:tc>
          <w:tcPr>
            <w:tcW w:w="100" w:type="dxa"/>
            <w:vAlign w:val="bottom"/>
          </w:tcPr>
          <w:p>
            <w:pPr>
              <w:spacing w:after="0"/>
              <w:rPr>
                <w:sz w:val="24"/>
                <w:szCs w:val="24"/>
                <w:color w:val="auto"/>
              </w:rPr>
            </w:pPr>
          </w:p>
        </w:tc>
      </w:tr>
      <w:tr>
        <w:trPr>
          <w:trHeight w:val="110"/>
        </w:trPr>
        <w:tc>
          <w:tcPr>
            <w:tcW w:w="6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5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100" w:type="dxa"/>
            <w:vAlign w:val="bottom"/>
            <w:shd w:val="clear" w:color="auto" w:fill="CCEEFF"/>
          </w:tcPr>
          <w:p>
            <w:pPr>
              <w:spacing w:after="0"/>
              <w:rPr>
                <w:sz w:val="18"/>
                <w:szCs w:val="18"/>
                <w:color w:val="auto"/>
              </w:rPr>
            </w:pPr>
          </w:p>
        </w:tc>
      </w:tr>
      <w:tr>
        <w:trPr>
          <w:trHeight w:val="330"/>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72,489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68,339</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68,380</w:t>
            </w:r>
          </w:p>
        </w:tc>
        <w:tc>
          <w:tcPr>
            <w:tcW w:w="100" w:type="dxa"/>
            <w:vAlign w:val="bottom"/>
          </w:tcPr>
          <w:p>
            <w:pPr>
              <w:spacing w:after="0"/>
              <w:rPr>
                <w:sz w:val="24"/>
                <w:szCs w:val="24"/>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90" w:lineRule="auto"/>
        <w:tabs>
          <w:tab w:leader="none" w:pos="46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$6,546,000 and $5,865,000 for the three-month periods ended September 30, 2011 and 2010, respectively, and $19,341,000 and $17,893,000 for the nine-month periods ended September 30, 2011 and 2010,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04" w:lineRule="exact"/>
        <w:rPr>
          <w:rFonts w:ascii="Arial" w:cs="Arial" w:eastAsia="Arial" w:hAnsi="Arial"/>
          <w:sz w:val="16"/>
          <w:szCs w:val="16"/>
          <w:i w:val="1"/>
          <w:iCs w:val="1"/>
          <w:color w:val="auto"/>
        </w:rPr>
      </w:pPr>
    </w:p>
    <w:p>
      <w:pPr>
        <w:ind w:left="5620" w:hanging="96"/>
        <w:spacing w:after="0"/>
        <w:tabs>
          <w:tab w:leader="none" w:pos="5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Bayview Lending Group LLC and Bayview Financial Holdings, L.P.</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M&amp;T holds a 20% interest in Bayview Lending Group LLC (“BLG”), a privately-held commercial mortgage lender. M&amp;T recognizes income or loss from BLG using the equity method of accounting. The carrying value of that investment was $199 million at September 30, 2011.</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 balance commercial mortgage loans from BLG and Bayview Financial having outstanding principal balances of $4.7 billion and $5.2 billion at September 30, 2011 and December 31, 2010, respectively. Amounts recorded as capitalized servicing assets for such loans totaled $18 million at September 30, 2011 and $26 million at December 31, 2010. In addition, capitalized servicing rights at September 30, 2011 and December 31, 2010 also included $6 million and $9 million, respectively, for servicing rights that were obtained from Bayview Financial related to residential mortgage loans with outstanding principal balances of $3.3 billion at September 30, 2011 and $3.6 billion at December 31, 2010. Revenues from servicing residential and small-balance commercial mortgage loans obtained from BLG and Bayview Financial were $10 million and $11 million for the quarters ended September 30, 2011 and 2010, respectively, and $31 million and $35 million for the nine months ended September 30, 2011 and 2010, respectively. In addition, at September 30, 2011 and December 31, 2010, the Company held $17 million and $22 million, respectively, of collateralized mortgage obligations in its available-for-sale investment securities portfolio that were securitized by Bayview Financial. Finally, the Company held $278 million and $313 million of similar investment securities in its held-to-maturity portfolio at September 30, 2011 and December 31, 2010, respectively.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M&amp;T Bank Corporation (“M&amp;T”) recorded net income in the third quarter of 2011 of $183 million or $1.32 of diluted earnings per common share, compared with $192 million or $1.48 of diluted earnings per common share in the year-earlier quarter. During the second quarter of 2011, net income totaled $322 million or $2.42 of diluted earnings per common share. Basic earnings per common share were $1.32 in the recent quarter, compared with $1.49 in the third quarter of 2010 and $2.43 in 2011’s second quarter. The after-tax impact of net acquisition and integration-related gains and expenses (included herein as merger-related expenses) resulted in expenses of $16 million ($26 million pre-tax) or $.13 of basic and diluted earnings per common share in the third quarter of 2011, compared with income of $42 million ($28 million pre-tax) or $.33 of basic and diluted earnings per common share in the second quarter of 2011. The income in the second quarter reflected a non-taxable gain of $65 million and after-tax expenses of $23 million (pre-tax of $37 million). Merger-related gains and expenses related to M&amp;T’s May 16, 2011 acquisition of Wilmington Trust Corporation (“Wilmington Trust”) headquartered in Wilmington, Delaware. There were no merger-related expenses during the third quarter of 2010. For the nine months ended September 30, 2011, net income was $712 million or $5.32 per diluted common share, compared with $532 million or $4.10 per diluted common share during the corresponding period of 2010. Basic earnings per common share were $5.34 and $4.12 for the first nine months of 2011 and 2010, respectively. During the first nine months of 2011, M&amp;T recorded merger-related gains and expenses associated with Wilmington Trust and with the November 5, 2010 purchase and assumption agreement between M&amp;T Bank, M&amp;T’s principal banking subsidiary, and the Federal Deposit Insurance Corporation (“FDIC”) to assume all of the deposits (except certain brokered deposits) and acquire certain assets of K Bank, based in Randallstown, Maryland, in an assisted transaction with the FDIC. The after-tax impact of such gains and expenses was income of $23 million ($2 million of net expenses pre-tax) or $.18 of basic and diluted earnings per common share during the nine-month period ended September 30, 2011. That income consisted of a non-taxable gain of $65 million and after-tax expenses of $42 million (pre-tax of $67 million). There were no merger-related expenses during the first three quarters of 2010.</w:t>
      </w:r>
    </w:p>
    <w:p>
      <w:pPr>
        <w:spacing w:after="0" w:line="12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annualized rate of return on average total assets for M&amp;T and its consolidated subsidiaries (“the Company”) in the third quarter of 2011 was .94%, compared with 1.12% in the year-earlier quarter and 1.78% in the second quarter of 2011. The annualized rate of return on average common shareholders’ equity was 7.84% in the recent quarter, compared with 9.56% in the third quarter of 2010 and 14.94% in 2011’s second quarter. During the nine-month period ended September 30, 2011, the annualized rates of return on average assets and average common shareholders’ equity were 1.31% and 10.94%, respectively, compared with 1.04% and 9.05%, respectively, in the similar period in 2010.</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May 16, 2011, M&amp;T acquired all of the outstanding common stock of Wilmington Trust in a stock-for-stock transaction. Wilmington Trust operated 55 banking offices in Delaware and Pennsylvania at the date of acquisition. The results of operations acquired in the Wilmington Trust transaction have been included in the Company’s financial results since the acquisition date.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Wilmington Trust transaction has been accounted for using the acquisition method of accounting and, accordingly, assets acquired, liabilities assumed and consideration exchanged were recorded at estimated fair value on the acquisition date. Assets acquired totaled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 billion of deposits. The transaction added $406 million to M&amp;T’s common shareholders’ equity. Immediately prior to the closing of the Wilmington Trust transaction, M&amp;T purchased the $330 million of preferred stock issued by Wilmington Trust as part of the Troubled Asset Relief Program – Capital Purchase Program of the U.S. Department of Treasury (“U.S. Treasury”). In connection with the acquisition, the Company recorded $176 million of core deposit and other intangible assets. The core deposit and other intangible assets are being amortized over periods of 5 to 7 years using an accelerated method. There was no goodwill recorded as a result of the transaction; however, a non-taxable gain of $65 million was realized, which represented the excess of the fair value of assets acquired less liabilities assumed over consideration exchanged. The acquisition of Wilmington Trust forms one of the largest banks in the Eastern United States, adding to M&amp;T’s market-leading position in the Mid-Atlantic region, including the leading deposit market share in Delaware.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its capital plan, M&amp;T undertook the following actions during the second quarter of 2011:</w:t>
      </w:r>
    </w:p>
    <w:p>
      <w:pPr>
        <w:spacing w:after="0" w:line="90" w:lineRule="exact"/>
        <w:rPr>
          <w:sz w:val="20"/>
          <w:szCs w:val="20"/>
          <w:color w:val="auto"/>
        </w:rPr>
      </w:pPr>
    </w:p>
    <w:p>
      <w:pPr>
        <w:ind w:left="90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Redeemed $370 million of its Series A Preferred Stock issued pursuant to the Troubled Asset Relief Program – Capital Purchase Program of the U.S. Treasury;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Issued $500 million of perpetual 6.875% non-cumulative preferred stock in order to supplement Tier 1 Capital.</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part of the K Bank transaction, M&amp;T Bank entered into a loss-share arrangement with the FDIC whereby M&amp;T Bank will be reimbursed by the FDIC for most losses it incurs on the acquired loan portfolio. The transaction was accounted for using the acquisition method of accounting and, accordingly, assets acquired and liabilities assumed were recorded at estimated fair value on the acquisition date. Assets acquired in the transaction totaled approximately $556 million, including $154 million of loans and $186 million in cash, and liabilities assumed aggregated $528 million, including $491 million of deposits. In accordance with generally accepted accounting principles (“GAAP”), M&amp;T Bank recorded an after-tax gain on the transaction of $17 million ($28 million before taxes). The gain reflects the amount of financial support and indemnification against loan losses that M&amp;T Bank obtained from the FDIC. There was no goodwill or other intangible assets recorded in connection with this transaction. The operations obtained in the K Bank acquisition transaction did not have a material impact on the Company’s consolidated financial position or results of operations.</w:t>
      </w:r>
    </w:p>
    <w:p>
      <w:pPr>
        <w:spacing w:after="0" w:line="11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condition of the domestic and global economy over the last several years has significantly impacted the financial services industry as a whole, and specifically, the financial results of the Company. In particular, high unemployment levels and significantly depressed residential real estate valuations have led to increased loan charge-offs experienced by financial institutions throughout that time period. Since the official end of the recession in the United States sometime in the latter half of 2009, the recovery of the economy has been very slow. The Company has experienced charge-offs at higher than historical levels since 2008, including in the first nine months of 2011. In addition, many financial institutions have continued to experience unrealized losses related to investment securities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backed by residential and commercial real estate due to a lack of liquidity in the financial markets and anticipated credit losses. Many financial institutions, including the Company, have taken charges for those unrealized losses that were deemed to be other than temporary.</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Company’s results for each of the three-month periods ended September 30, 2011 and 2010 included $6 million of after-tax other-than-temporary impairment charges ($10 million before taxes) on certain available-for-sale investment securities, reducing diluted earnings per common share in each of those periods by $.05. Such impairment charges related to certain privately issued collateralized mortgage obligations (“CMOs”) backed by residential real estate loans as well as, in 2010’s third quarter, collateralized debt obligations (“CDOs”) backed by pooled trust preferred securities.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Reflected in the Company’s results for the quarter ended June 30, 2011 were gains from the sale of investment securities available for sale, predominantly residential mortgage-backed securities guaranteed by the Federal National Mortgage Association (“Fannie Mae”) and the Federal Home Loan Mortgage Corporation (“Freddie Mac”), CDOs and capital preferred securities. Such gains increased net income in that quarter by $67 million ($111 million before taxes), or $.54 of diluted earnings per common share. The Company sold the securities in response to the Wilmington Trust acquisition in order to manage its balance sheet size and composition and resultant capital ratios. Results for the second quarter of 2011 were also impacted by $16 million of after-tax other-than-temporary impairment charges ($27 million before taxes) on certain privately issued CMOs, reducing diluted earnings per common share by $.13.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Dodd-Frank Wall Street Reform and Consumer Protection Act (“Dodd-Frank Act”) was signed into law on July 21, 2010. That law has and will continue to significantly change the bank regulatory structure and affect the lending, deposit, investment, trading and operating activities of financial institutions and their holding companies, and the system of regulatory oversight of the Company, including through the creation of the Financial Stability Oversight Council. The Dodd-Frank Act requires various federal agencies to adopt a broad range of new implementing rules and regulations, and to prepare numerous studies and reports for Congress. The Dodd-Frank Act could have a material adverse impact on the financial services industry as a whole, as well as on M&amp;T’s business, results of operations, financial condition and liquidity.</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Dodd-Frank Act broadens the base for FDIC insurance assessments. Beginning in the second quarter of 2011, assessments are based on average consolidated total assets less tangible equity capital of a financial institution. The Dodd-Frank Act also permanently increases the maximum amount of deposit insurance for banks, savings institutions and credit unions to $250,000 per depositor, retroactive to January 1, 2009, and noninterest-bearing transaction accounts have unlimited deposit insurance through December 31, 2013.</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legislation also requires that publicly traded companies give shareholders a non-binding vote on executive compensation and “golden parachute” payments, and authorizes the Securities and Exchange Commission to promulgate rules that would allow shareholders to nominate their own candidates using a company’s proxy materials. The Dodd-Frank Act also directs the Federal Reserve Board to promulgate rules prohibiting excessive compensation paid to bank holding company executives, regardless of whether the company is publicly traded.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The Dodd-Frank Act established a new Bureau of Consumer Financial Protection with broad powers to supervise and enforce consumer protection laws. The Bureau of Consumer Financial Protection has broad rule-making authority for a wide range of consumer protection laws that apply to all banks and savings institutions, including the authority to prohibit “unfair, deceptive or abusive” acts and practices. The Bureau of Consumer Financial Protection has examination and enforcement authority over all banks and savings institutions with more than $10 billion in assets.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Dodd-Frank Act, among other things:</w:t>
      </w:r>
    </w:p>
    <w:p>
      <w:pPr>
        <w:spacing w:after="0" w:line="90" w:lineRule="exact"/>
        <w:rPr>
          <w:sz w:val="20"/>
          <w:szCs w:val="20"/>
          <w:color w:val="auto"/>
        </w:rPr>
      </w:pPr>
    </w:p>
    <w:p>
      <w:pPr>
        <w:ind w:left="900" w:right="36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Weakens the federal preemption rules that have been applicable for national banks and gives state attorneys general the ability to enforce federal consumer protection laws;</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Amends the Electronic Fund Transfer Act (“EFTA”) which has resulted in, among other things, the Federal Reserve Board issuing rules aimed at limiting debit card-interchange fees;</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Applies the same leverage and risk-based capital requirements that apply to insured depository institutions to most bank holding companies which, among other things, will, after a three-year phase-in period which begins January 1, 2013, remove trust preferred securities as a permitted component of a holding company’s Tier 1 capital;</w:t>
      </w:r>
    </w:p>
    <w:p>
      <w:pPr>
        <w:spacing w:after="0" w:line="59"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Provides for an increase in the FDIC assessment for depository institutions with assets of $10 billion or more and increases the minimum reserve ratio for the deposit insurance fund from 1.15% to 1.35%;</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Imposes comprehensive regulation of the over-the-counter derivatives market, which would include certain provisions that would effectively prohibit insured depository institutions from conducting certain derivatives businesses in the institution itself;</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Repeals the federal prohibitions on the payment of interest on demand deposits, thereby permitting depository institutions to pay interest on business transaction and other accounts;</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Provides mortgage reform provisions regarding a customer’s ability to repay, restricting variable-rate lending by requiring the ability to repay to be determined for variable-rate loans by using the maximum rate that will apply during the first five years of a variable-rate loan term, and making more loans subject to provisions for higher cost loans, new disclosures, and certain other revisions; and</w:t>
      </w:r>
    </w:p>
    <w:p>
      <w:pPr>
        <w:spacing w:after="0" w:line="59"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Creates the Financial Stability Oversight Council, which will recommend to the Federal Reserve Board increasingly strict rules for capital, leverage, liquidity, risk management and other requirements as companies grow in size and complexity.</w:t>
      </w:r>
    </w:p>
    <w:p>
      <w:pPr>
        <w:spacing w:after="0" w:line="132"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The environment in which banking organizations will operate after the financial crisis, including legislative and regulatory changes affecting capital, liquidity, supervision, permissible activities, corporate governance and compensation, changes in fiscal policy and steps to eliminate government support for banking organizations, may have long-term effects on the business model and profitability of banking organizations, the full extent of which cannot now be foreseen. Many aspects of the Dodd-Frank Act remain subject to rulemaking and will take effect over several years, making it difficult to anticipate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overall financial impact on M&amp;T, its customers or the financial industry more generally. Provisions in the legislation that affect deposit insurance assessments, payment of interest on demand deposits and interchange fees could increase the costs associated with deposits as well as place limitations on certain revenues those deposits may generate. Provisions in the legislation that revoke the Tier 1 capital treatment of trust preferred securities and otherwise require revisions to the capital requirements of M&amp;T and M&amp;T Bank could require M&amp;T and M&amp;T Bank to seek other sources of capital in the future. The impact of new rules relating to overdraft fee practices and debit card-interchange fees are discussed herein under the heading “Other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9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As a result of business combinations and other acquisitions, the Company had intangible assets consisting of goodwill and core deposit and other intangible assets totaling $3.8 billion at September 30, 2011 and $3.7 billion at each of September 30, 2010 and December 31, 2010. Included in such intangible assets was goodwill of $3.5 billion at each of those respective dates. Amortization of core deposit and other intangible assets, after tax effect, totaled $11 million ($.08 per diluted common share) during the third quarter of 2011, compared with $8 million ($.07 per diluted common share) during the year-earlier quarter and $9 million ($.07 per diluted common share) during the second quarter of 2011. Amortization of core deposit and other intangible assets, after tax effect, totaled $27 million during each of the nine-month periods ended September 30, 2011 and 2010 or $.22 per diluted common share and $.23 per diluted common share, respectively.</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1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Net operating income was $210 million in the recent quarter, compared with $200 million in the third quarter of 2010. Diluted net operating earnings per common share for the third quarter of 2011 were $1.53, compared with $1.55 in the year-earlier quarter. Net operating income and diluted net operating earnings per common share were $289 million and $2.16, respectively, in the second quarter of 2011. For the first nine months of 2011, net operating income and diluted net operating earnings per common share were $716 million and $5.36, respectively, compared with $559 million and $4.33 in the corresponding period of 2010.</w:t>
      </w:r>
    </w:p>
    <w:p>
      <w:pPr>
        <w:spacing w:after="0" w:line="98" w:lineRule="exact"/>
        <w:rPr>
          <w:sz w:val="20"/>
          <w:szCs w:val="20"/>
          <w:color w:val="auto"/>
        </w:rPr>
      </w:pPr>
    </w:p>
    <w:p>
      <w:pPr>
        <w:ind w:right="300" w:firstLine="456"/>
        <w:spacing w:after="0" w:line="305" w:lineRule="auto"/>
        <w:rPr>
          <w:sz w:val="20"/>
          <w:szCs w:val="20"/>
          <w:color w:val="auto"/>
        </w:rPr>
      </w:pPr>
      <w:r>
        <w:rPr>
          <w:rFonts w:ascii="Arial" w:cs="Arial" w:eastAsia="Arial" w:hAnsi="Arial"/>
          <w:sz w:val="15"/>
          <w:szCs w:val="15"/>
          <w:color w:val="auto"/>
        </w:rPr>
        <w:t>Net operating income expressed as an annualized rate of return on average tangible assets was 1.14% in the recent quarter, compared with 1.24% in the year-earlier quarter and 1.69% in the second quarter of 2011. Net operating income expressed as an annualized return on average tangible common equity was</w:t>
      </w:r>
    </w:p>
    <w:p>
      <w:pPr>
        <w:jc w:val="both"/>
        <w:ind w:right="60"/>
        <w:spacing w:after="0" w:line="255" w:lineRule="auto"/>
        <w:rPr>
          <w:sz w:val="20"/>
          <w:szCs w:val="20"/>
          <w:color w:val="auto"/>
        </w:rPr>
      </w:pPr>
      <w:r>
        <w:rPr>
          <w:rFonts w:ascii="Arial" w:cs="Arial" w:eastAsia="Arial" w:hAnsi="Arial"/>
          <w:sz w:val="18"/>
          <w:szCs w:val="18"/>
          <w:color w:val="auto"/>
        </w:rPr>
        <w:t>16.26% in the recently completed quarter, compared with 19.58% in the third quarter of 2010 and 24.40% in 2011’s second quarter. For the first three quarters of 2011, net operating income represented an annualized return on average tangible assets and average tangible common shareholders’ equity of 1.39% and 20.16%, respectively, compared with 1.16% and 19.13%, respectively, in the similar 2010 period.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Taxable-equivalent net interest income rose 8% to $623 million in the third quarter of 2011 from $576 million in the year-earlier quarter. That improvement was predominantly the result of an $8.1 billion, or 14%, rise in average earning assets, partially offset by a 19 basis point (hundredths of one percent) narrowing of the Company’s net interest margin, or taxable-equivalent net interest income expressed as an annualized percentage of average earning assets. Taxable-equivalent net interest income aggregated $593 million in the second quarter of 2011. The recent quarter’s improvement in net interest income from the second quarter of 2011 resulted from a $3.8 billion, or 6%, increase in average earning assets, partially offset by a 7 basis point narrowing of the net interest margin. The increases in average earning assets in the two most recent quarters as compared with the third quarter of 2010 were predominantly the result of earning assets obtained in the acquisition of Wilmington Trust, which at the May 16, 2011 acquisition date totaled approximately $9.6 billion. The recent quarter’s narrowing of the net interest margin as compared with the third quarter of 2010 and 2011’s second quarter was partially attributable to the Wilmington Trust acquisition. Also contributing to that narrowing as compared with those prior quarters were significantly higher balances on deposit with the Federal Reserve Bank of New York.</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first nine months of 2011, taxable-equivalent net interest income was $1.79 billion, up 5% from $1.71 billion in the corresponding period of 2010. That increase was largely attributable to a rise in average earning assets, which increased $3.6 billion or 6% to $63.4 billion from $59.7 billion in the first nine months of 2010. Partially offsetting the improvement in net interest income was a 5 basis point narrowing of the Company’s net interest margin. The growth in average earning assets was largely the result of earning assets obtained in the acquisition of Wilmington Trust on May 16, 2011.</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Average loans and leases rose $7.4 billion, or 14%, to $58.2 billion in the recent quarter from $50.8 billion in the third quarter of 2010. Included in average loans and leases in the recent quarter were loans obtained in the Wilmington Trust acquisition. Loans associated with Wilmington Trust totaled $6.4 billion on the May 16, 2011 acquisition date, consisting of approximately $1.4 billion of commercial loans and leases, $3.2 billion of commercial real estate loans, $680 million of residential real estate loans and $1.1 billion of consumer loans. Including the impact of the acquired loan balances, commercial loans and leases averaged $15.0 billion in the third quarter of 2011, up $2.1 billion or 17% from $12.9 billion in the year-earlier quarter. Commercial real estate loans averaged $24.0 billion in the recent quarter, up $3.4 billion or 16% from $20.6 billion in the third quarter of 2010. That increase was predominantly due to the impact of loans obtained in the acquisition of Wilmington Trust. Average residential real estate loans outstanding increased $1.3 billion or 23% to $7.0 billion in the recently completed quarter from $5.7 billion in the third quarter of 2010. Included in that portfolio were loans held for sale, which averaged $250 million in the third quarter of 2011, compared with $441 million in the year-earlier quarter. Excluding loans held for sale, average residential real estate loans rose $1.5 billion from the third quarter of 2010 to the third quarter of 2011. That growth was largely due to the Company’s decision to retain for portfolio during the fourth quarter of 2010 and a portion of the initial 2011 quarter a higher proportion of originated loans rather than selling them. Loans obtained in the Wilmington Trust acquisition also contributed to the increase. During the third quarter of 2011, the Company again began to retain for portfolio the majority of residential real estate loans originated, although the impact of that decision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did not significantly impact average residential real estate loans outstanding during the recent quarter. Consumer loans averaged $12.2 billion in the recent quarter, $513 million or 4% higher than $11.7 billion in 2010’s third quarter. That increase was largely due to the impact of loans obtained in the acquisition of Wilmington Trust, partially offset by lower average balances of automobile and home equity loans (excluding Wilmington Trust loans).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Average loan balances in the recent quarter increased $2.7 billion, or 5%, from the second quarter of 2011. Average outstanding commercial loan and lease balances increased $384 million, or 3%, from the second quarter of 2011. Commercial real estate loan average balances rose $1.5 billion, or 7%, in 2011’s third quarter as compared with the immediately preceding quarter. Average residential real estate loans in the recent quarter were up $444 million, or 7%, from the second quarter of 2011. Average outstanding consumer loans rose $392 million, or 3%, from 2011’s second quarter. The majority of the growth in the respective loan categories resulted from the full-quarter impact of loans obtained in the acquisition of Wilmington Trust. The accompanying table summarizes quarterly changes in the major components of the loan and lease portfolio.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gridSpan w:val="4"/>
          </w:tcPr>
          <w:p>
            <w:pPr>
              <w:ind w:left="34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62"/>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gridSpan w:val="4"/>
          </w:tcPr>
          <w:p>
            <w:pPr>
              <w:ind w:left="360"/>
              <w:spacing w:after="0"/>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3rd Qtr.</w:t>
            </w: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8"/>
              </w:rPr>
              <w:t>3rd Qtr.</w:t>
            </w:r>
          </w:p>
        </w:tc>
        <w:tc>
          <w:tcPr>
            <w:tcW w:w="640" w:type="dxa"/>
            <w:vAlign w:val="bottom"/>
            <w:gridSpan w:val="2"/>
          </w:tcPr>
          <w:p>
            <w:pPr>
              <w:spacing w:after="0" w:line="149" w:lineRule="exact"/>
              <w:rPr>
                <w:sz w:val="20"/>
                <w:szCs w:val="20"/>
                <w:color w:val="auto"/>
              </w:rPr>
            </w:pPr>
            <w:r>
              <w:rPr>
                <w:rFonts w:ascii="Arial" w:cs="Arial" w:eastAsia="Arial" w:hAnsi="Arial"/>
                <w:sz w:val="14"/>
                <w:szCs w:val="14"/>
                <w:color w:val="auto"/>
              </w:rPr>
              <w:t>2nd Qtr.</w:t>
            </w:r>
          </w:p>
        </w:tc>
        <w:tc>
          <w:tcPr>
            <w:tcW w:w="0" w:type="dxa"/>
            <w:vAlign w:val="bottom"/>
          </w:tcPr>
          <w:p>
            <w:pPr>
              <w:spacing w:after="0"/>
              <w:rPr>
                <w:sz w:val="1"/>
                <w:szCs w:val="1"/>
                <w:color w:val="auto"/>
              </w:rPr>
            </w:pPr>
          </w:p>
        </w:tc>
      </w:tr>
      <w:tr>
        <w:trPr>
          <w:trHeight w:val="159"/>
        </w:trPr>
        <w:tc>
          <w:tcPr>
            <w:tcW w:w="6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86"/>
              <w:spacing w:after="0" w:line="159" w:lineRule="exact"/>
              <w:rPr>
                <w:sz w:val="20"/>
                <w:szCs w:val="20"/>
                <w:color w:val="auto"/>
              </w:rPr>
            </w:pPr>
            <w:r>
              <w:rPr>
                <w:rFonts w:ascii="Arial" w:cs="Arial" w:eastAsia="Arial" w:hAnsi="Arial"/>
                <w:sz w:val="14"/>
                <w:szCs w:val="14"/>
                <w:color w:val="auto"/>
              </w:rPr>
              <w:t>2011</w:t>
            </w:r>
          </w:p>
        </w:tc>
        <w:tc>
          <w:tcPr>
            <w:tcW w:w="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6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22"/>
              <w:spacing w:after="0" w:line="159" w:lineRule="exact"/>
              <w:rPr>
                <w:sz w:val="20"/>
                <w:szCs w:val="20"/>
                <w:color w:val="auto"/>
              </w:rPr>
            </w:pPr>
            <w:r>
              <w:rPr>
                <w:rFonts w:ascii="Arial" w:cs="Arial" w:eastAsia="Arial" w:hAnsi="Arial"/>
                <w:sz w:val="14"/>
                <w:szCs w:val="14"/>
                <w:color w:val="auto"/>
              </w:rPr>
              <w:t>2011</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$15,007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23,979</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18"/>
                <w:szCs w:val="18"/>
                <w:color w:val="auto"/>
              </w:rPr>
            </w:pPr>
          </w:p>
        </w:tc>
        <w:tc>
          <w:tcPr>
            <w:tcW w:w="440" w:type="dxa"/>
            <w:vAlign w:val="bottom"/>
          </w:tcPr>
          <w:p>
            <w:pPr>
              <w:ind w:left="360"/>
              <w:spacing w:after="0"/>
              <w:rPr>
                <w:sz w:val="20"/>
                <w:szCs w:val="20"/>
                <w:color w:val="auto"/>
              </w:rPr>
            </w:pPr>
            <w:r>
              <w:rPr>
                <w:rFonts w:ascii="Arial" w:cs="Arial" w:eastAsia="Arial" w:hAnsi="Arial"/>
                <w:sz w:val="15"/>
                <w:szCs w:val="15"/>
                <w:color w:val="auto"/>
                <w:w w:val="71"/>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7,002</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Automobile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2,804</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Home equity lines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6,063</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440" w:type="dxa"/>
            <w:vAlign w:val="bottom"/>
          </w:tcPr>
          <w:p>
            <w:pPr>
              <w:ind w:left="360"/>
              <w:spacing w:after="0"/>
              <w:rPr>
                <w:sz w:val="20"/>
                <w:szCs w:val="20"/>
                <w:color w:val="auto"/>
              </w:rPr>
            </w:pPr>
            <w:r>
              <w:rPr>
                <w:rFonts w:ascii="Arial" w:cs="Arial" w:eastAsia="Arial" w:hAnsi="Arial"/>
                <w:sz w:val="15"/>
                <w:szCs w:val="15"/>
                <w:color w:val="auto"/>
                <w:w w:val="71"/>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loans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734</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2,599</w:t>
            </w:r>
          </w:p>
        </w:tc>
        <w:tc>
          <w:tcPr>
            <w:tcW w:w="5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8"/>
                <w:szCs w:val="18"/>
                <w:color w:val="auto"/>
              </w:rPr>
            </w:pP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w w:val="71"/>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consumer</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12,200</w:t>
            </w:r>
          </w:p>
        </w:tc>
        <w:tc>
          <w:tcPr>
            <w:tcW w:w="5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1"/>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13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vMerge w:val="continue"/>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58,188</w:t>
            </w:r>
          </w:p>
        </w:tc>
        <w:tc>
          <w:tcPr>
            <w:tcW w:w="5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nine months of 2011, average loans and leases aggregated $55.2 billion, up $3.9 billion or 8% from $51.3 billion in the similar 2010 period.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That growth was predominantly the result of loans obtained from Wilmington Trust, which totaled $6.4 billion on the May 16, 2011 acquisition date.</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investment securities portfolio averaged $7.0 billion in the recent quarter, down $988 million or 12% from $8.0 billion in the third quarter of 2010. The decline from the year-earlier quarter reflects the impact of sales of securities late in the first quarter and in the second quarter of 2011, as well as maturities and paydowns of mortgage-backed securities, partially offset by purchases of residential mortgage-backed securities guaranteed by the Government National Mortgage Association (“Ginnie Mae”) and Fannie Mae during the two most recent quarters. Average investment securities balances in the third quarter of 2011 were up 10% from the immediately preceding quarter, due predominantly to the impact of those purchases of residential mortgage-backed securities, partially offset by maturities and paydowns of mortgage-backed securities. For the first nine months of 2011 and 2010, average investment securities were $6.9 billion and $8.2 billion, respectively. The Wilmington Trust acquisition added approximately $510 million to the investment securities portfolio on the May 16, 2011 acquisition date. The investment securities portfolio is largely comprised of residential mortgage-backed securities and CMOs, debt securities issued by municipalities, capital preferred securities issued by certain financial institutions, and shorter-term U.S. Treasury and federal agency notes. When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purchasing investment securities, the Company considers its overall interest-rate risk profile as 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Near the end of the first quarter, the Company sold certain residential mortgage-backed securities guaranteed by Fannie Mae and Freddie Mac that were held in the available-for-sale portfolio. Those securities had an amortized cost of approximately $484 million. During the second quarter of 2011, the Company sold certain residential mortgage-backed securities guaranteed by Fannie Mae and Freddie Mac, collateralized debt obligations and capital preferred securities, all held in the available-for-sale portfolio, with an amortized cost of $1.21 billion. The Company sold the securities in connection with the acquisition of Wilmington Trust in order to manage its balance sheet size and composition and resultant capital ratios. The second quarter 2011 purchase of $1.2 billion of residential mortgage-backed securities guaranteed by Ginnie Mae provided a replenishment of the investment securities portfolio at an improved risk-weighting. In the recent quarter the Company purchased $900 million of residential mortgage-backed securities guaranteed by Fannie Mae.</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Other-than-temporary impairment charges recognized during each of the quarters ended September 30, 2011 and September 30, 2010 totaled $10 million (pre-tax) and during the quarter ended June 30, 2011 totaled $27 million (pre-tax). Such impairment charges in each of the quarters related to certain privately issued CMOs and, to a much lesser extent in the third quarter of 2010, to CDOs. Poor economic conditions, high unemployment and depressed real estate values were significant factors contributing to the recognition of the other-than-temporary impairment charges related to the CMOs and CDOs. Based on management’s assessment of future cash flows associated with individual investment securities, as of September 30, 2011, the Company concluded that the remaining declines associated with the rest of the investment securities portfolio were temporary in nature. A further discussion of fair values of investment securities is included herein under the heading “Capital.” Additional information about the investment securities portfolio is included in notes 3 and 12 of Notes to Financial Statements.</w:t>
      </w:r>
    </w:p>
    <w:p>
      <w:pPr>
        <w:spacing w:after="0" w:line="34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Other earning assets include interest-earning deposits at the Federal Reserve Bank of New York and other banks, trading account assets, federal funds sold and agreements to resell securities. Those other earning assets in the aggregate averaged $2.0 billion, $238 million and $1.5 billion for the quarters ended September 30, 2011, September 30, 2010 and June 30, 2011, respectively. Interest-bearing deposits at banks averaged $1.9 billion in the recent quarter, up from $92 million in the third quarter of 2010 and $804 million in 2011’s second quarter. The significantly higher balances in the two most recent quarters were due to increased deposits at the Federal Reserve Bank of New York resulting largely from the Wilmington Trust acquisition. Also reflected in other earning assets were purchases of investment securities under agreements to resell, which averaged $58 million in each of the quarters ended September 30, 2011 and September 30, 2010, and $613 million in the quarter ended June 30, 2011. Agreements to resell securities are accounted for similar to collateralized loans, with changes in the market value of the collateral monitored by the Company to ensure sufficient coverage. The higher level of resell agreements in 2011’s second quarter was due to the need to fulfill collateral requirements associated with certain municipal deposits. There were no resell agreements outstanding at September 30, 2011 or December 31, 2010, while such agreements aggregated $425 million at September 30, 2010. For the nine-month periods 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September 30, 2011 and 2010, average balances of other earning assets were $1.3 billion and $202 million, respectively. Higher interest-bearing deposits at the Federal Reserve and other banks were the most significant items contributing to that increase.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 result of the changes described herein, average earning assets aggregated $67.2 billion in the third quarter of 2011, compared with $59.1 billion in the year-earlier quarter. Average earning assets were $63.4 billion in the second quarter of 2011 and totaled $63.4 billion and $59.7 billion for the nine-month periods ended September 30, 2011 and 2010, respectively.</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most significant source of funding for the Company is core deposits. The Company considered noninterest-bearing deposits, interest-bearing transaction accounts, savings deposits and, during 2010 and prior years, domestic time deposits under $100,000 as core deposits. A provision of the Dodd-Frank Act permanently increased the maximum amount of FDIC deposit insurance for financial institutions to $250,000 per depositor. That maximum was $100,000 per depositor until 2009, when it was raised to $250,000 temporarily through December 31, 2013. As a result of the permanently increased deposit insurance coverage, effective December 31, 2010 the Company considers time deposits of $250,000 or less as core deposits. The Company’s branch network is its principal source of core deposits, which generally carry lower interest rates than wholesale funds of comparable maturities. Certificates of deposit of $250,000 or less generated on a nationwide basis by Wilmington Trust, National Association (“Wilmington Trust, N.A.”), a wholly owned bank subsidiary of M&amp;T that was formerly named M&amp;T Bank, National Association, are also included in core deposits. Average core deposits totaled $54.5 billion in the third quarter of 2011, compared with $43.1 billion in the corresponding quarter of 2010 and $50.5 billion in the second quarter of 2011. The change in the Company’s definition of core deposits to include time deposits from $100,000 to $250,000 increased average core deposits by approximately $1.0 billion in each of the second and third quarters of 2011. The Wilmington Trust acquisition added approximately $6.6 billion of core deposits on May 16, 2011. Excluding deposits obtained in that transaction, the growth in core deposits since the third quarter of 2010 was due, in part, to the lack of attractive alternative investments available to the Company’s customers resulting from lower interest rates and from the economic environment in the U.S. The low interest rate environment has resulted in a shift in customer savings trends, as average time deposits have continued to decline, while average noninterest-bearing deposits and savings deposits have increased. The following table provides an analysis of quarterly changes in the components of average core deposits. For the nine-month periods ended September 30, 2011 and 2010, core deposits averaged $50.4 billion and $43.1 billion,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8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40" w:type="dxa"/>
            <w:vAlign w:val="bottom"/>
            <w:gridSpan w:val="4"/>
          </w:tcPr>
          <w:p>
            <w:pPr>
              <w:ind w:left="240"/>
              <w:spacing w:after="0"/>
              <w:rPr>
                <w:sz w:val="20"/>
                <w:szCs w:val="20"/>
                <w:color w:val="auto"/>
              </w:rPr>
            </w:pPr>
            <w:r>
              <w:rPr>
                <w:rFonts w:ascii="Arial" w:cs="Arial" w:eastAsia="Arial" w:hAnsi="Arial"/>
                <w:sz w:val="14"/>
                <w:szCs w:val="14"/>
                <w:color w:val="auto"/>
              </w:rPr>
              <w:t>Percent increase from</w:t>
            </w:r>
          </w:p>
        </w:tc>
      </w:tr>
      <w:tr>
        <w:trPr>
          <w:trHeight w:val="149"/>
        </w:trPr>
        <w:tc>
          <w:tcPr>
            <w:tcW w:w="4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6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3rd Qtr.</w:t>
            </w: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3rd Qtr.</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6"/>
              </w:rPr>
              <w:t>2nd Qtr.</w:t>
            </w:r>
          </w:p>
        </w:tc>
      </w:tr>
      <w:tr>
        <w:trPr>
          <w:trHeight w:val="159"/>
        </w:trPr>
        <w:tc>
          <w:tcPr>
            <w:tcW w:w="4300" w:type="dxa"/>
            <w:vAlign w:val="bottom"/>
            <w:tcBorders>
              <w:bottom w:val="single" w:sz="8" w:color="CCEEFF"/>
            </w:tcBorders>
          </w:tcPr>
          <w:p>
            <w:pPr>
              <w:spacing w:after="0"/>
              <w:rPr>
                <w:sz w:val="13"/>
                <w:szCs w:val="13"/>
                <w:color w:val="auto"/>
              </w:rPr>
            </w:pPr>
          </w:p>
        </w:tc>
        <w:tc>
          <w:tcPr>
            <w:tcW w:w="2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6"/>
              <w:spacing w:after="0" w:line="159" w:lineRule="exact"/>
              <w:rPr>
                <w:sz w:val="20"/>
                <w:szCs w:val="20"/>
                <w:color w:val="auto"/>
              </w:rPr>
            </w:pPr>
            <w:r>
              <w:rPr>
                <w:rFonts w:ascii="Arial" w:cs="Arial" w:eastAsia="Arial" w:hAnsi="Arial"/>
                <w:sz w:val="14"/>
                <w:szCs w:val="14"/>
                <w:color w:val="auto"/>
                <w:w w:val="96"/>
              </w:rPr>
              <w:t>2011</w:t>
            </w:r>
          </w:p>
        </w:tc>
        <w:tc>
          <w:tcPr>
            <w:tcW w:w="5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ind w:left="100"/>
              <w:spacing w:after="0" w:line="159" w:lineRule="exact"/>
              <w:rPr>
                <w:sz w:val="20"/>
                <w:szCs w:val="20"/>
                <w:color w:val="auto"/>
              </w:rPr>
            </w:pPr>
            <w:r>
              <w:rPr>
                <w:rFonts w:ascii="Arial" w:cs="Arial" w:eastAsia="Arial" w:hAnsi="Arial"/>
                <w:sz w:val="14"/>
                <w:szCs w:val="14"/>
                <w:color w:val="auto"/>
              </w:rPr>
              <w:t>2010</w:t>
            </w:r>
          </w:p>
        </w:tc>
        <w:tc>
          <w:tcPr>
            <w:tcW w:w="7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8"/>
              <w:spacing w:after="0" w:line="159" w:lineRule="exact"/>
              <w:rPr>
                <w:sz w:val="20"/>
                <w:szCs w:val="20"/>
                <w:color w:val="auto"/>
              </w:rPr>
            </w:pPr>
            <w:r>
              <w:rPr>
                <w:rFonts w:ascii="Arial" w:cs="Arial" w:eastAsia="Arial" w:hAnsi="Arial"/>
                <w:sz w:val="14"/>
                <w:szCs w:val="14"/>
                <w:color w:val="auto"/>
              </w:rPr>
              <w:t>2011</w:t>
            </w:r>
          </w:p>
        </w:tc>
        <w:tc>
          <w:tcPr>
            <w:tcW w:w="200" w:type="dxa"/>
            <w:vAlign w:val="bottom"/>
            <w:tcBorders>
              <w:bottom w:val="single" w:sz="8" w:color="CCEEFF"/>
            </w:tcBorders>
          </w:tcPr>
          <w:p>
            <w:pPr>
              <w:spacing w:after="0"/>
              <w:rPr>
                <w:sz w:val="13"/>
                <w:szCs w:val="13"/>
                <w:color w:val="auto"/>
              </w:rPr>
            </w:pPr>
          </w:p>
        </w:tc>
      </w:tr>
      <w:tr>
        <w:trPr>
          <w:trHeight w:val="210"/>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NOW accounts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Savings deposits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30,408</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23</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Time deposits (a)</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5,084</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18,222</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34</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r>
      <w:tr>
        <w:trPr>
          <w:trHeight w:val="27"/>
        </w:trPr>
        <w:tc>
          <w:tcPr>
            <w:tcW w:w="4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54,502</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0"/>
        </w:trPr>
        <w:tc>
          <w:tcPr>
            <w:tcW w:w="4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20" w:hanging="452"/>
        <w:spacing w:after="0" w:line="268" w:lineRule="auto"/>
        <w:tabs>
          <w:tab w:leader="none" w:pos="46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Average time deposits considered core deposits in the second and third quarters of 2011 represented time deposits of $250,000 or less. In the third quarter of 2010, average time deposits considered core deposits were those with balances less than $100,000.</w:t>
      </w:r>
    </w:p>
    <w:p>
      <w:pPr>
        <w:spacing w:after="0" w:line="118" w:lineRule="exact"/>
        <w:rPr>
          <w:rFonts w:ascii="Arial" w:cs="Arial" w:eastAsia="Arial" w:hAnsi="Arial"/>
          <w:sz w:val="18"/>
          <w:szCs w:val="18"/>
          <w:i w:val="1"/>
          <w:iCs w:val="1"/>
          <w:color w:val="auto"/>
        </w:rPr>
      </w:pPr>
    </w:p>
    <w:p>
      <w:pPr>
        <w:ind w:left="5620" w:hanging="96"/>
        <w:spacing w:after="0"/>
        <w:tabs>
          <w:tab w:leader="none" w:pos="5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core deposits, time deposits over $250,000, deposits associated with the Company’s Cayman Islands branch office, and brokered deposits provide sources of funding for the Company. Time deposits over $250,000, excluding brokered certificates of deposit, averaged $499 million in the third quarter of 2011, compared with $484 million in the second quarter of 2011. Similar time deposits over $100,000 averaged $1.6 billion in the third quarter of 2010. Cayman Islands branch deposits averaged $614 million, $802 million and $819 million for the three-month periods ended September 30, 2011, September 30, 2010 and June 30, 2011, respectively. Brokered time deposits averaged $1.6 billion in the recent quarter, compared with $571 million in the third quarter of 2010 and $1.2 billion in the second quarter of 2011. Brokered time deposits obtained in the acquisition of Wilmington Trust totaled $1.4 billion as of May 16, 2011. The Company also had brokered NOW and brokered money-market deposit accounts, which in the aggregate averaged $1.3 billion during the recently completed quarter, compared with $1.5 billion and $1.4 billion during the corresponding quarter of 2010 and the second quarter of 2011, respectively. The levels of brokered NOW and brokered money-market deposit accounts reflect the demand for such deposits, largely resulting from continued uncertain economic markets and the desire of brokerage firms to earn reasonable yields while ensuring that customer deposits are fully insured. Cayman Islands branch deposits and brokered deposits have been used by the Company as alternatives to short-term borrowings. Additional amounts of Cayman Islands branch deposits or brokered deposits may be added in the future depending on market conditions, including demand by customers and other investors for those deposits, and the cost of funds available from alternative sources at the time.</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Bank and others as sources of funding. Short-term borrowings averaged $592 million in the recent quarter, compared with $1.9 billion in the third quarter of 2010 and $707 million in the second quarter of 2011. Included in average short-term borrowings were unsecured federal funds borrowings, which generally mature on the next business day, that averaged $309 million in the third quarter of 2011, $1.7 billion in the year-earlier quarter and $548 million in the second quarter of 2011. Overnight federal funds borrowings represented the largest component of short-term borrowings and totaled $365 million at September 30, 2011, $1.0 billion at September 30, 2010 and $826 million at December 31, 2010.</w:t>
      </w:r>
    </w:p>
    <w:p>
      <w:pPr>
        <w:spacing w:after="0" w:line="144" w:lineRule="exact"/>
        <w:rPr>
          <w:sz w:val="20"/>
          <w:szCs w:val="20"/>
          <w:color w:val="auto"/>
        </w:rPr>
      </w:pPr>
    </w:p>
    <w:p>
      <w:pPr>
        <w:jc w:val="both"/>
        <w:ind w:right="220" w:firstLine="456"/>
        <w:spacing w:after="0" w:line="283" w:lineRule="auto"/>
        <w:rPr>
          <w:sz w:val="20"/>
          <w:szCs w:val="20"/>
          <w:color w:val="auto"/>
        </w:rPr>
      </w:pPr>
      <w:r>
        <w:rPr>
          <w:rFonts w:ascii="Arial" w:cs="Arial" w:eastAsia="Arial" w:hAnsi="Arial"/>
          <w:sz w:val="16"/>
          <w:szCs w:val="16"/>
          <w:color w:val="auto"/>
        </w:rPr>
        <w:t>Long-term borrowings averaged $6.8 billion in the recent quarter, compared with $8.9 billion in the third quarter of 2010 and $7.1 billion in the second quarter of 2011. Included in average long-term borrowings were amounts borrowed from the Federal Home Loan Bank (“FHLB”) of New York, the FHLB of Atlanta and the FHLB of Pittsburgh of $1.5 billion in the third quarter of 2011, $3.9 billion in the year-earlier quarter and $2.0 billion in 2011’s second quarter, and subordinated capital notes of $2.2 billion in the recent quarter, $1.9 billion in the third quarter of 2010 and $2.0 billion in the second quarter of 2011.</w:t>
      </w:r>
    </w:p>
    <w:p>
      <w:pPr>
        <w:spacing w:after="0" w:line="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Subordinated capital notes assumed in connection with the Wilmington Trust acquisition totaled $450 million at May 16, 2011. The Company has utilized interest rate swap agreements to modify the repricing characteristics of certain components of long-term debt. As of September 30, 2011 swap agreements were used to hedge approximately $900 million of fixed rate subordinated notes. Further information on interest rate swap agreements is provided in note 10 of Notes to Financial Statements. Junior subordinated debentures associated with trust preferred securities that were included in average long-term borrowings were $1.2 billion in each of the quarters ended September 30, 2011, September 30, 2010 and June 30, 2011. Additional information regarding junior subordinated debentures is provided in note 5 of Notes to Financial Statements. Also included in long-term borrowings were agreements to repurchase securities, which averaged $1.6 billion in each of the quarters ended September 30, 2011, September 30, 2010 and June 30, 2011.</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agreements have various repurchase dates through 2017, however, the contractual maturities of the underlying securities extend beyond such repurchase dates.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3.43% in the third quarter of 2011, compared with 3.62% in the third quarter of 2010 and 3.51% in the second quarter of 2011. The yield on earning assets during the recent quarter was 4.29%, down 36 basis points from 4.65% in the year-earlier quarter, while the rate paid on interest-bearing liabilities declined 17 basis points to .86% from 1.03%. In the second quarter of 2011, the yield on earning assets was 4.40% and the rate paid on interest-bearing liabilities was .89%. The 19 basis point narrowing in the spread from the third quarter of 2010 to the recent quarter and the eight basis point narrowing in the spread from the second quarter of 2011 to the third 2011 quarter were each partially attributable to the acquisition of Wilmington Trust, including significantly higher earning balances in the two most recent quarters on lower-yielding deposits with the Federal Reserve Bank of New York. For the first nine months of 2011, the net interest spread was 3.53%, down five basis points from the year-earlier period. The yield on earning assets and the rate paid on interest-bearing liabilities for the nine-month period ended September 30, 2011 were 4.42% and .89%, respectively, compared with 4.62% and 1.04%, respectively, in the similar period of 2010.</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non-earning assets, including goodwill and core deposit and other intangible assets. Net interest-free funds averaged $19.5 billion in the recent quarter, compared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 $14.4 billion in the third quarter of 2010 and $17.3 billion in the second quarter of 2011. The rise in average net interest-free funds in the two most recent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quarters as compared with the third quarter of 2010 was largely the result of higher average balances of noninterest-bearing deposits. Such deposits averaged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$18.2 billion, $13.6 billion and $16.2 billion in the quarters ended September 30, 2011, September 30, 2010 and June 30, 2011, respectively.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Wilmington Trust acquisition, the Company added noninterest-bearing deposits totaling $2.0 billion at the acquisition date. During the first nine months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and 2010, average net interest-free funds were $17.5 billion and $14.1 billion, respectively. Goodwill and core deposit and other intangible assets averaged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 billion in the recent quarter, compared with $3.7 billion in each of the quarters ended September 30, 2010 and June 30, 2011. Core deposit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added from the Wilmington Trust acquisition were $176 million on May 16, 2011. There was no goodwill recorded as a result of the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cash surrender value of bank owned life insurance averaged $1.5 billion during each of the quarters ended September 30, 2011, September 30, 2010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2011. Increases in the cash surrender value of bank owned life insurance are not included in interest income, but rather are recorded in “other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operations.” The contribution of net interest-free funds to net interest margin was .25% in each of the third quarters of 2011 and 2010, compared with .24%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2011’s second quarter. That contribution for each of the first nine months of 2011 and 2010 was .25%.</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Reflecting the changes to the net interest spread and the contribution of interest-free funds as described herein, the Company’s net interest margin was 3.68% in the recent quarter, compared with 3.87% in the third quarter of 2010 and 3.75% in the second quarter of 2011. During the nine-month periods ended September 30, 2011 and 2010, the net interest margin was 3.78% and 3.83%, respectively. Future changes in market interest rates or spreads, as well as changes in the composition of the Company’s portfolios of earning assets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interest-bearing liabilities that result in reductions in spreads, could adversely impact the Company’s net interest income and net interest margin.</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$900 million at each of September 30, 2011, December 31, 2010 and June 30, 2011, and $1.0 billion at September 30, 2010. Under the terms of those swap agreements, the Company received payments based on the outstanding notional amount of the swap agreements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September 30, 2011 and 2010 and the quarter ended June 30, 2011 were not material to the Company’s results of operations. The estimated aggregate fair value of interest rate swap agreements designated as fair value hedges represented gains of approximately $149 million, $140 million, $106 million and $97 million at September 30, 2011, September 30, 2010, June 30, 2011 and December 31, 2010, respectively.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with respect to the estimated fair value as of September 30, 2011 of interest rate swap agreements used for managing interest rate risk has been substantially mitigated through master netting arrangements with trading account interest rate contracts with the same counterparties as well as counterparty postings of $78 million of collateral with the Company.</w:t>
      </w:r>
    </w:p>
    <w:p>
      <w:pPr>
        <w:spacing w:after="0" w:line="11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6.07% and 1.87%, respectively, at September 30, 2011. The average notional amounts of interest rate swap agreements entered into for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color w:val="auto"/>
                <w:w w:val="95"/>
              </w:rPr>
              <w:t>Three months ended September 30</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660"/>
              <w:spacing w:after="0" w:line="142" w:lineRule="exact"/>
              <w:rPr>
                <w:sz w:val="20"/>
                <w:szCs w:val="20"/>
                <w:color w:val="auto"/>
              </w:rPr>
            </w:pPr>
            <w:r>
              <w:rPr>
                <w:rFonts w:ascii="Arial" w:cs="Arial" w:eastAsia="Arial" w:hAnsi="Arial"/>
                <w:sz w:val="14"/>
                <w:szCs w:val="14"/>
                <w:color w:val="auto"/>
              </w:rPr>
              <w:t>Amount</w:t>
            </w:r>
          </w:p>
        </w:tc>
        <w:tc>
          <w:tcPr>
            <w:tcW w:w="940" w:type="dxa"/>
            <w:vAlign w:val="bottom"/>
          </w:tcPr>
          <w:p>
            <w:pPr>
              <w:ind w:left="280"/>
              <w:spacing w:after="0" w:line="142" w:lineRule="exact"/>
              <w:rPr>
                <w:sz w:val="20"/>
                <w:szCs w:val="20"/>
                <w:color w:val="auto"/>
              </w:rPr>
            </w:pPr>
            <w:r>
              <w:rPr>
                <w:rFonts w:ascii="Arial" w:cs="Arial" w:eastAsia="Arial" w:hAnsi="Arial"/>
                <w:sz w:val="14"/>
                <w:szCs w:val="14"/>
                <w:color w:val="auto"/>
              </w:rPr>
              <w:t>Rate(a)</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660"/>
              <w:spacing w:after="0" w:line="142" w:lineRule="exact"/>
              <w:rPr>
                <w:sz w:val="20"/>
                <w:szCs w:val="20"/>
                <w:color w:val="auto"/>
              </w:rPr>
            </w:pPr>
            <w:r>
              <w:rPr>
                <w:rFonts w:ascii="Arial" w:cs="Arial" w:eastAsia="Arial" w:hAnsi="Arial"/>
                <w:sz w:val="14"/>
                <w:szCs w:val="14"/>
                <w:color w:val="auto"/>
              </w:rPr>
              <w:t>Amount</w:t>
            </w:r>
          </w:p>
        </w:tc>
        <w:tc>
          <w:tcPr>
            <w:tcW w:w="940" w:type="dxa"/>
            <w:vAlign w:val="bottom"/>
          </w:tcPr>
          <w:p>
            <w:pPr>
              <w:ind w:left="280"/>
              <w:spacing w:after="0" w:line="142" w:lineRule="exact"/>
              <w:rPr>
                <w:sz w:val="20"/>
                <w:szCs w:val="20"/>
                <w:color w:val="auto"/>
              </w:rPr>
            </w:pPr>
            <w:r>
              <w:rPr>
                <w:rFonts w:ascii="Arial" w:cs="Arial" w:eastAsia="Arial" w:hAnsi="Arial"/>
                <w:sz w:val="14"/>
                <w:szCs w:val="14"/>
                <w:color w:val="auto"/>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6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(9,485)</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(10,229)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2"/>
        </w:trPr>
        <w:tc>
          <w:tcPr>
            <w:tcW w:w="3780" w:type="dxa"/>
            <w:vAlign w:val="bottom"/>
          </w:tcPr>
          <w:p>
            <w:pPr>
              <w:ind w:left="440"/>
              <w:spacing w:after="0"/>
              <w:rPr>
                <w:sz w:val="20"/>
                <w:szCs w:val="20"/>
                <w:color w:val="auto"/>
              </w:rPr>
            </w:pPr>
            <w:r>
              <w:rPr>
                <w:rFonts w:ascii="Arial" w:cs="Arial" w:eastAsia="Arial" w:hAnsi="Arial"/>
                <w:sz w:val="18"/>
                <w:szCs w:val="18"/>
                <w:color w:val="auto"/>
              </w:rPr>
              <w:t>Net interest income/margin</w:t>
            </w:r>
          </w:p>
        </w:tc>
        <w:tc>
          <w:tcPr>
            <w:tcW w:w="1440" w:type="dxa"/>
            <w:vAlign w:val="bottom"/>
          </w:tcPr>
          <w:p>
            <w:pPr>
              <w:spacing w:after="0"/>
              <w:rPr>
                <w:sz w:val="19"/>
                <w:szCs w:val="19"/>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9,485</w:t>
            </w:r>
          </w:p>
        </w:tc>
        <w:tc>
          <w:tcPr>
            <w:tcW w:w="38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6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1,037,241</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6.02%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line="20" w:lineRule="exact"/>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color w:val="auto"/>
              </w:rPr>
              <w:t>Nine months ended September 30</w:t>
            </w:r>
          </w:p>
        </w:tc>
        <w:tc>
          <w:tcPr>
            <w:tcW w:w="9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660"/>
              <w:spacing w:after="0" w:line="142" w:lineRule="exact"/>
              <w:rPr>
                <w:sz w:val="20"/>
                <w:szCs w:val="20"/>
                <w:color w:val="auto"/>
              </w:rPr>
            </w:pPr>
            <w:r>
              <w:rPr>
                <w:rFonts w:ascii="Arial" w:cs="Arial" w:eastAsia="Arial" w:hAnsi="Arial"/>
                <w:sz w:val="14"/>
                <w:szCs w:val="14"/>
                <w:color w:val="auto"/>
              </w:rPr>
              <w:t>Amount</w:t>
            </w:r>
          </w:p>
        </w:tc>
        <w:tc>
          <w:tcPr>
            <w:tcW w:w="940" w:type="dxa"/>
            <w:vAlign w:val="bottom"/>
          </w:tcPr>
          <w:p>
            <w:pPr>
              <w:ind w:left="280"/>
              <w:spacing w:after="0" w:line="142" w:lineRule="exact"/>
              <w:rPr>
                <w:sz w:val="20"/>
                <w:szCs w:val="20"/>
                <w:color w:val="auto"/>
              </w:rPr>
            </w:pPr>
            <w:r>
              <w:rPr>
                <w:rFonts w:ascii="Arial" w:cs="Arial" w:eastAsia="Arial" w:hAnsi="Arial"/>
                <w:sz w:val="14"/>
                <w:szCs w:val="14"/>
                <w:color w:val="auto"/>
              </w:rPr>
              <w:t>Rate(a)</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660"/>
              <w:spacing w:after="0" w:line="142" w:lineRule="exact"/>
              <w:rPr>
                <w:sz w:val="20"/>
                <w:szCs w:val="20"/>
                <w:color w:val="auto"/>
              </w:rPr>
            </w:pPr>
            <w:r>
              <w:rPr>
                <w:rFonts w:ascii="Arial" w:cs="Arial" w:eastAsia="Arial" w:hAnsi="Arial"/>
                <w:sz w:val="14"/>
                <w:szCs w:val="14"/>
                <w:color w:val="auto"/>
              </w:rPr>
              <w:t>Amount</w:t>
            </w:r>
          </w:p>
        </w:tc>
        <w:tc>
          <w:tcPr>
            <w:tcW w:w="940" w:type="dxa"/>
            <w:vAlign w:val="bottom"/>
          </w:tcPr>
          <w:p>
            <w:pPr>
              <w:ind w:left="280"/>
              <w:spacing w:after="0" w:line="142" w:lineRule="exact"/>
              <w:rPr>
                <w:sz w:val="20"/>
                <w:szCs w:val="20"/>
                <w:color w:val="auto"/>
              </w:rPr>
            </w:pPr>
            <w:r>
              <w:rPr>
                <w:rFonts w:ascii="Arial" w:cs="Arial" w:eastAsia="Arial" w:hAnsi="Arial"/>
                <w:sz w:val="14"/>
                <w:szCs w:val="14"/>
                <w:color w:val="auto"/>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6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(28,490)</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(32,448)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3780" w:type="dxa"/>
            <w:vAlign w:val="bottom"/>
          </w:tcPr>
          <w:p>
            <w:pPr>
              <w:ind w:left="440"/>
              <w:spacing w:after="0"/>
              <w:rPr>
                <w:sz w:val="20"/>
                <w:szCs w:val="20"/>
                <w:color w:val="auto"/>
              </w:rPr>
            </w:pPr>
            <w:r>
              <w:rPr>
                <w:rFonts w:ascii="Arial" w:cs="Arial" w:eastAsia="Arial" w:hAnsi="Arial"/>
                <w:sz w:val="18"/>
                <w:szCs w:val="18"/>
                <w:color w:val="auto"/>
              </w:rPr>
              <w:t>Net interest income/margin</w:t>
            </w:r>
          </w:p>
        </w:tc>
        <w:tc>
          <w:tcPr>
            <w:tcW w:w="1440" w:type="dxa"/>
            <w:vAlign w:val="bottom"/>
          </w:tcPr>
          <w:p>
            <w:pPr>
              <w:spacing w:after="0"/>
              <w:rPr>
                <w:sz w:val="19"/>
                <w:szCs w:val="19"/>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28,490</w:t>
            </w:r>
          </w:p>
        </w:tc>
        <w:tc>
          <w:tcPr>
            <w:tcW w:w="38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32,448</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6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1,050,794</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6.09%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line="20" w:lineRule="exact"/>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totaled $365 million, $1.0 billion and $826 million at September 30, 2011, September 30, 2010 and December 31, 2010, respectively. In general, those borrowings were unsecured and matured on the following business day. As previously noted, Cayman Islands branch deposits and brokered certificates of deposit have been used by the Company as an alternative to short-term borrowings. Cayman Islands branch deposits also generally mature on the next business day and totaled $515 million at September 30, 2011, $654 million at September 30, 2010 and $1.6 billion at December 31, 2010. Outstanding brokered time deposits at September 30, 2011, September 30, 2010 and December 31, 2010 were $1.4 billion, $526 million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$485 million, respectively. Brokered time deposits assumed in the Wilmington Trust transaction aggregated $1.4 billion at the acquisition date. At September 30, 2011, the weighted-average remaining term to maturity of brokered time deposits was 12 months. Certain of these brokered time deposits have provisions that allow for early redemption. The Company also has brokered NOW and brokered money-market deposit accounts which aggregated $1.2 billion, $1.5 billion and $1.3 billion at September 30, 2011, September 30, 2010 and December 31, 2010, respectively.</w:t>
      </w:r>
    </w:p>
    <w:p>
      <w:pPr>
        <w:spacing w:after="0" w:line="113" w:lineRule="exact"/>
        <w:rPr>
          <w:sz w:val="20"/>
          <w:szCs w:val="20"/>
          <w:color w:val="auto"/>
        </w:rPr>
      </w:pPr>
    </w:p>
    <w:p>
      <w:pPr>
        <w:ind w:right="260" w:firstLine="456"/>
        <w:spacing w:after="0" w:line="314" w:lineRule="auto"/>
        <w:rPr>
          <w:sz w:val="20"/>
          <w:szCs w:val="20"/>
          <w:color w:val="auto"/>
        </w:rPr>
      </w:pPr>
      <w:r>
        <w:rPr>
          <w:rFonts w:ascii="Arial" w:cs="Arial" w:eastAsia="Arial" w:hAnsi="Arial"/>
          <w:sz w:val="15"/>
          <w:szCs w:val="15"/>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$52 million and $27 million at September 30, 2011 and 2010, respectively, and $107 million at December 31, 2010. The total amount of VRDBs outstanding backed by M&amp;T Bank letters of credit was approximately $1.9 billion at each of September 30, 2011 and 2010 and $2.0 billion at December 31, 2010. M&amp;T Bank also serves as remarketing agent for most of those bonds.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September 30, 2011 approximately $1.0 billion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5 of Notes to Financial Statements. The $300 million of 5.375% senior notes of M&amp;T that were issued in 2007 mature in May 2012. M&amp;T also maintains a $30</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million line of credit with an unaffiliated commercial bank, of which there were no borrowings outstanding at September 30, 2011 or at December 31, 2010.</w:t>
      </w:r>
    </w:p>
    <w:p>
      <w:pPr>
        <w:spacing w:after="0" w:line="19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Market risk is the risk of loss from adverse changes in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accompanying table as of September 30, 2011 and December 31, 2010 displays the estimated impact on net interest income from non-trading financial instruments in the base scenario described above resulting from parallel changes in interest rates across repricing categories during the first modeling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140" w:type="dxa"/>
            <w:vAlign w:val="bottom"/>
            <w:gridSpan w:val="5"/>
          </w:tcPr>
          <w:p>
            <w:pPr>
              <w:jc w:val="right"/>
              <w:ind w:right="82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72"/>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120" w:type="dxa"/>
            <w:vAlign w:val="bottom"/>
          </w:tcPr>
          <w:p>
            <w:pPr>
              <w:spacing w:after="0"/>
              <w:rPr>
                <w:sz w:val="14"/>
                <w:szCs w:val="14"/>
                <w:color w:val="auto"/>
              </w:rPr>
            </w:pPr>
          </w:p>
        </w:tc>
        <w:tc>
          <w:tcPr>
            <w:tcW w:w="3140" w:type="dxa"/>
            <w:vAlign w:val="bottom"/>
            <w:gridSpan w:val="5"/>
          </w:tcPr>
          <w:p>
            <w:pPr>
              <w:jc w:val="right"/>
              <w:ind w:right="78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9"/>
        </w:trPr>
        <w:tc>
          <w:tcPr>
            <w:tcW w:w="1420" w:type="dxa"/>
            <w:vAlign w:val="bottom"/>
            <w:tcBorders>
              <w:bottom w:val="single" w:sz="8" w:color="auto"/>
            </w:tcBorders>
            <w:vMerge w:val="continue"/>
          </w:tcPr>
          <w:p>
            <w:pPr>
              <w:spacing w:after="0"/>
              <w:rPr>
                <w:sz w:val="14"/>
                <w:szCs w:val="14"/>
                <w:color w:val="auto"/>
              </w:rPr>
            </w:pPr>
          </w:p>
        </w:tc>
        <w:tc>
          <w:tcPr>
            <w:tcW w:w="56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September 30, 2011</w:t>
            </w:r>
          </w:p>
        </w:tc>
        <w:tc>
          <w:tcPr>
            <w:tcW w:w="16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+200 basis points</w:t>
            </w:r>
          </w:p>
        </w:tc>
        <w:tc>
          <w:tcPr>
            <w:tcW w:w="4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133,080</w:t>
            </w: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67,255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70,660</w:t>
            </w:r>
          </w:p>
        </w:tc>
        <w:tc>
          <w:tcPr>
            <w:tcW w:w="4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35,594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(50,225)</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(40,760)</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-200 basis points</w:t>
            </w:r>
          </w:p>
        </w:tc>
        <w:tc>
          <w:tcPr>
            <w:tcW w:w="5660" w:type="dxa"/>
            <w:vAlign w:val="bottom"/>
            <w:gridSpan w:val="3"/>
          </w:tcPr>
          <w:p>
            <w:pPr>
              <w:jc w:val="right"/>
              <w:ind w:right="400"/>
              <w:spacing w:after="0"/>
              <w:rPr>
                <w:sz w:val="20"/>
                <w:szCs w:val="20"/>
                <w:color w:val="auto"/>
              </w:rPr>
            </w:pPr>
            <w:r>
              <w:rPr>
                <w:rFonts w:ascii="Arial" w:cs="Arial" w:eastAsia="Arial" w:hAnsi="Arial"/>
                <w:sz w:val="18"/>
                <w:szCs w:val="18"/>
                <w:color w:val="auto"/>
              </w:rPr>
              <w:t>(64,124)</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(61,720)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The changes to projected net interest income resulting from rising interest rates at September 30, 2011 as compared with December 31, 2010 were predominantly due to the acquisition of Wilmington Trust. The most significant of those changes related to the rising interest rate scenarios and were largely due to the addition of variable rate commercial loans and commercial real estate loans that had been funded by Wilmington Trust using core deposits and fixed rate brokered time deposits. In addition, higher cash balances obtained in the acquisition allowed the Company to reduce its reliance on variable rate federal funds purchased. In light of the uncertainties and assumptions associated with the process, the amounts presented in the table are not considered significant to the Company’s past or projected net interest income.</w:t>
      </w:r>
    </w:p>
    <w:p>
      <w:pPr>
        <w:spacing w:after="0" w:line="12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12 of Notes to Financial Statements.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notional amounts of interest rate contracts entered into for trading purposes consisting of transactions with customers and offsetting positions with other counterparties so as to mitigate risk totaled $13.6 billion at September 30, 2011, compared with $12.6 billion at September 30, 2010 and $12.8 billion at December 31, 2010. The notional amounts of foreign currency and other option and futures contracts similarly entered into for trading purposes were $1.3 billion, $622 million and $769 million at September 30, 2011, September 30, 2010 and December 31, 2010, respectively. Although the notional amounts of these trading contracts are not recorded in the consolidated balance sheet, the fair values of all financial instruments used for trading activities are recorded in the consolidated balance sheet. The fair values of all trading account assets and liabilities were $606 million and $458 million, respectively, at September 30, 2011, $537 million and $425 million, respectively, at September 30, 2010, and $524 million and $333 million, respectively, at December 31, 2010. Included in trading account assets at September 30, 2011 were $34 million of assets related to deferred compensation plans, compared with $33 million and $35 million at September 30, 2010 and December 31, 2010, respectively. Changes in the fair value of such assets are recorded as “trading account and foreign exchange gains” in the consolidated statement of income. Included in “other liabilities” in the consolidated balance sheet at September 30, 2011 and 2010 were $32 million and $35 million, respectively, of liabilities related to deferred compensation plans, while at December 31, 2010 such liabilities related to deferred compensation plans totaled $36 million. Changes in the balances of such liabilities due to the valuation of allocated investment options to which the liabilities are indexed are recorded in “other costs of operations” in the consolidated statement of income.</w:t>
      </w:r>
    </w:p>
    <w:p>
      <w:pPr>
        <w:spacing w:after="0" w:line="121"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related to the Company’s trading activities. Additional information about the Company’s use of derivative financial instruments in its trading activities is included in note 10 of Notes to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third quarter of 2011 was $58 million, compared with $93 million in the year-earlier quarter and $63 million in the second quarter of 2011. For the nine-month periods ended September 30, 2011 and 2010, the provision for credit losses was $196 million and $283 million, respectively. While the levels of the provision subsequent to 2007 have been higher than historical levels, the Company has recently experienced improvement in some of its credit quality metrics. Nevertheless, generally declining real estate valuations and higher than normal levels of delinquencies and charge-offs have significantly affected the quality of the Company’s residential real estate-related loan portfolios. Specifically, the Company’s alternative (“Alt-A”)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residential real estate loan portfolio and its residential real estate builder and developer loan portfolio experienced the majority of the credit problems related to the turmoil in the residential real estate market place in recent years. Alt-A loans represent residential real estate loans that at origination typically included some form of limited borrower documentation requirements as compared with more traditional residential real estate loans. Loans in the Company’s Alt-A portfolio were originated by the Company prior to 2008. The Company also experienced increased levels of commercial loan and consumer loan charge-offs over the past three years due to, among other things, higher unemployment levels and the recessionary economy.</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loan charge-offs were $57 million in the recent quarter, compared with $93 million in the third quarter of 2010 and $59 million in the second quarter of 2011. Net charge-offs as an annualized percentage of average loans and leases were .39% in the third quarter of 2011, compared with .73% and .43% in the third quarter of 2010 and the second quarter of 2011, respectively. Net charge-offs for the nine-month periods ended September 30 totaled $190 million in 2011 and $269 million in 2010, representing an annualized .46% and .70% of average loans and leases. A summary of net charge–offs by loan type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color w:val="auto"/>
                <w:w w:val="89"/>
              </w:rPr>
              <w:t>2011</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7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1"/>
                <w:szCs w:val="11"/>
                <w:color w:val="auto"/>
              </w:rPr>
            </w:pPr>
          </w:p>
        </w:tc>
      </w:tr>
      <w:tr>
        <w:trPr>
          <w:trHeight w:val="159"/>
        </w:trPr>
        <w:tc>
          <w:tcPr>
            <w:tcW w:w="7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1st Qtr.</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90"/>
              </w:rPr>
              <w:t>2nd Qtr.</w:t>
            </w:r>
          </w:p>
        </w:tc>
        <w:tc>
          <w:tcPr>
            <w:tcW w:w="300" w:type="dxa"/>
            <w:vAlign w:val="bottom"/>
          </w:tcPr>
          <w:p>
            <w:pPr>
              <w:spacing w:after="0"/>
              <w:rPr>
                <w:sz w:val="13"/>
                <w:szCs w:val="13"/>
                <w:color w:val="auto"/>
              </w:rPr>
            </w:pPr>
          </w:p>
        </w:tc>
        <w:tc>
          <w:tcPr>
            <w:tcW w:w="8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3rd Qtr.</w:t>
            </w:r>
          </w:p>
        </w:tc>
        <w:tc>
          <w:tcPr>
            <w:tcW w:w="7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to-date</w:t>
            </w: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$11,862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12,650</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24,230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12,731</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12,873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14,666</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13,839</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10,385</w:t>
            </w:r>
          </w:p>
        </w:tc>
        <w:tc>
          <w:tcPr>
            <w:tcW w:w="620" w:type="dxa"/>
            <w:vAlign w:val="bottom"/>
          </w:tcPr>
          <w:p>
            <w:pPr>
              <w:jc w:val="right"/>
              <w:spacing w:after="0"/>
              <w:rPr>
                <w:sz w:val="20"/>
                <w:szCs w:val="20"/>
                <w:color w:val="auto"/>
              </w:rPr>
            </w:pPr>
            <w:r>
              <w:rPr>
                <w:rFonts w:ascii="Arial" w:cs="Arial" w:eastAsia="Arial" w:hAnsi="Arial"/>
                <w:sz w:val="18"/>
                <w:szCs w:val="18"/>
                <w:color w:val="auto"/>
              </w:rPr>
              <w:t>38,890</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23,480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19,894</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24,346</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67,720</w:t>
            </w:r>
          </w:p>
        </w:tc>
        <w:tc>
          <w:tcPr>
            <w:tcW w:w="100" w:type="dxa"/>
            <w:vAlign w:val="bottom"/>
            <w:shd w:val="clear" w:color="auto" w:fill="CCEEFF"/>
          </w:tcPr>
          <w:p>
            <w:pPr>
              <w:spacing w:after="0"/>
              <w:rPr>
                <w:sz w:val="18"/>
                <w:szCs w:val="18"/>
                <w:color w:val="auto"/>
              </w:rPr>
            </w:pPr>
          </w:p>
        </w:tc>
      </w:tr>
      <w:tr>
        <w:trPr>
          <w:trHeight w:val="222"/>
        </w:trPr>
        <w:tc>
          <w:tcPr>
            <w:tcW w:w="722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74,238</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59,114</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57,064</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190,416</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color w:val="auto"/>
                <w:w w:val="89"/>
              </w:rPr>
              <w:t>2010</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7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1"/>
                <w:szCs w:val="11"/>
                <w:color w:val="auto"/>
              </w:rPr>
            </w:pPr>
          </w:p>
        </w:tc>
      </w:tr>
      <w:tr>
        <w:trPr>
          <w:trHeight w:val="159"/>
        </w:trPr>
        <w:tc>
          <w:tcPr>
            <w:tcW w:w="7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1st Qtr.</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90"/>
              </w:rPr>
              <w:t>2nd Qtr.</w:t>
            </w:r>
          </w:p>
        </w:tc>
        <w:tc>
          <w:tcPr>
            <w:tcW w:w="300" w:type="dxa"/>
            <w:vAlign w:val="bottom"/>
          </w:tcPr>
          <w:p>
            <w:pPr>
              <w:spacing w:after="0"/>
              <w:rPr>
                <w:sz w:val="13"/>
                <w:szCs w:val="13"/>
                <w:color w:val="auto"/>
              </w:rPr>
            </w:pPr>
          </w:p>
        </w:tc>
        <w:tc>
          <w:tcPr>
            <w:tcW w:w="8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3rd Qtr.</w:t>
            </w:r>
          </w:p>
        </w:tc>
        <w:tc>
          <w:tcPr>
            <w:tcW w:w="7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to-date</w:t>
            </w: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$17,994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33,147</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30,226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35,449</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17,837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83,512</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15,280</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13,182</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17,480</w:t>
            </w:r>
          </w:p>
        </w:tc>
        <w:tc>
          <w:tcPr>
            <w:tcW w:w="620" w:type="dxa"/>
            <w:vAlign w:val="bottom"/>
          </w:tcPr>
          <w:p>
            <w:pPr>
              <w:jc w:val="right"/>
              <w:spacing w:after="0"/>
              <w:rPr>
                <w:sz w:val="20"/>
                <w:szCs w:val="20"/>
                <w:color w:val="auto"/>
              </w:rPr>
            </w:pPr>
            <w:r>
              <w:rPr>
                <w:rFonts w:ascii="Arial" w:cs="Arial" w:eastAsia="Arial" w:hAnsi="Arial"/>
                <w:sz w:val="18"/>
                <w:szCs w:val="18"/>
                <w:color w:val="auto"/>
              </w:rPr>
              <w:t>45,942</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31,009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23,801</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24,483</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79,293</w:t>
            </w:r>
          </w:p>
        </w:tc>
        <w:tc>
          <w:tcPr>
            <w:tcW w:w="100" w:type="dxa"/>
            <w:vAlign w:val="bottom"/>
            <w:shd w:val="clear" w:color="auto" w:fill="CCEEFF"/>
          </w:tcPr>
          <w:p>
            <w:pPr>
              <w:spacing w:after="0"/>
              <w:rPr>
                <w:sz w:val="18"/>
                <w:szCs w:val="18"/>
                <w:color w:val="auto"/>
              </w:rPr>
            </w:pPr>
          </w:p>
        </w:tc>
      </w:tr>
      <w:tr>
        <w:trPr>
          <w:trHeight w:val="222"/>
        </w:trPr>
        <w:tc>
          <w:tcPr>
            <w:tcW w:w="722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94,509</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81,598</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92,947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269,054</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 charge-offs of commercial loans and leases declined in the two most recent quarters as compared with the third quarter of 2010 due largely to a general improvement in economic conditions for businesses. Included in net charge-offs of commercial real estate loans were net charge-offs of loans to residential homebuilders and developers of $5 million and $11 million for the quarters ended September 30, 2011 and 2010, respectively, and $6 million in the second quarter of 2011. Net charge-offs of residential real estate loans included net charge-offs of Alt-A first mortgage loans of $7 million and $9 million in the third quarters of 2011 and 2010, respectively, compared with $8 million during the quarter ended June 30, 2011. Included in net charge-offs of consumer loans and leases were net charge-offs during the quarters ended September 30, 2011, September 30, 2010 and June 30, 2011, respectively, of: indirect automobile loans of $5 million, $7 million and $5 million; recreational vehicle loans of $5 million, $6 million and $5 million; and home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equity loans and lines of credit, including Alt-A second lien loans, of $10 million, $7 million and $8 million. Including both first and second lien mortgages, net charge-offs of Alt-A loans totaled $8 million and $10 million in the quarters ended September 30, 2011 and 2010, respectively, compared with $9 million in the second quarter of 2011.</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Nonaccrual loans totaled $1.11 billion or 1.91% of total loans and leases outstanding at September 30, 2011, compared with $1.00 billion or 1.97% at September 30, 2010, $1.14 billion or 2.19% at December 31, 2010 and $1.12 billion or 1.91% at June 30, 2011. Contributing to the increase in nonaccrual loans from September 30, 2010 were the transfers to nonaccrual status in the fourth quarter of 2010 of a relationship with a residential builder and developer which totaled $64 million at the end of the recent quarter and commercial construction loans to an owner/operator of retirement and assisted living facilities which totaled $66 million at September 30, 2011, and a second quarter 2011 transfer to this category of a $21 million loan to a residential builder and developer. Partially offsetting the transfers to nonaccrual status were charge-offs and payments, including the fourth quarter 2010 payoff of a $36 million relationship with a borrower in the commercial real estate sector. The continuing softness in the residential real estate marketplace has resulted in depressed real estate values and high levels of delinquencies, both for loans to consumers and loans to builders and developers of residential real estate. Conditions in the U.S. economy have resulted in generally higher levels of nonaccrual loans than historically experienced by the Company.</w:t>
      </w:r>
    </w:p>
    <w:p>
      <w:pPr>
        <w:spacing w:after="0" w:line="1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order to provide information about the performance of loans obtained in acquisitions, effective September 30, 2011, the Company began to separately report “other acquired impaired loans”, which represent acquired loans that ceased performing in accordance with their contractual terms subsequent to the acquisition date but that are included in accounting pools that continue to accrue interest income. In accordance with GAAP, those individual loans are not considered impaired because impairment is determined at the pool level. Other acquired impaired loans, which had previously been aggregated with nonaccrual loans, totaled $218 million or .37% of total loans at September 30, 2011, compared with $98 million or .19% a year earlier, $99 million or .19% at December 31, 2010 and $141 million or .24% at June 30, 2011. The increase in such loans from June 30, 2011 to September 30, 2011 was due to the addition of $81 million of loans obtained in the acquisition of Wilmington Trust. There were no Wilmington Trust loans in this category at June 30, 2011. Acquired loans, including other acquired impaired loans, were initially recorded at fair value on the acquisition date. The determination of fair value took into consideration the impact of credit losses on expected cash flows associated with such loans. As a result of recording acquired loans at fair value, the Company presently expects that credit losses associated with other acquired impaired loans will not have a material effect on the Company’s consolidated financial statements.</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Accruing loans past due 90 days or more were $310 million or .53% of total loans and leases at September 30, 2011, compared with $215 million or .42% a year earlier, $270 million or .52% at December 31, 2010 and $373 million or .64% at June 30, 2011. Reflected in those loans at September 30 and June 30, 2011 were $64 million and $130 million, respectively, of loans obtained in the Wilmington Trust acquisition that were past their renewal date. For each of those loans, borrowers continued to currently make periodic payments as required by their maturing loan agreements while new agreements between the borrowers and the Company were being developed. Accruing loans past due 90 days or more also included $212 million, $194 million, $214 million and $207 million at September 30, 2011, September 30, 2010, December 31, 2010 and June 30, 2011, respectively, of loans guaranteed by government-related entities. Such guaranteed loans included one-to-four family residential mortgage loans serviced by the Company that were repurchased to reduce servicing costs, including a requirement to advance principal and interest payments that had not been received from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$205 million, $178 million, $191 million and $195 million at September 30, 2011, September 30, 2010, December 31, 2010 and June 30, 2011, respectively.</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$704 million at September 30, 2011, or approximately 1% of total loans. Of that amount, $634 million related to the Wilmington Trust acquisition.</w:t>
      </w:r>
    </w:p>
    <w:p>
      <w:pPr>
        <w:spacing w:after="0" w:line="14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an effort to assist borrowers, the Company modified the terms of select loans secured by residential real estate, largely from the Company’s portfolio of Alt-A loans. Included in loans outstanding at September 30, 2011 were $294 million of modified loans, of which $129 million were classified as nonaccrual. The remaining modified loans have demonstrated payment capability consistent with the modified terms and, accordingly, were classified as renegotiated loans and were accruing interest at September 30, 2011. Loan 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allowance for credit losses. Modified residential real estate loans totaled $309 million at September 30, 2010, of which $117 million were in nonaccrual status, and $308 million as of December 31, 2010, of which $117 million were in nonaccrual status. Information about modifications of loans that are considered troubled debt restructurings during the three and nine month periods ended September 30, 2011 is included in note 4 of Notes to Financial Statements.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M&amp;T has not granted a concession with respect to the ultimate collection of the original loan balance. Such loans aggregated $133 million, $106 million and $129 million at September 30, 2011, December 31, 2010 and June 30, 2011, respectively.</w:t>
      </w:r>
    </w:p>
    <w:p>
      <w:pPr>
        <w:spacing w:after="0" w:line="143"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Commercial loans and leases classified as nonaccrual totaled $151 million at September 30, 2011, $200 million at September 30, 2010, $173 million at December 31, 2010 and $151 million at June 30, 2011. The decline in such loans since September 30, 2010 reflects payments/payoffs including a fourth quarter 2010 payoff of a $36 million relationship with a borrower in the commercial</w:t>
      </w:r>
    </w:p>
    <w:p>
      <w:pPr>
        <w:ind w:right="380"/>
        <w:spacing w:after="0" w:line="323" w:lineRule="auto"/>
        <w:rPr>
          <w:sz w:val="20"/>
          <w:szCs w:val="20"/>
          <w:color w:val="auto"/>
        </w:rPr>
      </w:pPr>
      <w:r>
        <w:rPr>
          <w:rFonts w:ascii="Arial" w:cs="Arial" w:eastAsia="Arial" w:hAnsi="Arial"/>
          <w:sz w:val="16"/>
          <w:szCs w:val="16"/>
          <w:color w:val="auto"/>
        </w:rPr>
        <w:t>real estate sector. Other acquired impaired commercial loans totaled $22 million at September 30, 2011 (including $8 million related to the Wilmington Trust acquisition), compared with $15 million at September 30, 2010 and $13 million at each of December 31, 2010 and June 30, 2011.</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Nonaccrual commercial real estate loans aggregated $607 million at September 30, 2011, $460 million a year earlier, $617 million at December 31, 2010 and $610 million at June 30, 2011. Reflected in such nonaccrual loans were loans to residential homebuilders and developers totaling $319 million, $272 million, $317 million and $317 million at September 30, 2011, September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30, 2010, December 31, 2010 and June 30, 2011, respectively. Contributing to the increases from September 30, 2010 was the fourth quarter 2010 addition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nonaccrual loans of commercial construction loans to an owner/operator of retirement and assisted living facilities, which aggregated $66 million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2011. Information about the location of nonaccrual and charged–off loans to residential real estate builders and developers as of and for the three-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month period ended September 30, 2011 is presented in the accompanying table. Other acquired impaired commercial real estate loans aggregated $156 million 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recent quarter-end (including $63 million related to the Wilmington Trust acquisition), compared with $62 million, $65 million and $98 million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December 31, 2010 and June 30, 2011,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4"/>
                <w:szCs w:val="14"/>
                <w:color w:val="auto"/>
                <w:w w:val="84"/>
              </w:rPr>
              <w:t>Quarter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60" w:type="dxa"/>
            <w:vAlign w:val="bottom"/>
            <w:gridSpan w:val="6"/>
          </w:tcPr>
          <w:p>
            <w:pPr>
              <w:jc w:val="right"/>
              <w:ind w:right="1220"/>
              <w:spacing w:after="0" w:line="159" w:lineRule="exact"/>
              <w:rPr>
                <w:sz w:val="20"/>
                <w:szCs w:val="20"/>
                <w:color w:val="auto"/>
              </w:rPr>
            </w:pPr>
            <w:r>
              <w:rPr>
                <w:rFonts w:ascii="Arial" w:cs="Arial" w:eastAsia="Arial" w:hAnsi="Arial"/>
                <w:sz w:val="14"/>
                <w:szCs w:val="14"/>
                <w:color w:val="auto"/>
                <w:w w:val="88"/>
              </w:rPr>
              <w:t>September 30, 2011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jc w:val="center"/>
              <w:ind w:right="280"/>
              <w:spacing w:after="0" w:line="159" w:lineRule="exact"/>
              <w:rPr>
                <w:sz w:val="20"/>
                <w:szCs w:val="20"/>
                <w:color w:val="auto"/>
              </w:rPr>
            </w:pPr>
            <w:r>
              <w:rPr>
                <w:rFonts w:ascii="Arial" w:cs="Arial" w:eastAsia="Arial" w:hAnsi="Arial"/>
                <w:sz w:val="14"/>
                <w:szCs w:val="14"/>
                <w:color w:val="auto"/>
                <w:w w:val="85"/>
              </w:rPr>
              <w:t>September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3"/>
          </w:tcPr>
          <w:p>
            <w:pPr>
              <w:ind w:left="440"/>
              <w:spacing w:after="0" w:line="142" w:lineRule="exact"/>
              <w:rPr>
                <w:sz w:val="20"/>
                <w:szCs w:val="20"/>
                <w:color w:val="auto"/>
              </w:rPr>
            </w:pPr>
            <w:r>
              <w:rPr>
                <w:rFonts w:ascii="Arial" w:cs="Arial" w:eastAsia="Arial" w:hAnsi="Arial"/>
                <w:sz w:val="14"/>
                <w:szCs w:val="14"/>
                <w:color w:val="auto"/>
              </w:rPr>
              <w:t>Nonaccrual</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center"/>
              <w:ind w:right="2"/>
              <w:spacing w:after="0" w:line="142" w:lineRule="exact"/>
              <w:rPr>
                <w:sz w:val="20"/>
                <w:szCs w:val="20"/>
                <w:color w:val="auto"/>
              </w:rPr>
            </w:pPr>
            <w:r>
              <w:rPr>
                <w:rFonts w:ascii="Arial" w:cs="Arial" w:eastAsia="Arial" w:hAnsi="Arial"/>
                <w:sz w:val="14"/>
                <w:szCs w:val="14"/>
                <w:color w:val="auto"/>
                <w:w w:val="87"/>
              </w:rPr>
              <w:t>Net charge-offs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2"/>
              </w:rPr>
              <w:t>Annualized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Percent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Outstanding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outstanding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outstanding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40" w:type="dxa"/>
            <w:vAlign w:val="bottom"/>
            <w:gridSpan w:val="3"/>
          </w:tcPr>
          <w:p>
            <w:pPr>
              <w:ind w:left="60"/>
              <w:spacing w:after="0" w:line="159" w:lineRule="exact"/>
              <w:rPr>
                <w:sz w:val="20"/>
                <w:szCs w:val="20"/>
                <w:color w:val="auto"/>
              </w:rPr>
            </w:pPr>
            <w:r>
              <w:rPr>
                <w:rFonts w:ascii="Arial" w:cs="Arial" w:eastAsia="Arial" w:hAnsi="Arial"/>
                <w:sz w:val="14"/>
                <w:szCs w:val="14"/>
                <w:color w:val="auto"/>
                <w:w w:val="98"/>
              </w:rPr>
              <w:t>balances (a)</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8"/>
              <w:spacing w:after="0" w:line="159" w:lineRule="exact"/>
              <w:rPr>
                <w:sz w:val="20"/>
                <w:szCs w:val="20"/>
                <w:color w:val="auto"/>
              </w:rPr>
            </w:pPr>
            <w:r>
              <w:rPr>
                <w:rFonts w:ascii="Arial" w:cs="Arial" w:eastAsia="Arial" w:hAnsi="Arial"/>
                <w:sz w:val="14"/>
                <w:szCs w:val="14"/>
                <w:color w:val="auto"/>
                <w:w w:val="79"/>
              </w:rPr>
              <w:t>Balances</w:t>
            </w:r>
          </w:p>
        </w:tc>
        <w:tc>
          <w:tcPr>
            <w:tcW w:w="400" w:type="dxa"/>
            <w:vAlign w:val="bottom"/>
          </w:tcPr>
          <w:p>
            <w:pPr>
              <w:spacing w:after="0"/>
              <w:rPr>
                <w:sz w:val="13"/>
                <w:szCs w:val="13"/>
                <w:color w:val="auto"/>
              </w:rPr>
            </w:pPr>
          </w:p>
        </w:tc>
        <w:tc>
          <w:tcPr>
            <w:tcW w:w="94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2"/>
              </w:rPr>
              <w:t>balances</w:t>
            </w:r>
          </w:p>
        </w:tc>
        <w:tc>
          <w:tcPr>
            <w:tcW w:w="180" w:type="dxa"/>
            <w:vAlign w:val="bottom"/>
          </w:tcPr>
          <w:p>
            <w:pPr>
              <w:spacing w:after="0"/>
              <w:rPr>
                <w:sz w:val="13"/>
                <w:szCs w:val="13"/>
                <w:color w:val="auto"/>
              </w:rPr>
            </w:pPr>
          </w:p>
        </w:tc>
        <w:tc>
          <w:tcPr>
            <w:tcW w:w="880" w:type="dxa"/>
            <w:vAlign w:val="bottom"/>
            <w:gridSpan w:val="3"/>
          </w:tcPr>
          <w:p>
            <w:pPr>
              <w:spacing w:after="0" w:line="159" w:lineRule="exact"/>
              <w:rPr>
                <w:sz w:val="20"/>
                <w:szCs w:val="20"/>
                <w:color w:val="auto"/>
              </w:rPr>
            </w:pPr>
            <w:r>
              <w:rPr>
                <w:rFonts w:ascii="Arial" w:cs="Arial" w:eastAsia="Arial" w:hAnsi="Arial"/>
                <w:sz w:val="14"/>
                <w:szCs w:val="14"/>
                <w:color w:val="auto"/>
              </w:rPr>
              <w:t>Balances</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balances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color w:val="auto"/>
                <w:w w:val="86"/>
              </w:rPr>
              <w:t>(dollars in thousands)</w:t>
            </w: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227,921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18,453</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Pennsylvania</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363,093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94,543</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26.04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717</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1,025,368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186,950</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4,068</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203,728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35,423</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17.39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330</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1,820,110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335,369</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18.43%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5,635</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$150 million of loans not secured by real estate, of which approximately $16 million were in nonaccrual status.</w:t>
      </w:r>
    </w:p>
    <w:p>
      <w:pPr>
        <w:spacing w:after="0" w:line="171" w:lineRule="exact"/>
        <w:rPr>
          <w:sz w:val="20"/>
          <w:szCs w:val="20"/>
          <w:color w:val="auto"/>
        </w:rPr>
      </w:pPr>
    </w:p>
    <w:p>
      <w:pPr>
        <w:ind w:right="200" w:firstLine="456"/>
        <w:spacing w:after="0" w:line="287" w:lineRule="auto"/>
        <w:rPr>
          <w:sz w:val="20"/>
          <w:szCs w:val="20"/>
          <w:color w:val="auto"/>
        </w:rPr>
      </w:pPr>
      <w:r>
        <w:rPr>
          <w:rFonts w:ascii="Arial" w:cs="Arial" w:eastAsia="Arial" w:hAnsi="Arial"/>
          <w:sz w:val="16"/>
          <w:szCs w:val="16"/>
          <w:color w:val="auto"/>
        </w:rPr>
        <w:t>Residential real estate loans classified as nonaccrual totaled $274 million at September 30, 2011, $263 million at September 30, 2010, $268 million at December 31, 2010 and $276 million at June 30, 2011. Depressed real estate values and high levels of delinquencies have contributed to higher than historical levels of residential real estate loans classified as nonaccrual and to the elevated level of charge-offs. Included in residential real estate loans classified as nonaccrual were Alt-A loans, which totaled $109 million and $107 million at September 30, 2011 and September 30, 2010, respectively, $106 million at December 31, 2010 and $107 million at June 30, 2011. Residential real estate loans past due 90 days or more and accruing interest totaled $218 million at September 30, 2011, compared with $183 million a year earlier, and $192 million and $199 million at December 31, 2010 and June 30, 2011, respectively. A substantial portion of such amounts related to guaranteed loans repurchased from government-related entities. Information about the location of nonaccrual and charged-off residential real estate loans as of and for the quarter ended September 30, 2011 is presented in the accompanying table. Other acquired impaired residential real estate loans totaled $26 million at September 30, 2011 (including $7 million related to the Wilmington Trust acquisition), compared with $10 million a year earlier, $11 million at December 31, 2010 and $19 million at June 30, 2011.</w:t>
      </w:r>
    </w:p>
    <w:p>
      <w:pPr>
        <w:spacing w:after="0" w:line="123"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Nonaccrual consumer loans and leases totaled $82 million at September 30, 2011, compared with $77 million a year earlier, $80 million at December 31, 2010 and $81 million at June 30, 2011. As a percentage of consumer loan balances outstanding, nonaccrual consumer loans were .68% at September 30, 2011, compared with .66% a year earlier, .70% at December 31, 2010 and .66% at June 30, 2011. Included in nonaccrual consumer loans and leases at September 30,</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2011, September 30, 2010, December 31, 2010 and June 30, 2011 were automobile loans of $27 million, $32 million, $32 million and $27 million, respectively; recreational vehicle loans of $9 million, $9 million, $12 million and $9 million, respectively; and outstanding balances of home equity loans and lines of credit, including second lien Alt-A loans, of $42 million, $33 million, $33 million and $39 million, respectively. Consumer loans past due 90 days or more and accruing interest were $6 million at September 30, 2011 and $4 million at each of September 30, 2010, December 31, 2010 and June 30, 2011. Information about the location of nonaccrual and charged-off home equity loans and lines of credit as of and for the quarter ended September 30, 2011 is presented in the accompanying table. Other acquired impaired consumer loans totaled $14 million at September 30, 2011 and $11 million at each of September 30, 2010, December 31, 2010 and June 30, 2011.</w:t>
      </w:r>
    </w:p>
    <w:p>
      <w:pPr>
        <w:spacing w:after="0" w:line="14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Real estate and other foreclosed assets totaled $150 million at September 30, 2011, $193 million at September 30, 2010, $220 million at December 31, 2010 and $159 million at June 30, 2011. The decline in such assets at the two most recent quarter-ends as compared with September 30 and December 31, 2010 resulted from the sale during the second quarter of 2011 of a commercial real estate property located in New York City with a carrying value of $99 million. The Company’s holding of residential real estate-related properties comprised approximately 69% of foreclosed assets at September 30, 2011. Reflected in real estate and other foreclosed assets at September 30, 2011 and June 30, 2011 were $51 million and $57 million, respectively, of such assets associated with the Wilmington Trust acquisition.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color w:val="auto"/>
                <w:w w:val="86"/>
              </w:rPr>
              <w:t>Quarter ended</w:t>
            </w: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20" w:type="dxa"/>
            <w:vAlign w:val="bottom"/>
            <w:gridSpan w:val="6"/>
          </w:tcPr>
          <w:p>
            <w:pPr>
              <w:jc w:val="right"/>
              <w:ind w:right="1400"/>
              <w:spacing w:after="0" w:line="159" w:lineRule="exact"/>
              <w:rPr>
                <w:sz w:val="20"/>
                <w:szCs w:val="20"/>
                <w:color w:val="auto"/>
              </w:rPr>
            </w:pPr>
            <w:r>
              <w:rPr>
                <w:rFonts w:ascii="Arial" w:cs="Arial" w:eastAsia="Arial" w:hAnsi="Arial"/>
                <w:sz w:val="14"/>
                <w:szCs w:val="14"/>
                <w:color w:val="auto"/>
                <w:w w:val="86"/>
              </w:rPr>
              <w:t>September 30, 2011</w:t>
            </w:r>
          </w:p>
        </w:tc>
        <w:tc>
          <w:tcPr>
            <w:tcW w:w="100" w:type="dxa"/>
            <w:vAlign w:val="bottom"/>
          </w:tcPr>
          <w:p>
            <w:pPr>
              <w:spacing w:after="0"/>
              <w:rPr>
                <w:sz w:val="13"/>
                <w:szCs w:val="13"/>
                <w:color w:val="auto"/>
              </w:rPr>
            </w:pPr>
          </w:p>
        </w:tc>
        <w:tc>
          <w:tcPr>
            <w:tcW w:w="1640" w:type="dxa"/>
            <w:vAlign w:val="bottom"/>
            <w:gridSpan w:val="4"/>
          </w:tcPr>
          <w:p>
            <w:pPr>
              <w:ind w:left="120"/>
              <w:spacing w:after="0" w:line="159" w:lineRule="exact"/>
              <w:rPr>
                <w:sz w:val="20"/>
                <w:szCs w:val="20"/>
                <w:color w:val="auto"/>
              </w:rPr>
            </w:pPr>
            <w:r>
              <w:rPr>
                <w:rFonts w:ascii="Arial" w:cs="Arial" w:eastAsia="Arial" w:hAnsi="Arial"/>
                <w:sz w:val="14"/>
                <w:szCs w:val="14"/>
                <w:color w:val="auto"/>
              </w:rPr>
              <w:t>September 30, 2011</w:t>
            </w: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center"/>
              <w:ind w:right="34"/>
              <w:spacing w:after="0" w:line="131" w:lineRule="exact"/>
              <w:rPr>
                <w:sz w:val="20"/>
                <w:szCs w:val="20"/>
                <w:color w:val="auto"/>
              </w:rPr>
            </w:pPr>
            <w:r>
              <w:rPr>
                <w:rFonts w:ascii="Arial" w:cs="Arial" w:eastAsia="Arial" w:hAnsi="Arial"/>
                <w:sz w:val="14"/>
                <w:szCs w:val="14"/>
                <w:color w:val="auto"/>
                <w:w w:val="87"/>
              </w:rPr>
              <w:t>Net charge-offs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4"/>
          </w:tcPr>
          <w:p>
            <w:pPr>
              <w:jc w:val="right"/>
              <w:ind w:right="1020"/>
              <w:spacing w:after="0" w:line="159" w:lineRule="exact"/>
              <w:rPr>
                <w:sz w:val="20"/>
                <w:szCs w:val="20"/>
                <w:color w:val="auto"/>
              </w:rPr>
            </w:pPr>
            <w:r>
              <w:rPr>
                <w:rFonts w:ascii="Arial" w:cs="Arial" w:eastAsia="Arial" w:hAnsi="Arial"/>
                <w:sz w:val="14"/>
                <w:szCs w:val="14"/>
                <w:color w:val="auto"/>
              </w:rPr>
              <w:t>Nonaccrual</w:t>
            </w:r>
          </w:p>
        </w:tc>
        <w:tc>
          <w:tcPr>
            <w:tcW w:w="100" w:type="dxa"/>
            <w:vAlign w:val="bottom"/>
          </w:tcPr>
          <w:p>
            <w:pPr>
              <w:spacing w:after="0"/>
              <w:rPr>
                <w:sz w:val="13"/>
                <w:szCs w:val="13"/>
                <w:color w:val="auto"/>
              </w:rPr>
            </w:pPr>
          </w:p>
        </w:tc>
        <w:tc>
          <w:tcPr>
            <w:tcW w:w="1640" w:type="dxa"/>
            <w:vAlign w:val="bottom"/>
            <w:gridSpan w:val="4"/>
          </w:tcPr>
          <w:p>
            <w:pPr>
              <w:jc w:val="center"/>
              <w:ind w:right="300"/>
              <w:spacing w:after="0" w:line="159" w:lineRule="exact"/>
              <w:rPr>
                <w:sz w:val="20"/>
                <w:szCs w:val="20"/>
                <w:color w:val="auto"/>
              </w:rPr>
            </w:pPr>
            <w:r>
              <w:rPr>
                <w:rFonts w:ascii="Arial" w:cs="Arial" w:eastAsia="Arial" w:hAnsi="Arial"/>
                <w:sz w:val="14"/>
                <w:szCs w:val="14"/>
                <w:color w:val="auto"/>
                <w:w w:val="89"/>
              </w:rPr>
              <w:t>(recoveries)</w:t>
            </w: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2"/>
              </w:rPr>
              <w:t>Annualized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Percent of</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0"/>
              </w:rPr>
              <w:t>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5"/>
              </w:rPr>
              <w:t>outstanding</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outstanding</w:t>
            </w: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5"/>
              </w:rPr>
              <w:t>balances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3"/>
              </w:rPr>
              <w:t>Balances</w:t>
            </w:r>
          </w:p>
        </w:tc>
        <w:tc>
          <w:tcPr>
            <w:tcW w:w="400" w:type="dxa"/>
            <w:vAlign w:val="bottom"/>
          </w:tcPr>
          <w:p>
            <w:pPr>
              <w:spacing w:after="0"/>
              <w:rPr>
                <w:sz w:val="13"/>
                <w:szCs w:val="13"/>
                <w:color w:val="auto"/>
              </w:rPr>
            </w:pPr>
          </w:p>
        </w:tc>
        <w:tc>
          <w:tcPr>
            <w:tcW w:w="112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2"/>
              </w:rPr>
              <w:t>balances</w:t>
            </w: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Balances</w:t>
            </w:r>
          </w:p>
        </w:tc>
        <w:tc>
          <w:tcPr>
            <w:tcW w:w="8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6"/>
              </w:rPr>
              <w:t>balances</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color w:val="auto"/>
                <w:w w:val="86"/>
              </w:rPr>
              <w:t>(dollars 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2,561,231</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48,468</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671</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935,848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20,832</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1,688,743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30,273</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1,320</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1,280,646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61,512</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ind w:left="440"/>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6,466,468</w:t>
            </w: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161,085</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2,861</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8,613</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822</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15,963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ind w:left="440"/>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51,091</w:t>
            </w: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3,973</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86,040</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18,884</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495</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98,431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16,070</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853</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343,763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71,012</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5,720</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ind w:left="440"/>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547,892</w:t>
            </w: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108,793</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7,081</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2,482</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310</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ind w:left="440"/>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20,327</w:t>
            </w: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959</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1,340</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28,478</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129,339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646</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ind w:left="440"/>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316,639</w:t>
            </w: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4,200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884,581</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2,564</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372</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583,442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537,142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1,003</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ind w:left="440"/>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2,021,401</w:t>
            </w: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5,831</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526</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67,468</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1,417</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211,996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399</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375,696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4,263</w:t>
            </w:r>
          </w:p>
        </w:tc>
        <w:tc>
          <w:tcPr>
            <w:tcW w:w="4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831</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1,581,466</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18,998</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3,859</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621,497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1,722,867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2,579</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1,914</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116,077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tcPr>
          <w:p>
            <w:pPr>
              <w:ind w:left="440"/>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4,041,907</w:t>
            </w: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26,340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6,732</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vMerge w:val="restart"/>
          </w:tcPr>
          <w:p>
            <w:pPr>
              <w:jc w:val="right"/>
              <w:ind w:right="312"/>
              <w:spacing w:after="0"/>
              <w:rPr>
                <w:sz w:val="20"/>
                <w:szCs w:val="20"/>
                <w:color w:val="auto"/>
              </w:rPr>
            </w:pPr>
            <w:r>
              <w:rPr>
                <w:rFonts w:ascii="Arial" w:cs="Arial" w:eastAsia="Arial" w:hAnsi="Arial"/>
                <w:sz w:val="18"/>
                <w:szCs w:val="18"/>
                <w:color w:val="auto"/>
              </w:rPr>
              <w:t>- 78 -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comparative summary of nonperforming assets and certain past due, renegotiated and impaired loan data and credit quality ratios as of the end of the periods indicated is presented in the accompanying table.</w:t>
      </w:r>
    </w:p>
    <w:p>
      <w:pPr>
        <w:spacing w:after="0" w:line="213" w:lineRule="exact"/>
        <w:rPr>
          <w:sz w:val="20"/>
          <w:szCs w:val="20"/>
          <w:color w:val="auto"/>
        </w:rPr>
      </w:pPr>
    </w:p>
    <w:p>
      <w:pPr>
        <w:ind w:right="4300"/>
        <w:spacing w:after="0" w:line="268"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2011 Quarters</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gridSpan w:val="4"/>
          </w:tcPr>
          <w:p>
            <w:pPr>
              <w:ind w:left="560"/>
              <w:spacing w:after="0"/>
              <w:rPr>
                <w:sz w:val="20"/>
                <w:szCs w:val="20"/>
                <w:color w:val="auto"/>
              </w:rPr>
            </w:pPr>
            <w:r>
              <w:rPr>
                <w:rFonts w:ascii="Arial" w:cs="Arial" w:eastAsia="Arial" w:hAnsi="Arial"/>
                <w:sz w:val="14"/>
                <w:szCs w:val="14"/>
                <w:color w:val="auto"/>
              </w:rPr>
              <w:t>2010 Quarters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54"/>
              <w:spacing w:after="0" w:line="159" w:lineRule="exact"/>
              <w:rPr>
                <w:sz w:val="20"/>
                <w:szCs w:val="20"/>
                <w:color w:val="auto"/>
              </w:rPr>
            </w:pPr>
            <w:r>
              <w:rPr>
                <w:rFonts w:ascii="Arial" w:cs="Arial" w:eastAsia="Arial" w:hAnsi="Arial"/>
                <w:sz w:val="14"/>
                <w:szCs w:val="14"/>
                <w:color w:val="auto"/>
              </w:rPr>
              <w:t>Third</w:t>
            </w:r>
          </w:p>
        </w:tc>
        <w:tc>
          <w:tcPr>
            <w:tcW w:w="380" w:type="dxa"/>
            <w:vAlign w:val="bottom"/>
          </w:tcPr>
          <w:p>
            <w:pPr>
              <w:spacing w:after="0"/>
              <w:rPr>
                <w:sz w:val="13"/>
                <w:szCs w:val="13"/>
                <w:color w:val="auto"/>
              </w:rPr>
            </w:pPr>
          </w:p>
        </w:tc>
        <w:tc>
          <w:tcPr>
            <w:tcW w:w="760" w:type="dxa"/>
            <w:vAlign w:val="bottom"/>
          </w:tcPr>
          <w:p>
            <w:pPr>
              <w:jc w:val="right"/>
              <w:ind w:right="97"/>
              <w:spacing w:after="0" w:line="159" w:lineRule="exact"/>
              <w:rPr>
                <w:sz w:val="20"/>
                <w:szCs w:val="20"/>
                <w:color w:val="auto"/>
              </w:rPr>
            </w:pPr>
            <w:r>
              <w:rPr>
                <w:rFonts w:ascii="Arial" w:cs="Arial" w:eastAsia="Arial" w:hAnsi="Arial"/>
                <w:sz w:val="14"/>
                <w:szCs w:val="14"/>
                <w:color w:val="auto"/>
              </w:rPr>
              <w:t>Second</w:t>
            </w:r>
          </w:p>
        </w:tc>
        <w:tc>
          <w:tcPr>
            <w:tcW w:w="380" w:type="dxa"/>
            <w:vAlign w:val="bottom"/>
          </w:tcPr>
          <w:p>
            <w:pPr>
              <w:spacing w:after="0"/>
              <w:rPr>
                <w:sz w:val="13"/>
                <w:szCs w:val="13"/>
                <w:color w:val="auto"/>
              </w:rPr>
            </w:pPr>
          </w:p>
        </w:tc>
        <w:tc>
          <w:tcPr>
            <w:tcW w:w="112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First</w:t>
            </w:r>
          </w:p>
        </w:tc>
        <w:tc>
          <w:tcPr>
            <w:tcW w:w="114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Fourth</w:t>
            </w:r>
          </w:p>
        </w:tc>
        <w:tc>
          <w:tcPr>
            <w:tcW w:w="9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Third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1,113,788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1,117,584</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1,081,920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1,139,740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1,001,454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149,868</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158,873</w:t>
            </w:r>
          </w:p>
        </w:tc>
        <w:tc>
          <w:tcPr>
            <w:tcW w:w="3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218,203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220,049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192,600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1,263,656</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1,276,457</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1,300,123</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1,359,789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1,194,054</w:t>
            </w:r>
          </w:p>
        </w:tc>
        <w:tc>
          <w:tcPr>
            <w:tcW w:w="0" w:type="dxa"/>
            <w:vAlign w:val="bottom"/>
          </w:tcPr>
          <w:p>
            <w:pPr>
              <w:spacing w:after="0"/>
              <w:rPr>
                <w:sz w:val="1"/>
                <w:szCs w:val="1"/>
                <w:color w:val="auto"/>
              </w:rPr>
            </w:pPr>
          </w:p>
        </w:tc>
      </w:tr>
      <w:tr>
        <w:trPr>
          <w:trHeight w:val="20"/>
        </w:trPr>
        <w:tc>
          <w:tcPr>
            <w:tcW w:w="58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88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 (a)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309,966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373,197</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264,480</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269,593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214,769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Renegotiated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223,233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234,726</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241,190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233,342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233,671</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42,337</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36,300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39,883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60"/>
              <w:spacing w:after="0"/>
              <w:rPr>
                <w:sz w:val="20"/>
                <w:szCs w:val="20"/>
                <w:color w:val="auto"/>
              </w:rPr>
            </w:pPr>
            <w:r>
              <w:rPr>
                <w:rFonts w:ascii="Arial" w:cs="Arial" w:eastAsia="Arial" w:hAnsi="Arial"/>
                <w:sz w:val="18"/>
                <w:szCs w:val="18"/>
                <w:color w:val="auto"/>
              </w:rPr>
              <w:t>Accruing loans past due 90 days or more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211,808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207,135</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214,505</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214,111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194,223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 loans (b):</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Outstanding customer balance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1,393,777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1,473,237</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206,253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219,477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Carrying amount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703,632</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752,978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88,589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97,019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52,728</w:t>
            </w:r>
          </w:p>
        </w:tc>
        <w:tc>
          <w:tcPr>
            <w:tcW w:w="0" w:type="dxa"/>
            <w:vAlign w:val="bottom"/>
          </w:tcPr>
          <w:p>
            <w:pPr>
              <w:spacing w:after="0"/>
              <w:rPr>
                <w:sz w:val="1"/>
                <w:szCs w:val="1"/>
                <w:color w:val="auto"/>
              </w:rPr>
            </w:pPr>
          </w:p>
        </w:tc>
      </w:tr>
      <w:tr>
        <w:trPr>
          <w:trHeight w:val="20"/>
        </w:trPr>
        <w:tc>
          <w:tcPr>
            <w:tcW w:w="58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880" w:type="dxa"/>
            <w:vAlign w:val="bottom"/>
            <w:gridSpan w:val="2"/>
          </w:tcPr>
          <w:p>
            <w:pPr>
              <w:spacing w:after="0"/>
              <w:rPr>
                <w:sz w:val="20"/>
                <w:szCs w:val="20"/>
                <w:color w:val="auto"/>
              </w:rPr>
            </w:pPr>
            <w:r>
              <w:rPr>
                <w:rFonts w:ascii="Arial" w:cs="Arial" w:eastAsia="Arial" w:hAnsi="Arial"/>
                <w:sz w:val="18"/>
                <w:szCs w:val="18"/>
                <w:color w:val="auto"/>
              </w:rPr>
              <w:t>Other acquired impaired loans (c)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217,759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141,391</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129,191</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99,454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98,106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r>
      <w:tr>
        <w:trPr>
          <w:trHeight w:val="208"/>
        </w:trPr>
        <w:tc>
          <w:tcPr>
            <w:tcW w:w="5880" w:type="dxa"/>
            <w:vAlign w:val="bottom"/>
          </w:tcPr>
          <w:p>
            <w:pPr>
              <w:spacing w:after="0"/>
              <w:rPr>
                <w:sz w:val="20"/>
                <w:szCs w:val="20"/>
                <w:color w:val="auto"/>
              </w:rPr>
            </w:pPr>
            <w:r>
              <w:rPr>
                <w:rFonts w:ascii="Arial" w:cs="Arial" w:eastAsia="Arial" w:hAnsi="Arial"/>
                <w:sz w:val="18"/>
                <w:szCs w:val="18"/>
                <w:color w:val="auto"/>
                <w:w w:val="96"/>
              </w:rPr>
              <w:t>Nonperforming assets to total net loans and leases and real estate and other</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880" w:type="dxa"/>
            <w:vAlign w:val="bottom"/>
          </w:tcPr>
          <w:p>
            <w:pPr>
              <w:ind w:left="220"/>
              <w:spacing w:after="0"/>
              <w:rPr>
                <w:sz w:val="20"/>
                <w:szCs w:val="20"/>
                <w:color w:val="auto"/>
              </w:rPr>
            </w:pPr>
            <w:r>
              <w:rPr>
                <w:rFonts w:ascii="Arial" w:cs="Arial" w:eastAsia="Arial" w:hAnsi="Arial"/>
                <w:sz w:val="18"/>
                <w:szCs w:val="18"/>
                <w:color w:val="auto"/>
              </w:rPr>
              <w:t>foreclosed assets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2.16%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Accruing loans past due 90 days or more to total loans and leases, net of</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discount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0"/>
        </w:trPr>
        <w:tc>
          <w:tcPr>
            <w:tcW w:w="5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Predominantly residential mortgage loans.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9" w:lineRule="exact"/>
        <w:rPr>
          <w:rFonts w:ascii="Arial" w:cs="Arial" w:eastAsia="Arial" w:hAnsi="Arial"/>
          <w:sz w:val="18"/>
          <w:szCs w:val="18"/>
          <w:i w:val="1"/>
          <w:iCs w:val="1"/>
          <w:color w:val="auto"/>
        </w:rPr>
      </w:pPr>
    </w:p>
    <w:p>
      <w:pPr>
        <w:ind w:left="460" w:right="100" w:hanging="452"/>
        <w:spacing w:after="0" w:line="261" w:lineRule="auto"/>
        <w:tabs>
          <w:tab w:leader="none" w:pos="4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ceased performing in accordance with their contractual terms subsequent to the acquisition date, but are included in accounting pools that continue to accrue interest.</w:t>
      </w:r>
    </w:p>
    <w:p>
      <w:pPr>
        <w:spacing w:after="0" w:line="13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limited to: (i) the impact of declining residential real estate values in the Company’s portfolio of loans to residential real estate builders and developers; (ii) the repayment performance associated with the Company’s portfolio of Alt-A residential mortgage loans; (iii) the concentrations of commercial real estate loans in the Company’s loan portfolio;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Management cautiously and conservatively evaluated the allowance for credit losses as of September 30, 2011 in light of: (i) residential real estate values and the level of delinquencies of residential real estate loans; (ii) economic conditions in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exist about economic conditions in both national and international markets; the level and volatility of energy prices; a weakened housing market; the troubled state of financial and credit markets; Federal Reserve positioning of monetary policy; high levels of unemployment; the impact of economic conditions on businesses’ operations and abilities to repay loans;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the impact of those conditions was not as pronounced on borrowers in the traditionally slower growth or stagnant regions of upstate New York and central Pennsylvania. Approximately one-half of the Company’s loans are to customers in New York State and Pennsylvania. Home prices in upstate New York and central Pennsylvania were relatively stable in recent years, in contrast to declines in values in many other regions of the country. Therefore, despite the conditions, as previously described, the most severe credit issues experienced by the Company during the recent financial downturn have been centered around residential real estate, including loans to builders and developers of residential real estate, in areas other than New York State and Pennsylvania. In response, the Company has expanded its normal loan review process to conduct detailed reviews of all loans to residential real estate builders and developers that exceeded $2.5 million. Those credit reviews often resulted in commencement of intensified collection efforts, including instances of foreclosure.</w:t>
      </w:r>
    </w:p>
    <w:p>
      <w:pPr>
        <w:spacing w:after="0" w:line="12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w:t>
      </w:r>
    </w:p>
    <w:p>
      <w:pPr>
        <w:spacing w:after="0" w:line="12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but also residential and commercial real estate valuations, in particular, given the size of the real estate loan portfolios. Reflecting the factors and conditions as described herein, the Company has experienced historically high levels of nonaccrual loans and net charge-offs of real estate-related loans, including first and second lien Alt-A mortgage loans and loans to builders and developers of residential real estate. The Company has also experienced higher than historical levels of nonaccrual commercial real estate loans since 2009.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 current interest rates. The excess of cash flows expected at acquisition over the estimated fair value is being recognized as interest income over the lives of the loans. The difference between contractually required payments at acquisition and the cash flows expected to be collected at acquisition reflects estimated future credit losses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Management believes that the allowance for credit losses at September 30, 2011 appropriately reflected credit losses inherent in the portfolio as of that date. The allowance for credit losses was $909 million, or 1.56% of total loans and leases at September 30, 2011, compared with $895 million or 1.76% at September 30, 2010, $903 million or 1.74% at December 31, 2010 and $908 million or 1.55% at June 30, 2011. The ratio of the allowance to total loans and leases reflects the impact of loans obtained in acquisition transactions subsequent to 2008 that have been recorded at estimated fair value based on estimated future cash flows expected to be received on those loans. Those cash flows reflect the impact of expected defaults on customer repayment performance. Excluding the effect of such loans, the allowance for credit losses related to the Company’s legacy loans (that is, total loans excluding loans acquired subsequent to 2008) expressed as a percentage of such legacy loans was 1.79% at September 30, 2011, compared with 1.86% at September 30, 2010, 1.82% at December 31, 2010 and 1.80% at June 30, 2011. The level of the allowance reflects management’s evaluation of the loan and lease portfolio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82% at September 30, 2011, compared with 89% a year earlier, 79% at December 31, 2010 and 81% at June 30, 2011.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Other income totaled $368 million in the third quarter of 2011, compared with $290 million in the year-earlier quarter and $502 million in the second quarter of 2011. Reflected in such income were net losses on investment securities (including other-than-temporary impairment losses) of $10 million in the recent quarter and $8 million in the third quarter of 2010, compared with net gains of $84 million in the second quarter of 2011. During 2011’s second quarter, the Company sold investment securities held in its available-for-sale portfolio having an amortized cost of approximately $1.21 billion, resulting in a gain of $111 million. The securities sold were predominantly residential mortgage-backed securities guaranteed by Fannie Mae and Freddie Mac, collateralized debt obligations and capital preferred securities. Included in net securities gains and losses were other-than-temporary impairment charges of $10 million in each of the three-month periods ended September 30, 2011 and 2010 and $27 million in the second quarter of 2011. Those other-than-temporary impairment charges were predominantly related to the Company’s holdings of privately issued CMOs and reflect the impact of lower real estate values and higher delinquencies on real estate loans underlying those impaired securities. Also reflected in noninterest income during 2011’s second quarter was the $65 million gain recorded as a result of the Wilmington Trust acquisition.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Excluding gains and losses on bank investment securities (including other-than-temporary impairment losses) and the acquisition-related gain, other income in the recent quarter totaled $378 million, up from $298 million in the third quarter of 2010 and $353 million in the second quarter of 2011. As compared with the third quarter of 2010, the primary contributor to the recent quarter’s improvement was significantly higher trust income, due to the Wilmington Trust acquisition, partially offset by a decline in residential mortgage banking revenues. That decline reflected the Company’s decision to retain the majority of residential mortgage loan originations in the recent quarter rather than selling them. The recent quarter’s increase in other income as compared with the second quarter of 2011 reflects a full quarter of trust income related to the acquisition of Wilmington Trust on May 16, 2011, partially offset by declines in gains on the sale of previously leased equipment and letter of credit and other credit-related fees.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Mortgage banking revenues were $38 million in the recent quarter, down 38% from $61 million in the third quarter of 2010 and 10% below $42 million in the second quarter of 2011.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$25 million in each of the two most recent quarters, compared with $45 million in the third quarter of 2010. The lower revenues in the 2011 quarters were largely attributable to lower volumes of loans originated for sale.</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New commitments to originate residential mortgage loans to be sold were approximately $371 million and $1.4 billion in the third quarters of 2011 and 2010, respectively, and $742 million in the second quarter of 2011. Similarly, closed residential mortgage loans originated for sale to other investors were approximately $577 million in the most recent quarter, compared with $1.1 billion and $702 million in the three-month periods ended September 30, 2010 and June 30, 2011, respectively. Realized gains from sales of residential mortgage loans and loan servicing rights (net of the impact of costs associated with obligations to repurchase mortgage loans originated for sale) and recognized net unrealized gains and losses attributable to residential mortgage loans held for sale, commitments to originate loans for sale and commitments to sell loans totaled to a gain of $4 million in the recently completed quarter, compared with gains of $24 million and $5 million in the third quarter of 2010 and the second quarter of 2011, respectively.</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Since early 2007 when the Company recognized a $6 million charge related to declines in market values of previously sold residential real estate loans that the Company could have been required to repurchase, the Company has regularly reduced residential mortgage banking revenues by an estimate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the three-month periods ended September 30, 2011, September 30, 2010 and June 30, 2011 were reduced by $3 million, $5 million and $9 million, respectively, related to actual and anticipated settlements of repurchase obligations.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Late in the third quarter of 2010, the Company began to originate certain residential real estate loans to be held in its loan portfolio, rather than continuing to sell such loans. During the fourth quarter of 2010 and the first quarter of 2011, the Company added approximately $700 million of loans to its portfolio of residential real estate loans. In general, the loans conformed to Fannie Mae and Freddie Mac underwriting guidelines. Retaining those residential real estate loans offset the impact of the declining investment securities portfolio resulting from maturities and paydowns of residential mortgage-backed securities while providing high quality assets earning a reasonable yield. From March through June 2011, the Company resumed originating for sale the majority of new residential real estate loans. However, beginning in July 2011, the Company has again begun to originate the majority of residential real estate loans to be held in its loan portfolio. During the third quarter of 2011, the Company added approximately $265 million of loans to its portfolio of residential real estate loans.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Loans held for sale that are secured by residential real estate totaled $191 million and $554 million at September 30, 2011 and 2010, respectively, and $341</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million at December 31, 2010. Commitments to sell residential mortgage loans and commitments to originate such loans for sale at pre-determined rates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$304 million and $227 million, respectively, at September 30, 2011, $1.1 billion and $930 million, respectively, at September 30, 2010 and $458 million and $162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at December 31, 2010. Net unrealized gains on residential mortgage loans held for sale, commitments to sell loans, and commitments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originate loans for sale were $6 million and $28 million at September 30, 2011 and September 30, 2010, respectively, and $11 million at December 31,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such net unrealized gains are recorded in mortgage banking revenues and resulted in a net decrease in revenues of $6 million in the recent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with net increases in revenues of $9 million and $2 million in the third quarter of 2010 and the second quarter of 2011, respectively.</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Revenues from servicing residential mortgage loans for others were $20 million in each of the third quarters of 2011 and 2010 and $19 million in the second quarter of 2011. Included in such servicing revenues were amounts related to purchased servicing rights associated with small balance commercial mortgage loans which totaled $6 million in the two most recent quarters and $7 million in third quarter of 2010. Residential mortgage loans serviced for others totaled $28.1 billion at September 30, 2011, $21.3 billion at September 30, 2010, $21.6 billion at June 30, 2011 and $21.1 billion at December 31, 2010, including the small balance commercial mortgage loans noted above of approximately $4.7 billion at the recent quarter-end, $5.4 billion at September 30, 2010, $4.8 billion at June 30, 2011 and $5.2 billion at December 31, 2010. Capitalized residential mortgage servicing assets, net of a valuation allowance for impairment, were $159 million at September 30, 2011, compared with $115 million at September 30, 2010, $111 million at June 30, 2011 and $118 million at December 31, 2010. The valuation allowance for possible impairment of residential mortgage servicing assets totaled $1 million and $6 million at September 30, 2011 and September 30, 2010, respectively. There was no valuation allowance at June 30, 2011 or at December 31, 2010. On September 30, 2011, the Company purchased servicing rights associated with residential mortgage loans having an outstanding principal balance of approximately $6.7 billion. The purchase price for such servicing rights was $54 million and has been included in capitalized residential mortgage servicing assets as of September 30, 2011. Of that amount, $38 million will not be paid to the seller until the conversion of data and other processing functions is transferred from the seller to the Company. That transfer is expected to occur during the fourth quarter of 2011. Because the purchase closed on September 30, 2011, the transaction had no impact on mortgage banking revenues or amortization of capitalized servicing rights during the recently completed quarter. Included in capitalized residential mortgage servicing assets were $18 million at September 30, 2011, $29 million at September 30, 2010, $21 million at June 30, 2011 and $26 million at December 31, 2010 of purchased servicing rights associated with the small balance commercial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mortgage loans noted above. Servicing rights for the small balance commercial mortgage loans were purchased from Bayview Lending Group, LLC (“BLG”) or its affiliates. In addition, at September 30, 2011, capitalized servicing rights included $6 million for servicing rights for $3.3 billion of residential real estate loans that were purchased from affiliates of BLG. Additional information about the Company’s relationship with BLG and its affiliates is provided in note 15 of Notes to Financial Statements.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Commercial mortgage banking revenues were $14 million in the third quarter of 2011, compared with $16 million in the year-earlier quarter and $17 million in the second quarter of 2011. Included in such amounts were revenues from loan origination and sales activities of $8 million in the third quarter of 2011, compared with $12 million in each of the third quarter of 2010 and the second quarter of 2011. Commercial mortgage loan servicing revenues were $6 million in the recent quarter, compared with $4 million in the year-earlier quarter and $5 million in the second quarter of 2011. Capitalized commercial mortgage servicing assets totaled $50 million at September 30, 2011, $39 million at September 30, 2010 and $43 million at December 31, 2010. Commercial mortgage loans serviced for other investors totaled $8.8 billion, $7.7 billion and $8.1 billion at September 30, 2011, September 30, 2010 and December 31, 2010, respectively, and included $1.8 billion, $1.5 billion and $1.6 billion, respectively, of loan balances for which investors had recourse to the Company if such balances are ultimately uncollectible. Commitments to sell commercial mortgage loans and commitments to originate commercial mortgage loans for sale were $141 million and $56 million, respectively, at September 30, 2011, $261 million and $158 million, respectively, at September 30, 2010 and $276 million and $73 million, respectively, at December 31, 2010. Commercial mortgage loans held for sale at September 30, 2011 and 2010 were $85 million and $103 million, respectively, and were $204 million at December 31, 2010.</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Service charges on deposit accounts totaled $122 million in the recent quarter, compared with $118 million in the third quarter of 2010 and $120 million in the second quarter of 2011. The Federal Reserve and other bank regulators have adopted regulations requiring expanded disclosure of overdraft and other fees assessed to consumers and have issued guidance that requires consumers to elect to be subject to fees for certain deposit account transactions. The impact of the Wilmington Trust acquisition added $7 million and $4 million to service charges on deposit accounts in the recent quarter and the second quarter of 2011, respectively. New regulations have been finalized as part of the Dodd-Frank Act related to limiting debit card-interchange fees that financial institutions are able to assess. Those new regulations were effective October 1, 2011. The Company estimates that the implementation of those regulations will reduce total service charges on deposit accounts in the fourth quarter of 2011 by $15 million to $20 million.</w:t>
      </w:r>
    </w:p>
    <w:p>
      <w:pPr>
        <w:spacing w:after="0" w:line="118"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color w:val="auto"/>
        </w:rPr>
        <w:t>Trust income totaled $114 million in the recent quarter, compared with $30 million in the third quarter of 2010 and $76 million in the second quarter of 2011. The Wilmington Trust acquisition contributed $85 million and $46 million to trust income in the quarters ended September 30, 2011 and June 30, 2011, respectively. That acquisition brought with it two significant sources of trust income. The Corporate Client Services (“CCS”)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Many CCS clients are multinational corporations and institutions.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in the recent quarter reflects $28 million of revenues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from the Company’s non-Wilmington Trust-related trust activities, $47 million from acquired CCS activities and $35 million from acquired WAS activities. Impacting trust income for the three-month periods ended September 30, 2011, September 30, 2010 and June 30, 2011 were $10 million, $4 million and $8 million, respectively, of fee waivers related to proprietary money-market funds. The Company waived such fees in order to continue to pay customers a yield on their investments in the proprietary money-market funds. Total trust assets, which include assets under management and assets under administration, aggregated $254.0 billion at September 30, 2011, compared with $113.4 billion at December 31, 2010 and $268.0 billion at June 30, 2011. Trust assets under management were $51.4 billion, $13.2 billion and $55.4 billion at September 30, 2011, December 31, 2010 and June 30, 2011, respectively. The acquisition of Wilmington Trust added trust assets under management and assets under administration aggregating $42.2 billion and $154.1 billion, respectively, during the second quarter of 2011. In addition to the asset amounts noted above, trust assets under management of affiliates (obtained in the Wilmington Trust transaction) totaled $13.1 billion at September 30, 2011 and $16.7 billion at June 30, 2011.</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totaled $14 million in the third quarter of 2011, compared with $12 million in the year-earlier quarter and $15 million in the second quarter of 2011. Trading account and foreign exchange activity resulted in gains of $4 million during the most recent quarter, compared with gains of $6 million in the third quarter of 2010 and $7 million in 2011’s second quarter. The lower revenues in the recent quarter were largely attributable to decreases in the market values of trading account assets held in conjunction with deferred compensation arrangements, partially offset by higher revenues from interest rate and foreign exchange contracts.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10 of Notes to Financial Statements and herein under the heading “Taxable-equivalent Net Interest Income.” Trading account revenues related to interest rate and foreign exchange contracts totaled $6 million in the recent quarter compared with $4 million in each of the third quarter of 2010 and the second quarter of 2011.</w:t>
      </w:r>
    </w:p>
    <w:p>
      <w:pPr>
        <w:spacing w:after="0" w:line="12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Including the impact of other-than-temporary impairment losses, during the third quarter of 2011 the Company recognized net losses on investment securities of $10 million, compared with net losses of $8 million in the year-earlier quarter and net gains of $84 million in the second quarter of 2011. The net gains in 2011’s second quarter reflect realized gains of $111 million from the sale of investment securities available for sale, predominantly residential mortgage-backed securities guaranteed by Fannie Mae and Freddie Mac, collateralized debt obligations and capital preferred securities, having an amortized cost of $1.21 billion. Other-than-temporary impairment charges of $10 million were recorded in each of the quarters ended September 30, 2011 and September 30, 2010, compared with $27 million in the quarter ended June 30, 2011. The impairment charges were related to certain privately issued CMOs backed by residential real estate loans and, to a much lesser extent in the third quarter of 2010, CDOs. Each reporting period, the Company reviews its investment securities for other-than-temporary impairment. For equity securities,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 of the industry in which it operates, and the prospects for a recovery in fair value of the equity security. For debt securities, the Company analyzes the creditworthiness of the issuer or reviews the credit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spacing w:after="0" w:line="118"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M&amp;T’s share of the operating results of BLG in the recent quarter was a loss of $7 million, compared with losses of $6 million and $5 million in the third quarter of 2010 and the second 2011 quarter, respectively. The operating losses of BLG in the respective quarters resulted from the disruptions in the residential and commercial real estate markets and reflected provisions for losses associated with securitized loans and other loans held by BLG and loan servicing and other administrative costs. The loan losses largely relate to loans in non-recourse securitization trusts that, in accordance with GAAP, BLG is required to include in its financial statements. Despite the credit and liquidity disruptions that began in 2007, BLG had been successfully securitizing and selling significant volumes of small-balance commercial real estate loans until the first quarter of 2008. However, in response to the illiquidity in the marketplace since that time, BLG ceased its originations activities. As a result of past securitization activities, BLG is still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In assessing M&amp;T’s investment in BLG for other-than-temporary impairment at September 30, 2011, the Company projected no further commercial mortgage origination and securitization activities by BLG. BLG, however, is entitled to receive, if and when made, cash distributions from affiliates, a portion of which is contractually required to be distributed to M&amp;T. In large part, it is such right that provided the support for M&amp;T’s assessment that its investment in BLG was not other-than-temporarily impaired at September 30, 2011. Specifically, cash flows related to mortgage assets held by BLG and its affiliates were estimated using various assumptions on future default and loss severities to arrive at an expected amount of cash flow that could be available for distribution. As of September 30, 2011, the weighted-average assumption of projected default percentage on the underlying mortgage loan collateral supporting those mortgage assets was 29% and the weighted-average loss severity assumption was 73%. With respect to projected value expected to be generated by the asset management and servicing operations of BLG’s affiliates, M&amp;T developed estimates from company-provided forecasts of financial results and through discussions with their senior management pertaining to longer-term projections of growth in assets under management and asset servicing portfolios. M&amp;T considered different scenarios of projected cash flows that could be generated by the asset management and servicing operations of BLG’s affiliates. M&amp;T then discounted the various projections using discount rates that ranged from 8% to 17%. M&amp;T’s analysis at September 30, 2011 estimated that the value attributed to BLG and its relationship with its affiliates that inures to the benefit of M&amp;T exceeded the carrying value of M&amp;T’s investment in BLG by 6%. Upon evaluation of those results, management concluded that M&amp;T’s investment in BLG was not other-than-temporarily impaired at September 30, 2011. Nevertheless, such analysis was dependent on the current and forecasted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asset management, loan servicing and other fee generating activities of BLG’s affiliates and the realizability of mortgage assets held by BLG and affiliates. Although management believes its estimates are reasonable, should sufficient value not be generated that contractually inures to the benefit of M&amp;T, an other-than-temporary impairment charge may be required in a future period for some portion of the $199 million book value of its investment in BLG. Information about the Company’s relationship with BLG and its affiliates is included in note 15 of Notes to Financial Statements.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Other revenues from operations totaled $93 million in the recent quarter, compared with $77 million in the third quarter of 2010 and $163 million in the second quarter of 2011. Reflected in such revenues in the second quarter of 2011 was the $65 million gain on the Wilmington Trust acquisition. Contributing to the recent quarter’s rise in other revenues from operations as compared with the third quarter of 2010 were increases in letter of credit and other credit-related fees, income from bank owned life insurance and revenues from merchant discount and credit card fees. After excluding the merger-related gain on the Wilmington transaction, the recent quarter’s decline in this category of $5 million as compared with the second quarter of 2011 was due largely to lower gains on the sale of previously leased equipment and letter of credit and other credit-related fees. Included in other revenues from operations were the following significant components: letter of credit and other credit-related fees of $30 million and $25 million in the third quarters of 2011 and 2010, respectively, and $34 million in the second quarter of 2011; tax-exempt income from bank owned life insurance, which includes increases in the cash surrender value of life insurance policies and benefits received, of $14 million in the recent quarter and $12 million in each of the year-earlier quarter and the second quarter of 2011; revenues from merchant discount and credit card fees of $15 million in the most recent quarter, compared with $12 million and $14 million in the third quarter of 2010 and 2011’s second quarter, respectively; and insurance-related sales commissions and other revenues of $9 million in each of the quarters ended September 30, 2011, September 30, 2010 and June 30, 2011, respectively.</w:t>
      </w:r>
    </w:p>
    <w:p>
      <w:pPr>
        <w:spacing w:after="0" w:line="12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Other income totaled $1.18 billion in the first nine months of 2011, compared with $821 million in the corresponding 2010 period. Gains and losses on bank investment securities (including other-than-temporary impairment losses) totaled to net gains of $98 million in the first nine months of 2011, compared with net losses of $57 million in the similar 2010 period. Excluding gains and losses from bank investment securities and the $65 million Wilmington Trust-related gain in 2011, other income was $1.02 billion in the nine-month period ended September 30, 2011, compared with $878 million in the corresponding 2010 period. The primary contributor to the rise in other income during the 2011 period was higher trust income, the result of the Wilmington Trust acquisition. Other significant contributors to the improvement were higher letter of credit and credit-related fees, merchant discount and credit card fees, and gains on the sale of previously leased equipment. Partially offsetting those positive factors were declines in residential mortgage banking revenues and service charges on deposit accounts.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nine-month period ended September 30, 2011, mortgage banking revenues totaled $125 million, down 16% from $150 million in the year-earlier period. Residential mortgage banking revenues declined 28% to $79 million during the first nine months of 2011 from $110 million in the corresponding 2010 period. New commitments to originate residential mortgage loans to be sold were $1.6 billion and $3.5 billion during the first nine months of 2011 and 2010, respectively. Closed residential mortgage loans originated for sale to other investors during the nine-month periods ended September 30, 2011 and 2010 were $1.6 billion and $3.1 billion, respectively. Realized gains from sales of residential mortgage loans and loan servicing rights (net of the impact of costs associated with obligations to repurchase mortgage loans originated for sale) and recognized unrealized gains and losses 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residential mortgage loans held for sale, commitments to originate loans for sale and commitments to sell loans aggregated to gains of $18 million and $47 million during the nine-month periods ended September 30, 2011 and 2010, respectively. Lower origination activity related to loans originated for sale was the primary contributor to the decline in such revenues, which reflects the Company’s decision to retain for portfolio in 2011 a large portion of residential real estate loans originated. Residential mortgage banking revenues during each of the nine-month periods ended September 30, 2011 and 2010 were reduced by $16 million related to actual and anticipated settlements of repurchase obligations. Revenues from servicing residential mortgage loans for others were $58 million and $60 million for the first nine-months of 2011 and 2010, respectively. Included in such amounts were revenues related to purchased servicing rights associated with the previously noted small balance commercial mortgage loans of $18 million and $20 million for the nine-month periods ended September 30, 2011 and 2010, respectively. Commercial mortgage banking revenues totaled $46 million and $40 million during the first nine months of 2011 and 2010, respectively. That improvement reflected higher origination volumes that aggregated $1.1 billion in the 2011 period, compared with $941 million in the 2010 period.</w:t>
      </w:r>
    </w:p>
    <w:p>
      <w:pPr>
        <w:spacing w:after="0" w:line="10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Service charges on deposit accounts declined 4% to $351 million during the first nine months of 2011 from $367 million in the corresponding 2010 period. That decline resulted predominantly from the previously noted new regulations that went into effect during the third quarter of 2010, partially offset by the impact of the Wilmington Trust acquisition. Trust income rose 139% to $219 million from $92 million a year earlier, due to $132 million of revenues associated with the Wilmington Trust acquisition. Reflected in trust income were $23 million and $14 million of fee waivers during the first nine months of 2011 and 2010, respectively, related to proprietary money-market funds. Brokerage services income rose 13% to $43 million during the first nine months of 2011 from $38 million in the similar 2010 period. That improvement was largely due to higher fees from the sale of annuity products and additional sales associated with the Wilmington Trust acquisition. Trading account and foreign exchange activity resulted in gains of $19 million and $15 million for the nine-month periods ended September 30, 2011 and 2010, respectively. The higher gains were due to increased revenues from interest rate contract and foreign exchange transactions conducted on behalf of customers. M&amp;T’s investment in BLG resulted in losses of $19 million for the nine months ended September 30, 2011, compared with losses of $18 million in the year-earlier period. Investment securities gains and losses totaled to net gains of $98 million during the first nine months of 2011 compared with net losses of $57 million in the nine month period ended September 30, 2010. Included in those amounts were other-than-temporary impairment losses of $52 million in 2011 and $59 million in 2010. In addition to the $111 million of gains realized during the second quarter of 2011 noted earlier, the Company sold residential mortgage-backed securities guaranteed by Fannie Mae and Freddie Mac during the initial 2011 quarter having an amortized cost of $484 million, resulting in a gain of $39 million.</w:t>
      </w:r>
    </w:p>
    <w:p>
      <w:pPr>
        <w:spacing w:after="0" w:line="12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revenues from operations were $348 million in the first nine months of 2011, up significantly from $236 million in the corresponding 2010 period. Reflected in such revenues in 2011 was the $65 million gain realized on the acquisition of Wilmington Trust. Also contributing to the improvement in other revenues from operations in 2011 as compared with 2010 were increases in revenues from letter of credit and credit-related fees of $17 million, merchant discount and credit card fees of $7 million, and gains from the sale of previously leased equipment of $10 million. Included in other revenues from operations during the nine-month periods ended September 30, 2011 and 2010 were the following significant components: letter of credit and other credit-related fees of $97 million and $80 million, respectively; income from bank owned life insurance of $39 million and $38 million, respectively; merchant discount and credit card fees of $41 million and $34 million, respectively; and insurance-related sales commissions and other revenues of $30 million in each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Other expense totaled $662 million in the third quarter of 2011, 38% higher than $480 million in the year-earlier period and 15% above $577 million in 2011’s second quarter. Included in those amounts are expenses considered by management to be “nonoperating” in nature consisting of amortization of core deposit and other intangible assets of $17 million and $14 million in the third quarters of 2011 and 2010, respectively, and $15 million in the second quarter of 2011, and merger-related expenses of $26 million and $37 million in the three-month periods ended September 30, 2011 and June 30, 2011, respectively. Such merger-related expenses were incurred in connection with the Wilmington Trust acquisition and related to systems conversions and other costs of integrating and conforming acquired operations with and into the Company. Those expenses consisted largely of professional services and other temporary help fees associated with the conversion of systems and/or integration of operations; costs related to termination of existing contractual arrangements of Wilmington Trust to purchase various services; initial marketing and promotion expenses designed to introduce M&amp;T Bank to its new customers; travel costs; and printing, postage, supplies and other costs of completing the transactions and commencing operations in new markets and offices. There were no merger-related expenses during the first three quarters of 2010. Exclusive of these nonoperating expenses, noninterest operating expenses were $619 million in the recent quarter, compared with $467 million in the third quarter of 2010 and $525 million in the second quarter of 2011. The higher level of expenses in the recent quarter as compared with the third quarter of 2010 and the second quarter of 2011 was predominantly due to the operations obtained in the Wilmington Trust acquisition on May 16, 2011.</w:t>
      </w:r>
    </w:p>
    <w:p>
      <w:pPr>
        <w:spacing w:after="0" w:line="1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Other expense for the first nine months of 2011 aggregated $1.74 billion, up $293 million or 20% from $1.45 billion in the corresponding 2010 period. Included in those amounts are expenses considered to be “nonoperating” in nature consisting of amortization of core deposit and other intangible assets of $44 million and $45 million in the nine-month periods ended September 30, 2011 and 2010, respectively, and merger-related expenses of $67 million in the 2011 period. Exclusive of these nonoperating expenses, noninterest operating expenses through the first nine months of 2011 increased $226 million or 16% to $1.63 billion from $1.40 billion in the similar 2010 period. That increase was also predominantly attributable to expenses associated with the acquired operations of Wilmington Trust. Table 2 provides a reconciliation of other expense to noninterest operating expense.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Salaries and employee benefits expense totaled $325 million in the third quarter of 2011, compared with $246 million in the third quarter of 2010 and $300 million in 2011’s second quarter. As noted in table 2, merger-related salaries and benefits costs were $285 thousand and $15 million for the quarters ended September 30, 2011 and June 30, 2011, respectively. Such second quarter 2011 expenses consisted predominantly of severance expense for Wilmington Trust employees. Exclusive of merger-related expenses, salaries and benefits expense in the recent quarter increased 32% and 14% as compared with the year earlier quarter and the second quarter of 2011, respectively. Those increases reflect the impact of operations associated with the May 16, 2011 acquisition of Wilmington Trust. For the first three quarters of 2011, salaries and employee benefits expense totaled $891 million, compared with $756 million in the year-earlier period. Exclusive of merger-related expenses, salaries and benefits expense rose 16% or $120 million in the nine-month period ended September 30, 2011 from the similar 2010 period. That increase reflects the impact of operations associated with the acquisition of Wilmington Trust.</w:t>
      </w:r>
    </w:p>
    <w:p>
      <w:pPr>
        <w:spacing w:after="0" w:line="118" w:lineRule="exact"/>
        <w:rPr>
          <w:sz w:val="20"/>
          <w:szCs w:val="20"/>
          <w:color w:val="auto"/>
        </w:rPr>
      </w:pPr>
    </w:p>
    <w:p>
      <w:pPr>
        <w:jc w:val="center"/>
        <w:ind w:right="320"/>
        <w:spacing w:after="0" w:line="440" w:lineRule="auto"/>
        <w:rPr>
          <w:sz w:val="20"/>
          <w:szCs w:val="20"/>
          <w:color w:val="auto"/>
        </w:rPr>
      </w:pPr>
      <w:r>
        <w:rPr>
          <w:rFonts w:ascii="Arial" w:cs="Arial" w:eastAsia="Arial" w:hAnsi="Arial"/>
          <w:sz w:val="18"/>
          <w:szCs w:val="18"/>
          <w:color w:val="auto"/>
        </w:rPr>
        <w:t>Stock-based compensation totaled $12 million in the recent quarter, compared with $11 million during each of the quarters ended September 30, - 90 -</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2010 and June 30, 2011, and $43 million for each of the nine-month periods ended September 30, 2011 and 2010. The number of full-time equivalent employees was 15,074 at September 30, 2011, 12,837 at September 30, 2010, 12,802 at December 31, 2010 and 15,357 at June 30, 2011.</w:t>
      </w:r>
    </w:p>
    <w:p>
      <w:pPr>
        <w:spacing w:after="0" w:line="8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Excluding the nonoperating expense items described earlier from each quarter, nonpersonnel operating expenses were $294 million in the third quarter of 2011, compared with $220 million and $240 million in the corresponding quarter of 2010 and the second quarter of 2011, respectively. On the same basis, such expenses were $751 million and $644 million during the first nine months of 2011 and 2010, respectively. The rise in nonpersonnel operating expenses in the recent quarter as compared with the year-earlier quarter and the second quarter of 2011 and in the first nine months of 2011 as compared with the corresponding 2010 period was due predominantly to the impact of the operations associated with the Wilmington Trust acquisition. Also contributing to the higher nonpersonnel expenses in the recent quarter as compared with the second quarter of 2011 were increased expenses related to foreclosed real estate properties of $20 million. Such expenses in 2011’s second quarter had been significantly reduced due to gains realized from the sale of foreclosed real estate.</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efficiency ratio, or noninterest operating expenses (as defined above) divided by the sum of taxable-equivalent net interest income and noninterest income (exclusive of gains and losses from bank investment securities and gains on merger transactions), measures the relationship of noninterest operating expenses to revenues. The Company’s efficiency ratio was 61.8% and 53.4% during the quarters ended September 30, 2011 and 2010, respectively, and 55.6% in the second quarter of 2011. The efficiency ratios for the nine months ended September 30, 2011 and 2010 were 57.8% and 54.1%, respectively. Noninterest operating expenses used in calculating the efficiency ratio exclude the amortization of core deposit and other intangible assets and the merger-related expenses noted earlier. If charges for amortization of core deposit and other intangible assets were included, the efficiency ratio for the three-month periods ended September 30, 2011 and 2010 would have been 63.5% and 55.0%, respectively, compared with 57.1% for the second quarter of 2011, and for the nine-month periods ended September 30, 2011 and 2010 would have been 59.4% and 55.8%,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provision for income taxes for the third quarter of 2011 was $82 million, compared with $95 million and $126 million in the year-earlier quarter and second quarter of 2011, respectively. The effective tax rates were 30.9%, 33.0% and 28.0% for the quarters ended September 30, 2011, September 30, 2010 and June 30, 2011, respectively. For the nine-month periods ended September 30, 2011 and 2010, the provision for income taxes was $310 million and $254 million, respectively, and the effective tax rates were 30.3% and 32.4%,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For example, although the merger-related expenses incurred during 2011 are predominantly deductible for purposes of computing income tax expense, those charges decreased the effective tax rate because they lowered pre-tax income relative to the amounts of tax-exempt income and other permanent differences that impact the effective tax rate. The recognition of the non-taxable gain of $65 million on the Wilmington Trust acquisition in the second quarter of 2011 also served to lower the effective tax rate in the second quarter and the first nine months of 2011. Income taxes in the second quarter of 2011 also reflect the resolution in that period of previously uncertain tax positions related to the Company’s 2009 tax year that allowed the Company 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reduce its accrual for income taxes in that quarter by $7 million.</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Shareholders’ equity was $9.4 billion at September 30, 2011, representing 12.04% of total assets, compared with $8.2 billion or 12.06% of total assets a year earlier and $8.4 billion or 12.29% at December 31, 2010. Included in shareholders’ equity at September 30, 2010 and December 31, 2010 was $751.5 million of Series A and Series C Fixed Rate Cumulative Perpetual Preferred Stock and warrants to purchase M&amp;T common stock issued as part of the U.S. Treasury Capital Purchase Program. The Series A preferred stock totaling $600 million was issued by M&amp;T in the fourth quarter of 2008 and the Series C preferred stock totaling $151.5 million was assumed by M&amp;T in a 2009 acquisition. During the second quarter of 2011, M&amp;T redeemed $370 million of the Series A preferred stock. The financial statement value of the remaining Series A and Series C preferred stock was $363 million at September 30, 2011. The financial statement values of the Series A and Series C preferred stock had been $711 million at September 30, 2010 and $714 million at December 31, 2010. The Series A and Series C preferred stock pays quarterly cumulative cash dividends of 5% per annum for five years after the initial 2008 issuance dates and 9% per annum thereafter. That preferred stock is redeemable at the option of M&amp;T, subject to regulatory approval. M&amp;T also obtained another series of preferred stock as part of a 2009 acquisition that was converted to $26.5 million of M&amp;T Series B Mandatory Convertible Non-Cumulative Preferred Stock, liquidation preference of $1,000 per share. The Series B preferred stock paid quarterly dividends at a rate of 10% per annum. In accordance with their terms, on April 1, 2011, the 26,500 shares of the Series B preferred stock converted into 433,144 shares of M&amp;T common stock.</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May 31, 2011, M&amp;T issued 50,000 shares of a new series of Perpetual 6.875% Non-Cumulative Preferred Stock, Series D, par value $1.00 per share and liquidation preference of $10,000 per share in order to supplement Tier 1 Capital. Holders of Series D preferred stock are entitled to receive, only when, as and if declared by the Board of Directors, non-cumulative cash dividends at an annual rate of 6.875%, payable semi-annually in arrears. The Series D preferred stock is redeemable on or after June 15, 2016 in whole or in part at par plus any declared but unpaid dividends. Notwithstanding the redemption provisions noted and subject to regulatory approval, M&amp;T may redeem all of the outstanding shares of Series D preferred stock if a regulatory capital treatment event takes place whereby the full liquidation value of the shares no longer qualifies as Tier 1 Capital.</w:t>
      </w:r>
    </w:p>
    <w:p>
      <w:pPr>
        <w:spacing w:after="0" w:line="12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Common shareholders’ equity was $8.5 billion, or $67.70 per share, at September 30, 2011, compared with $7.5 billion, or $62.69 per share, at September 30, 2010 and $7.6 billion, or $63.54 per share, at December 31, 2010. Tangible equity per common share, which excludes goodwill and core deposit and other intangible assets and applicable deferred tax balances, was $38.11 at the end of the recent quarter, compared with $32.23 a year earlier and $33.26 at December 31, 2010. The Company’s ratio of tangible common equity to tangible assets was 6.46% at September 30, 2011, compared with 5.96% a year earlier and 6.19% at December 31, 2010. Reconciliations of total common shareholders’ equity and tangible common equity and total assets and tangible assets as of each of those respective dates is presented in table 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available-for-sale,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available-for-sale investment securities, net of applicable tax effect, were $78 million, or $.62 per common share, at September 30, 2011, compared with similar losses of $79 million, or $.66 per common share, at September 30, 2010 and $85 million, or $.71 per common share, at December 31, 2010. Such unrealized losses represent the 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 and the remaining unrealized losses on held-to-maturity securities for which an other-than-temporary impairment charge has been recognized. Information about unrealized gains and losses as of September 30, 2011 and December 31, 2010 is included in note 3 of Notes to Financial Statements.</w:t>
      </w:r>
    </w:p>
    <w:p>
      <w:pPr>
        <w:spacing w:after="0" w:line="123"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Reflected in net unrealized losses at September 30, 2011 were pre tax-effect unrealized losses of $282 million on available-for-sale investment securities with an amortized cost of $1.6 billion and pre tax-effect unrealized gains of $201 million on securities with an amortized cost of $4.1 billion. The pre tax-effect unrealized losses reflect $234 million of losses on privately issued mortgage-backed securities with an amortized cost of $1.3 billion and an estimated fair value of $1.1 billion (considered Level 3 valuations) and $40 million of losses on trust preferred securities issued by financial institutions having an amortized cost of $189 million and an estimated fair value of $149 million (generally considered Level 2 valuations).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Company’s privately issued residential mortgage-backed securities classified as available for sale are generally collateralized by prime and Alt-A residential mortgage loans as depicted in the accompanying table. Information in the table is as of September 30, 2011. As with any accounting estimate or other data, changes in fair values and investment ratings may occur at any time.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PRIVATELY ISSUED MORTGAGE-BACKED SECURITIES CLASSIFIED AS AVAILABLE FOR SALE (a)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a percentage of carrying</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Net</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unrealized</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Fair</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gains</w:t>
            </w:r>
          </w:p>
        </w:tc>
        <w:tc>
          <w:tcPr>
            <w:tcW w:w="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AAA</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3"/>
              </w:rPr>
              <w:t>Investment</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Senior</w:t>
            </w:r>
          </w:p>
        </w:tc>
        <w:tc>
          <w:tcPr>
            <w:tcW w:w="14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Credit</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61"/>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Collateral type</w:t>
            </w:r>
          </w:p>
        </w:tc>
        <w:tc>
          <w:tcPr>
            <w:tcW w:w="8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6"/>
              </w:rPr>
              <w:t>cost</w:t>
            </w: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value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5"/>
              </w:rPr>
              <w:t>(losses)</w:t>
            </w: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rated</w:t>
            </w: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grade</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tranche</w:t>
            </w: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enhancement (b)</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status (c)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w w:val="96"/>
              </w:rPr>
              <w:t>(Dollars in thousands)</w:t>
            </w: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480" w:type="dxa"/>
            <w:vAlign w:val="bottom"/>
            <w:gridSpan w:val="2"/>
          </w:tcPr>
          <w:p>
            <w:pPr>
              <w:spacing w:after="0"/>
              <w:rPr>
                <w:sz w:val="20"/>
                <w:szCs w:val="20"/>
                <w:color w:val="auto"/>
              </w:rPr>
            </w:pPr>
            <w:r>
              <w:rPr>
                <w:rFonts w:ascii="Arial" w:cs="Arial" w:eastAsia="Arial" w:hAnsi="Arial"/>
                <w:sz w:val="18"/>
                <w:szCs w:val="18"/>
                <w:color w:val="auto"/>
              </w:rPr>
              <w:t>Residential mortgage loans: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Prime – fixed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66,345</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5,082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Prime – Hybrid ARMs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1,215,357</w:t>
            </w:r>
          </w:p>
        </w:tc>
        <w:tc>
          <w:tcPr>
            <w:tcW w:w="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1,034,876</w:t>
            </w:r>
          </w:p>
        </w:tc>
        <w:tc>
          <w:tcPr>
            <w:tcW w:w="3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(180,481)</w:t>
            </w:r>
          </w:p>
        </w:tc>
        <w:tc>
          <w:tcPr>
            <w:tcW w:w="7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95</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Alt-A – Hybrid ARMs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146,611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96,846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(49,765)</w:t>
            </w:r>
          </w:p>
        </w:tc>
        <w:tc>
          <w:tcPr>
            <w:tcW w:w="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13,178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11,929</w:t>
            </w:r>
          </w:p>
        </w:tc>
        <w:tc>
          <w:tcPr>
            <w:tcW w:w="3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(1,249)</w:t>
            </w:r>
          </w:p>
        </w:tc>
        <w:tc>
          <w:tcPr>
            <w:tcW w:w="7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71</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1,441,491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1,215,078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(226,413)</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23"/>
        </w:trPr>
        <w:tc>
          <w:tcPr>
            <w:tcW w:w="3480" w:type="dxa"/>
            <w:vAlign w:val="bottom"/>
            <w:gridSpan w:val="2"/>
          </w:tcPr>
          <w:p>
            <w:pPr>
              <w:spacing w:after="0"/>
              <w:rPr>
                <w:sz w:val="20"/>
                <w:szCs w:val="20"/>
                <w:color w:val="auto"/>
              </w:rPr>
            </w:pPr>
            <w:r>
              <w:rPr>
                <w:rFonts w:ascii="Arial" w:cs="Arial" w:eastAsia="Arial" w:hAnsi="Arial"/>
                <w:sz w:val="18"/>
                <w:szCs w:val="18"/>
                <w:color w:val="auto"/>
              </w:rPr>
              <w:t>Commercial mortgage loans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19,446</w:t>
            </w:r>
          </w:p>
        </w:tc>
        <w:tc>
          <w:tcPr>
            <w:tcW w:w="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16,829</w:t>
            </w:r>
          </w:p>
        </w:tc>
        <w:tc>
          <w:tcPr>
            <w:tcW w:w="32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(2,617)</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1,460,937</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1,231,907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(229,030)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29"/>
        </w:trPr>
        <w:tc>
          <w:tcPr>
            <w:tcW w:w="348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8"/>
              </w:rPr>
              <w:t>Residential and commercial mortgage loans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278,433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178,381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(100,052)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460" w:type="dxa"/>
            <w:vAlign w:val="bottom"/>
          </w:tcPr>
          <w:p>
            <w:pPr>
              <w:ind w:left="86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1,739,370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1,410,288</w:t>
            </w:r>
          </w:p>
        </w:tc>
        <w:tc>
          <w:tcPr>
            <w:tcW w:w="32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(329,082)</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September 30, 2011</w:t>
      </w:r>
    </w:p>
    <w:p>
      <w:pPr>
        <w:spacing w:after="0" w:line="15" w:lineRule="exact"/>
        <w:rPr>
          <w:rFonts w:ascii="Arial" w:cs="Arial" w:eastAsia="Arial" w:hAnsi="Arial"/>
          <w:sz w:val="18"/>
          <w:szCs w:val="18"/>
          <w:i w:val="1"/>
          <w:iCs w:val="1"/>
          <w:color w:val="auto"/>
        </w:rPr>
      </w:pPr>
    </w:p>
    <w:p>
      <w:pPr>
        <w:ind w:left="460" w:right="280" w:hanging="452"/>
        <w:spacing w:after="0" w:line="250" w:lineRule="auto"/>
        <w:tabs>
          <w:tab w:leader="none" w:pos="46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credit enhancement is calculated by dividing the remaining unpaid principal balance of bonds subordinate to the bonds owned by the Company plus any overcollateralization remaining in the securitization structure by the remaining unpaid principal balance of all bonds in the securitization structure.</w:t>
      </w:r>
    </w:p>
    <w:p>
      <w:pPr>
        <w:spacing w:after="0" w:line="1" w:lineRule="exact"/>
        <w:rPr>
          <w:rFonts w:ascii="Arial" w:cs="Arial" w:eastAsia="Arial" w:hAnsi="Arial"/>
          <w:sz w:val="18"/>
          <w:szCs w:val="18"/>
          <w:i w:val="1"/>
          <w:iCs w:val="1"/>
          <w:color w:val="auto"/>
        </w:rPr>
      </w:pPr>
    </w:p>
    <w:p>
      <w:pPr>
        <w:ind w:left="460" w:hanging="452"/>
        <w:spacing w:after="0" w:line="261" w:lineRule="auto"/>
        <w:tabs>
          <w:tab w:leader="none" w:pos="46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percentage of amortized cost related to bonds for which the full amount of all contractually required principal and interest payments expected at acquisition continue to be received.</w:t>
      </w:r>
    </w:p>
    <w:p>
      <w:pPr>
        <w:spacing w:after="0" w:line="13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Reflecting the credit stress associated with residential mortgage loans, trading activity for privately issued mortgage-backed securities has been dramatically reduced. In estimating values for such securities, the Company was significantly restricted in the level of market observable assumptions used in the valuation of its privately issued mortgage-backed securities portfolio. Because of the reduced activity and lack of observable valuation inputs, the Company considers the estimated fair value associated with its holdings of privately issued mortgage-backed securities to be Level 3 valuations. To assist in the determination of fair value for its privately issued mortgage-backed securities, the Company engaged two independent pricing sources at September 30, 2011 and December 31, 2010. GAAP provides guidance for estimating fair value when the volume and level of trading activity for an asset or liability have significantly decreased. In consideration of that guidance, the Company performed internal modeling to estimate the cash flows and fair value of privately issued residential mortgage-backed securities with an amortized cost basis of $1.3 billion at September 30, 2011 and $1.5 billion at December 31, 2010.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those bonds under current market conditions, the Company computed values based on judgmentally applied weightings of the internal model valuations and the indications obtained from the average of the two independent pricing sources. The average weight placed on internal model valuations at September 30, 2011 was 34%, compared with a 66% weighting on valuations provided by the independent sources. Further information concerning the Company’s valuations of privately issued mortgage-backed securities can be found in note 12 of Notes to Financial Statements.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quarter ended September 30, 2011 the Company recognized $10 million (pre-tax) of other-than-temporary impairment losses related to privately issued residential mortgage-backed securities with an amortized cost basis (before impairment charge) of $149 million. In assessing impairment losses for debt securities, the Company performed internal modeling to estimate bond-specific cash flows, which considered the placement of the bond in the overall securitization structure and the remaining levels of subordination.</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For privately issued residential mortgage-backed securities in the Company’s available-for-sale portfolio, the model utilized assumptions about the underlying performance of the mortgage loan collateral considering recent collateral performance and future assumptions regarding default and loss severity. At September 30, 2011, projected model default percentages on the underlying mortgage loan collateral ranged from 1% to 35% and loss severities ranged from 27% to 73%. For bonds in which the Company has recognized an other-than-temporary impairment charge, the weighted-average percentage of default collateral was 22% and the weighted-average loss severity was 52%. For bonds without other-than-temporary impairment losses, the weighted-average default percentage and loss severity were 11% and 42%, respectively. Underlying mortgage loan collateral cash flows, after considering the impact of estimated credit losses, were distributed by the model to the various securities within the securitization structure to determine the timing and extent of losses at the bond-level, if any. Despite continuing high levels of delinquencies and losses in the underlying residential mortgage loan collateral, given credit enhancements resulting from the structures of individual bonds, the Company has concluded that as of September 30, 2011 its remaining privately issued mortgage-backed securities were not other-than-temporarily impaired. Nevertheless, given recent market conditions, it is possible that adverse changes in repayment performance and fair value could occur in the remainder of 2011 and later years that could impact the Company’s conclusions. Management has modeled cash flows from privately issued mortgage-backed securities under various scenarios and has concluded that even if home price depreciation and current delinquency trends persist for an extended period of time, the Company’s principal losses on its privately issued mortgage-backed securities would be substantially less than their current fair valuation losses.</w:t>
      </w:r>
    </w:p>
    <w:p>
      <w:pPr>
        <w:spacing w:after="0" w:line="11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Similar to its evaluation of available-for-sale privately issued mortgage-backed securities, the Company assessed impairment losses on CMOs in the held-to-maturity portfolio by performing internal modeling to estimate bond-specific cash flows, which considered the placement of the bond in the overall securitization structure and the remaining subordination levels. As a result of its assessment, the Company did not recognize any other-than-temporary impairment losses related to CMOs in the held-to-maturity portfolio during the third quarter of 2011. In total, at September 30, 2011 and December 31, 2010, the Company had in its held-to-maturity portfolio CMOs with an amortized cost basis of $278 million and $313 million (after impairment charges), respectively, and a fair value of $178 million and $198 million, respectively.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At September 30, 2011, the Company also had net pre-tax unrealized losses of $43 million on $200 million of trust preferred securities issued by financial institutions, securities backed by trust preferred securities, and other debt securities (reflecting $3 million of unrealized losses on $10 million of securities using a Level 3 valuation). After evaluating the expected repayment performance of those bonds, the Company did not recognize any other-than-temporary impairment losses related to those securities during the quarter ended September 30,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comparing the amortized cost and fair value of investment securities is included in note 3 of Notes to Financial Statements.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September 30, 2011, based on a review of each of the remaining securities in the investment securities portfolio, the Company concluded that the declines in the values of those securities were temporary and that any additional other-than-temporary impairment charges were not appropriate.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could result in reductions in the financial statement values for investment securities and shareholders’ equity. Additional information concerning fair value measurements and the Company’s approach to the classification of such measurements is included in note 12 of Notes to Financial Statements.</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$114 million at each of September 30, 2011 and 2010, or $.91 and $.95 per common share, respectively, and $121 million, or $1.01 per common share, at December 31, 2010. During the third quarter of 2011, the Company contributed $70 million to the Company’s qualified defined benefit pension plan.</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Cash dividends declared on M&amp;T’s common stock totaled approximately $89 million in the recent quarter, compared with $84 million and $88 million in the quarters ended September 30, 2010 and June 30, 2011, respectively, and represented a quarterly dividend of $.70 per common share in each of those quarters. Common stock dividends during the nine-month periods ended September 30, 2011 and 2010 were $262 million and $251 million,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dividends declared on preferred stock were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159"/>
        </w:trPr>
        <w:tc>
          <w:tcPr>
            <w:tcW w:w="7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4"/>
              <w:spacing w:after="0" w:line="159" w:lineRule="exact"/>
              <w:rPr>
                <w:sz w:val="20"/>
                <w:szCs w:val="20"/>
                <w:color w:val="auto"/>
              </w:rPr>
            </w:pPr>
            <w:r>
              <w:rPr>
                <w:rFonts w:ascii="Arial" w:cs="Arial" w:eastAsia="Arial" w:hAnsi="Arial"/>
                <w:sz w:val="14"/>
                <w:szCs w:val="14"/>
                <w:color w:val="auto"/>
                <w:w w:val="82"/>
              </w:rPr>
              <w:t>1st Qtr.</w:t>
            </w:r>
          </w:p>
        </w:tc>
        <w:tc>
          <w:tcPr>
            <w:tcW w:w="300" w:type="dxa"/>
            <w:vAlign w:val="bottom"/>
          </w:tcPr>
          <w:p>
            <w:pPr>
              <w:spacing w:after="0"/>
              <w:rPr>
                <w:sz w:val="13"/>
                <w:szCs w:val="13"/>
                <w:color w:val="auto"/>
              </w:rPr>
            </w:pPr>
          </w:p>
        </w:tc>
        <w:tc>
          <w:tcPr>
            <w:tcW w:w="8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2nd Qtr.</w:t>
            </w:r>
          </w:p>
        </w:tc>
        <w:tc>
          <w:tcPr>
            <w:tcW w:w="8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6"/>
              </w:rPr>
              <w:t>3rd Qtr.</w:t>
            </w:r>
          </w:p>
        </w:tc>
        <w:tc>
          <w:tcPr>
            <w:tcW w:w="6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to-date</w:t>
            </w: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ind w:left="28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Series A – 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7,654</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Series A – 2010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7,500</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7,500</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7,500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Series B – 2011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Series B – 2010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662</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663</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662</w:t>
            </w:r>
          </w:p>
        </w:tc>
        <w:tc>
          <w:tcPr>
            <w:tcW w:w="54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Series C – 2011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1,894</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Series C – 2010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1,894</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1,894</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1,894</w:t>
            </w:r>
          </w:p>
        </w:tc>
        <w:tc>
          <w:tcPr>
            <w:tcW w:w="540" w:type="dxa"/>
            <w:vAlign w:val="bottom"/>
          </w:tcPr>
          <w:p>
            <w:pPr>
              <w:jc w:val="right"/>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Series D – 2011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440"/>
              <w:spacing w:after="0"/>
              <w:rPr>
                <w:sz w:val="20"/>
                <w:szCs w:val="20"/>
                <w:color w:val="auto"/>
              </w:rPr>
            </w:pPr>
            <w:r>
              <w:rPr>
                <w:rFonts w:ascii="Arial" w:cs="Arial" w:eastAsia="Arial" w:hAnsi="Arial"/>
                <w:sz w:val="18"/>
                <w:szCs w:val="18"/>
                <w:color w:val="auto"/>
              </w:rPr>
              <w:t>Totals – 2011</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10,498</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9,548</w:t>
            </w:r>
          </w:p>
        </w:tc>
        <w:tc>
          <w:tcPr>
            <w:tcW w:w="2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14,079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 – 2010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10,056</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10,057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10,056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May 18, 2011, M&amp;T redeemed $370 million of the Series A Preferred Stock originally issued on December 23, 2008 to the U.S. Treasury. The Series B Preferred Stock was converted to M&amp;T common stock on April 1, 2011. The Series D Preferred Stock was issued on May 31, 2011.</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common stock during 2010 or in the first nine months of 2011.</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“Tier 1 leverage” ratio guideline of 3% of the quarterly average of total assets. At September 30, 2011, Tier 1 capital included trust preferred securities of $1.1 billion as described in note 5 of Notes to Financial Statements and total capital further included subordinated capital notes of $1.7 billion. Pursuant to the Dodd-Frank Act, trust preferred securities will be phased-out of the definition of Tier 1 capital of bank holding companies.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September 30, 2011 are presented in the accompanying table.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4"/>
                <w:szCs w:val="14"/>
                <w:color w:val="auto"/>
              </w:rPr>
              <w:t>M&amp;T</w:t>
            </w:r>
          </w:p>
        </w:tc>
        <w:tc>
          <w:tcPr>
            <w:tcW w:w="1220" w:type="dxa"/>
            <w:vAlign w:val="bottom"/>
            <w:gridSpan w:val="2"/>
          </w:tcPr>
          <w:p>
            <w:pPr>
              <w:jc w:val="right"/>
              <w:ind w:right="820"/>
              <w:spacing w:after="0"/>
              <w:rPr>
                <w:sz w:val="20"/>
                <w:szCs w:val="20"/>
                <w:color w:val="auto"/>
              </w:rPr>
            </w:pPr>
            <w:r>
              <w:rPr>
                <w:rFonts w:ascii="Arial" w:cs="Arial" w:eastAsia="Arial" w:hAnsi="Arial"/>
                <w:sz w:val="14"/>
                <w:szCs w:val="14"/>
                <w:color w:val="auto"/>
              </w:rPr>
              <w:t>M&amp;T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Wilmington</w:t>
            </w:r>
          </w:p>
        </w:tc>
        <w:tc>
          <w:tcPr>
            <w:tcW w:w="0" w:type="dxa"/>
            <w:vAlign w:val="bottom"/>
          </w:tcPr>
          <w:p>
            <w:pPr>
              <w:spacing w:after="0"/>
              <w:rPr>
                <w:sz w:val="1"/>
                <w:szCs w:val="1"/>
                <w:color w:val="auto"/>
              </w:rPr>
            </w:pPr>
          </w:p>
        </w:tc>
      </w:tr>
      <w:tr>
        <w:trPr>
          <w:trHeight w:val="159"/>
        </w:trPr>
        <w:tc>
          <w:tcPr>
            <w:tcW w:w="5980" w:type="dxa"/>
            <w:vAlign w:val="bottom"/>
          </w:tcPr>
          <w:p>
            <w:pPr>
              <w:spacing w:after="0"/>
              <w:rPr>
                <w:sz w:val="13"/>
                <w:szCs w:val="13"/>
                <w:color w:val="auto"/>
              </w:rPr>
            </w:pPr>
          </w:p>
        </w:tc>
        <w:tc>
          <w:tcPr>
            <w:tcW w:w="154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w w:val="85"/>
              </w:rPr>
              <w:t>(Consolidated)</w:t>
            </w:r>
          </w:p>
        </w:tc>
        <w:tc>
          <w:tcPr>
            <w:tcW w:w="1220" w:type="dxa"/>
            <w:vAlign w:val="bottom"/>
            <w:gridSpan w:val="2"/>
          </w:tcPr>
          <w:p>
            <w:pPr>
              <w:jc w:val="right"/>
              <w:ind w:right="840"/>
              <w:spacing w:after="0" w:line="159" w:lineRule="exact"/>
              <w:rPr>
                <w:sz w:val="20"/>
                <w:szCs w:val="20"/>
                <w:color w:val="auto"/>
              </w:rPr>
            </w:pPr>
            <w:r>
              <w:rPr>
                <w:rFonts w:ascii="Arial" w:cs="Arial" w:eastAsia="Arial" w:hAnsi="Arial"/>
                <w:sz w:val="14"/>
                <w:szCs w:val="14"/>
                <w:color w:val="auto"/>
              </w:rPr>
              <w:t>Bank</w:t>
            </w: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9"/>
              </w:rPr>
              <w:t>Trust, N.A.</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9.74%</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capital</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13 43%</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12.30%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9.35%</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Net income earned by the Business Banking segment totaled $31 million in the recent quarter, 29% higher than $24 million earned in the third quarter of 2010 and up 18% from the immediately preceding quarter’s net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income of $27 million. The improvement from the year-earlier quarter reflects a $10 million decline in the provision for credit losses, predominately due to lower net charge-offs of loans, and a $7 million rise in net interest income, due to higher average deposit and loan balances of $1.5 billion and $484 million, respectively, reflecting the impact of the Wilmington Trust acquisition. Those factors were offset, in part, by a 45 basis point narrowing of the net interest margin on deposits. Increased costs for personnel, advertising and promotion, and FDIC assessments partially offset those favorable factors. As compared with the second quarter of 2011, contributing to the improved performance was a $6 million increase in net interest income, largely due to increases in average deposit and loan balances that reflect the full-quarter impact of the Wilmington Trust acquisition. Also contributing to the improvement was a $2 million decline in the provision for credit losses, resulting from lower net charge-offs of loans. Net income for the nine months ended September 30, 2011 totaled $84 million, 10% above the $76 million earned in the similar 2010 period. A $16 million decline in the provision for credit losses, the result of lower net charge-offs of loans, and a $7 million increase in net interest income (reflecting the impact of the Wilmington Trust acquisition) were partially offset by higher personnel costs of $3 million and reduced fees earned for providing deposit account services of $2 million. Contributing to the higher net interest income were average deposit and loan balance growth of $921 million and $154 million, respectively, and a 10 basis point widening of the net interest margin on loan balances, offset in part by a 42 basis point narrowing of the net interest margin on deposits.</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Commercial Banking segment contributed net income of $94 million during the three-month period ended September 30, 2011, a 31% increase from the $72 million earned in the year-earlier quarter, but 1% below the $95 million recorded in the second quarter of 2011. Net interest income growth of $24 million (of which about four-fifths related to the Wilmington Trust acquisition) and a $19 million reduction in the provision for credit losses, due to decreased net charge-offs of loans, were the key components driving the recent quarter’s improved performance as compared with the corresponding 2010 period. The rise in net interest income was the result of higher average loan and deposit balances (including the impact of the Wilmington Trust acquisition) of $3.1 billion and $2.2 billion, respectively, partially offset by a 34 basis point narrowing of the net interest margin on deposits. Those positive factors were partially offset by a $4 million rise in personnel costs. As compared with the second quarter of 2011, declines of $5 million in each of credit-related fees and gains on the sale of previously leased equipment were predominantly offset by a $9 million increase in net interest income due to higher average deposit and loan balances (reflecting the full-quarter impact of the Wilmington Trust acquisition) of $940 million and $867 million, respectively. Through September 30, net contribution for the Commercial Banking segment increased 21% to $277 million in 2011 from $230 million in 2010. The higher net income was attributable to the following factors: a $52 million rise in net interest income, largely the result of increased average loan and deposit balances of $1.9 billion and $1.6 billion, respectively; a $15 million rise in credit-related fees, including fees earned for providing loan syndication services; a $12 million decline in the provision for credit losses, due to lower net charge-offs of loans; and higher gains on the sale of previously leased equipment of $10 million. These favorable factors were offset, in part, by a $7 million rise in personnel costs.</w:t>
      </w:r>
    </w:p>
    <w:p>
      <w:pPr>
        <w:spacing w:after="0" w:line="12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Commercial Real Estate segment contributed net income of $66 million during the quarter ended September 30, 2011, up 22% from $54 million in the year-earlier quarter and 1% higher than the $65 million earned in the second quarter of 2011. The recent quarter’s improvement compared with the third 2010 quarter reflects a $33 million rise in net interest income, due to higher average loan balances of $2.8 billion (reflecting the impact of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- 98 -</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Wilmington Trust acquisition) and a 29 basis point widening of the net interest margin on loans. Partially offsetting the impact of the higher net interest income were an $8 million increase in the provision for credit losses, due to a rise in net loan charge-offs, lower mortgage banking revenues of $3 million, and higher personnel and foreclosure-related expenses of $2 million each. Compared with the second quarter of 2011, higher net interest income of $19 million, largely the result of an increase in average loan balances of $1.0 billion (reflecting the full-quarter impact of the Wilmington Trust acquisition) and a 21 basis point widening of the net interest margin on loans, was predominantly offset by an $18 million rise in foreclosure-related costs. Such costs in 2011’s second quarter had been significantly reduced due to gains realized from the sale of other real estate owned. The Commercial Real Estate segment’s net income aggregated to $180 million in the first nine months of 2011, up 27% from the $141 million earned in the corresponding 2010 period. A $60 million improvement in net interest income and a $14 million decline in net foreclosure-related expenses were the most significant contributors to the favorable performance, offset, in part, by a $9 million rise in the provision for credit losses, due to increased net charge-offs of loans, and higher personnel costs of $6 million. A 28 basis point widening of the net interest margin on loans combined with a $1.5 billion rise in average loan balances were the main factors contributing to the higher net interest income.</w:t>
      </w:r>
    </w:p>
    <w:p>
      <w:pPr>
        <w:spacing w:after="0" w:line="12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income in the Discretionary Portfolio segment totaled $2 million in the third quarter of 2011, compared with a net loss of $3 million in the third 2010 quarter and net income of $58 million in the second quarter of 2011. Included in this segment’s results were pre-tax other-than-temporary impairment charges (relating primarily to privately issued CMOs), totaling $10 million in each of the third quarters of 2011 and 2010 and $27 million in the second quarter of 2011. Reflected in this segment’s second quarter 2011 results were $111 million of gains realized on the sale of investment securities, predominantly comprised of residential mortgage-backed securities guaranteed by Fannie Mae and Freddie Mac, collateralized debt obligations and capital preferred securities. Exclusive of securities gains and losses, net income contributed by the Discretionary Portfolio aggregated $8 million in the two most recent quarters and $3 million in the year-earlier quarter. The recent quarter’s favorable performance as compared with the third quarter of 2010 was attributable to a $3 million decline in the provision for credit losses, due to lower net charge-offs of loans, and a $3 million rise in net interest income, the result of a 9 basis point widening of this segment’s net interest margin. As compared with the second quarter of 2011, lower net interest income of $5 million, mainly due to a 34 basis point narrowing of the net interest margin on investment securities, was predominantly offset by a $2 million decline in the provision for credit losses, the result of lower net charge-offs of loans, and higher tax-exempt income from bank owned life insurance of $2 million. The Discretionary Portfolio segment earned $77 million of net income for the first nine months of 2011, compared with a net loss of $23 million in the corresponding 2010 period. Adjusted to exclude the impact of securities gains and losses in those periods, net income totaled $19 million and $4 million, respectively. A $29 million rise in net interest income, due to the impact of a 47 basis point widening of the net interest margin on investment securities, was partly offset by an $8 million rise in intersegment costs related to a higher proportion of residential real estate loans being retained for portfolio in 2011.</w:t>
      </w:r>
    </w:p>
    <w:p>
      <w:pPr>
        <w:spacing w:after="0" w:line="12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Net contribution from the Residential Mortgage Banking segment aggregated $11 million in the recent quarter, 15% above the $9 million earned in the third 2010 quarter and up 81% from $6 million in second quarter of 2011. The recent quarter’s improvement as compared with the year-earlier quarter resulted from a $4 million decline in the provision for credit losses, the result of decreased net charge-offs of loans, and lower foreclosure-related expenses of $3 million, partially offset by lower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- 99 -</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revenues earned from residential mortgage origination and sales activities of $3 million. The higher net income in 2011’s third quarter as compared with the immediately preceding quarter was mainly attributable to an $8 million increase in revenues from residential mortgage origination and sales activities, due to higher origination volumes. This segment recorded net income of $22 million and $10 million for the nine-month periods ended September 30, 2011 and 2010, respectively. The most significant contributor to that improvement was a $23 million decline in the provision for credit losses, due to lower net charge-offs of loans.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Retail Banking segment recorded net income of $44 million for the three-month period ended September 30, 2011, 21% below $56 million in the year-earlier period and down 20% from $55 million in the second quarter of 2011. Higher personnel costs of $8 million and other noninterest expenses of $7 million (including increased credit card, merchant costs and transaction processing-related expenses) in the recent quarter (due in part to the Wilmington Trust acquisition) were the key factors contributing to the unfavorable performance as compared with the similar 2010 quarter. The decline in net income from the second quarter of 2011 was the result of increases of $5 million in each of occupancy and other noninterest expenses that were due in part to the Wilmington Trust acquisition, and a $4 million increase in the provision for credit losses, due to higher net charge-offs of loans. Year-to-date net income totaled $151 million and $182 million through September 30, 2011 and 2010, respectively. Factors contributing most to the 17% decline in net income include: a $14 million reduction in fees earned for providing deposit account services; higher personnel costs of $11 million, a $16 million rise in other noninterest expenses, including higher credit card, merchant costs, transaction processing-related expenses, and advertising and promotion costs (each of those increases were due, in part, to the Wilmington Trust acquisition); and a $5 million rise in FDIC assessments. Partially offsetting those unfavorable factors was an $11 million decline in the provision for credit losses, resulting from lower net charge-offs of loans.</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CCS and WAS activities obtained in the acquisition of Wilmington Trust on May 16, 2011 and the pre-acquisition trust activities of the Company. As of September 30, 2011 those activities were being operated as separate business lines. Revenues for CCS, WAS and the non Wilmington Trust-related trust activities were $47 million, $35 million and $28 million in the recent quarter and $26 million, $18 million and $29 million in the second 2011 quarter. Individually and combined the net income of those activities did not exceed 10% of the Company’s net income in the recent quarter. The various components of the “All Other” category resulted in net losses totaling $64 million and $20 million for the quarters ended September 30, 2011 and 2010, respectively, compared with net income of $17 million in the second quarter of 2011. The unfavorable performance in the recent quarter as compared with the year-earlier period was attributable to: a $64 million rise in personnel costs ($58 million related to the Wilmington Trust acquisition); merger-related expenses aggregating $26 million in the recent quarter (there were no such expenses in the third quarter of 2010); increased professional services costs of $15 million; and the unfavorable impact from the Company’s allocation methodologies for internal transfers for funding charges and credits associated with the earning assets and interest-bearing liabilities of the Company’s reportable segments, the provision for credit losses and other costs.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- 100 -</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Partially offsetting those factors was an $83 million increase in trust revenues (reflecting the Wilmington Trust acquisition). As compared with the second quarter of 2011, the $65 million non-taxable gain on the Wilmington Trust acquisition recorded in 2011’s second quarter and a $36 million recent quarter rise in personnel costs were the most significant contributors to the lower net contribution. Partly offsetting these items were higher recent quarter trust revenues of $38 million, attributable to the full-quarter impact of the Wilmington Trust acquisition, and an $11 million decline in merger-related expenses in the recent quarter as compared with the second quarter of 2011. Net losses incurred during the first nine months of 2011 and 2010 for the “All Other” category totaled $79 million and $84 million, respectively. The $65 million non-taxable gain on the Wilmington Trust acquisition recorded in the second quarter of 2011 and increased trust revenues of $127 million in 2011 were predominantly offset by: increases in personnel costs of $92 million and equipment and net occupancy costs of $17 million, all reflecting the Wilmington Trust acquisition; the unfavorable impact from the Company’s allocation methodologies for internal transfers for funding charges and credits associated with the earning assets and interest-bearing liabilities of the Company’s reportable segments and the provision for credit losses; and $67 million of merger-related costs for the nine months ended September 30, 2011. There were no merger-related gains or expenses in the corresponding 2010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September 2011, the Financial Accounting Standards Board (“FASB”) issued amended accounting guidance relating to testing goodwill for impairment. The amendments provide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unity is less than its carrying amount, then performing the two-step impairment test is unnecessary. The optional guidance is effective for annual and interim goodwill impairment tests performed for fiscal years beginning after December 15, 2011, with early adoption permitted. The Company does not expect the guidance to have an impact on its financial position or results of operations.</w:t>
      </w:r>
    </w:p>
    <w:p>
      <w:pPr>
        <w:spacing w:after="0" w:line="12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June 2011, the FASB issued amended presentation guidance relating to comprehensive income. The amendments eliminate the option to present the components of other comprehensive income as part of the statement of changes in shareholders’ equity and now require the presentation of total comprehensive income, the components of net income, and the components of other comprehensive income either in a single continuous statement of comprehensive income or in two separate but consecutive statements. In both options, an entity is required to present each component of net income along with total net income, each component of other comprehensive income along with a total for other comprehensive income, and a total amount for comprehensive income. With either approach, an entity is required to present reclassification adjustments for items reclassified from other comprehensive income to net income in the statement(s). The guidance is effective for fiscal years, and interim periods within those years, beginning after December 15, 2011 and should be applied retrospectively. The Company intends to comply with the new presentation guidance when it becomes effective.</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May 2011, the FASB issued amended accounting and disclosure guidance relating to fair value measurements. The amendments were the result of the FASB and the International Accounting Standards Board developing common requirements for measuring fair value and for disclosing information about fair value measurements. The amendments change the wording used to describe several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- 101 -</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of the requirements for measuring fair value and for disclosing information about fair value measurements, but generally do not result in a change in the application of the existing guidance. The guidance is effective for interim and annual periods beginning after December 15, 2011 and should be applied prospectively. The Company intends to comply with the amended accounting and disclosure guidance when it becomes effective, but does not anticipate that the adoption of this guidance will have a significant impact on any of its fair value measurements.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April 2011, the FASB issued amended accounting guidance relating to the assessment of effective control for repurchase agreements. The amendments remove from the assessment of effective control the criterion requiring the transferor to have the ability to repurchase or redeem the financial assets on substantially the agreed terms, even in the event of default by the transferee. The amendments also remove the collateral maintenance implementation guidance related to that criterion. The guidance is effective for the first interim or annual period beginning on or after December 15, 2011 and should be applied prospectively to transactions or modifications of existing transactions that occur on or after the effective date. The Company does not anticipate that the adoption of this guidance will have a significant effect on the reporting of its financial position or results of its operations.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April 2011, the FASB issued amended accounting and disclosure guidance relating to a creditor’s determination of whether a restructuring is a troubled debt restructuring. The amendments clarify the guidance on a creditor’s evaluation of whether it has granted a concession and whether a debtor is experiencing financial difficulties. The amendments are effective for the first interim or annual period beginning on or after June 15, 2011 and should be applied retrospectively to the beginning of the annual period of adoption. As a result of the application of the amendments, receivables previously measured under loss contingency guidance that are newly considered impaired should be disclosed, along with the related allowance for credit losses, as of the end of the period of adoption. For purposes of measuring impairment of those receivables, an entity should apply the amendments prospectively for the first interim or annual period beginning on or after June 15, 2011. The deferred credit risk disclosure guidance issued in July 2010 relating to troubled debt restructurings is also effective for interim and annual periods beginning on or after June 15, 2011. The Company adopted the new accounting and disclosure requirements effective July 1, 2011. The impact of the required retrospective evaluation of loan modifications back to January 1, 2011 was insignificant. The newly presented disclosures relating to troubled debt restructurings can be found in note 4 of Notes to Financial Statements.</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2010, the FASB issued amended disclosure guidance relating to the pro forma information for business combinations that occurred in the current reporting period. The amended disclosure states that if an entity presents comparative financial statements, the entity should disclose revenue and earnings of the combined entity as though the business combination(s) that occurred during the current year had occurred as of the beginning of the comparable prior annual reporting period. The guidance is effective prospectively for business combinations for which the acquisition date is on or after the beginning of the first annual reporting period beginning on or after December 15, 2010. The Company has complied with these disclosure requirements in the reporting of pro forma information in note 2 of Notes to Financial Statements with respect to its business combination with Wilmington Trust.</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December 2010, the FASB issued amended accounting guidance relating to the goodwill impairment test for reporting units with zero or negative carrying amounts. For those reporting units with zero or negative carrying amounts, an entity is required to perform “Step Two” of the goodwill impairment test if it is more likely than not that a goodwill impairment exists. In determining whether it is more likely than not that a goodwill impairment exists, an entity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- 102 -</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should consider whether there are any adverse qualitative factors indicating that an impairment may exist. The guidance is effective for fiscal years, and interim periods within those years, beginning after December 15, 2010. Through September 30, 2011, the adoption of this guidance had no impact on the Company’s financial position or results of its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we assume no duty to update forward-looking statements.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affecting the financial services industry as a whole, and M&amp;T and its subsidiaries individually or collectively, including tax legislation;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- 103 -</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86"/>
              </w:rPr>
              <w:t>Table 1</w:t>
            </w:r>
          </w:p>
        </w:tc>
      </w:tr>
      <w:tr>
        <w:trPr>
          <w:trHeight w:val="378"/>
        </w:trPr>
        <w:tc>
          <w:tcPr>
            <w:tcW w:w="438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w w:val="89"/>
              </w:rPr>
              <w:t>2011 Quarters</w:t>
            </w: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633"/>
              <w:spacing w:after="0"/>
              <w:rPr>
                <w:sz w:val="20"/>
                <w:szCs w:val="20"/>
                <w:color w:val="auto"/>
              </w:rPr>
            </w:pPr>
            <w:r>
              <w:rPr>
                <w:rFonts w:ascii="Arial" w:cs="Arial" w:eastAsia="Arial" w:hAnsi="Arial"/>
                <w:sz w:val="14"/>
                <w:szCs w:val="14"/>
                <w:color w:val="auto"/>
              </w:rPr>
              <w:t>2010 Quarters</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Third</w:t>
            </w:r>
          </w:p>
        </w:tc>
        <w:tc>
          <w:tcPr>
            <w:tcW w:w="10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Second</w:t>
            </w:r>
          </w:p>
        </w:tc>
        <w:tc>
          <w:tcPr>
            <w:tcW w:w="100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color w:val="auto"/>
              </w:rPr>
              <w:t>First</w:t>
            </w:r>
          </w:p>
        </w:tc>
        <w:tc>
          <w:tcPr>
            <w:tcW w:w="10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rPr>
              <w:t>Fourth</w:t>
            </w:r>
          </w:p>
        </w:tc>
        <w:tc>
          <w:tcPr>
            <w:tcW w:w="10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Third</w:t>
            </w:r>
          </w:p>
        </w:tc>
        <w:tc>
          <w:tcPr>
            <w:tcW w:w="10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Second</w:t>
            </w:r>
          </w:p>
        </w:tc>
        <w:tc>
          <w:tcPr>
            <w:tcW w:w="9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and dividends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726,897</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694,721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673,810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688,855</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691,765</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690,889</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682,309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6"/>
              </w:rPr>
              <w:t>103,632</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102,051</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98,679</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108,628</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116,032</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117,557</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120,052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623,265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592,670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575,131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580,227</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575,733</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573,332</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562,257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2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58,000</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63,000</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75,000</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85,000</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93,000</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85,000</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105,000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368,382</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501,656</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314,420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286,938</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289,899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273,557</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257,706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6"/>
              </w:rPr>
              <w:t>662,019</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576,895</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499,571</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469,274</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480,133</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476,068</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489,362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271,628</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454,431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314,980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312,891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292,499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285,821</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225,601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2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81,974</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125,605</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102,380</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102,319</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94,619</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90,967</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68,723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6,546</w:t>
            </w:r>
          </w:p>
        </w:tc>
        <w:tc>
          <w:tcPr>
            <w:tcW w:w="10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6,468</w:t>
            </w: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6,327</w:t>
            </w: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6,130</w:t>
            </w: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5,865</w:t>
            </w: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6,105</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5,923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6"/>
              </w:rPr>
              <w:t>183,108</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322,358</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206,273</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204,442</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192,015</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188,749</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150,955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164,671</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297,179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190,121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189,678</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176,789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173,597</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136,431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Per common share data</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1.32</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2.43</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1.49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1.47</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Diluted earnings</w:t>
            </w:r>
          </w:p>
        </w:tc>
        <w:tc>
          <w:tcPr>
            <w:tcW w:w="2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1.32</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2.42</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1.59</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1.59</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1.48</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1.46</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.70</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124,575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122,181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119,201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118,613</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118,320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118,054</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117,765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6"/>
              </w:rPr>
              <w:t>124,860</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122,796</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119,852</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119,503</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119,155</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118,878</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118,256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Return on</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assets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1.78%</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1.23%</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1.18%</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1.12%</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Average common shareholders’ equity</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7.84%</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14.94%</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10.16%</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10.03%</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9.56%</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9.67%</w:t>
            </w:r>
          </w:p>
        </w:tc>
        <w:tc>
          <w:tcPr>
            <w:tcW w:w="920" w:type="dxa"/>
            <w:vAlign w:val="bottom"/>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interest margin on average earning assets (taxable-</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 basis)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3.75%</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3.92%</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3.85%</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3.87%</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1"/>
              </w:rPr>
              <w:t>Nonaccrual loans to total loans and leases, net of unearned</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discount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1.91%</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2.08%</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2.19%</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1.97%</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1.95%</w:t>
            </w:r>
          </w:p>
        </w:tc>
        <w:tc>
          <w:tcPr>
            <w:tcW w:w="92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Efficiency ratio (a)</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57.12%</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57.18%</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54.08%</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54.95%</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54.77%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Net operating (tangible) results (b)</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(in thousands)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209,996</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289,487</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216,360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196,235</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200,225</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197,752</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160,953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Diluted net operating income per common share</w:t>
            </w:r>
          </w:p>
        </w:tc>
        <w:tc>
          <w:tcPr>
            <w:tcW w:w="2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1.53</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2.16</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1.67</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1.52</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1.55</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1.53</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Annualized return on</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Average tangible assets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1.69%</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1.36%</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1.20%</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1.24%</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1.23%</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tangible common shareholders’ equity</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24.40%</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20.16%</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18.43%</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19.58%</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20.36%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 (a)</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55.56%</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55.75%</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52.55%</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53.40%</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53.06%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i w:val="1"/>
                <w:iCs w:val="1"/>
                <w:color w:val="auto"/>
              </w:rPr>
              <w:t>In millions, except per share</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Average balances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Total assets (c)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76,908</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72,454</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68,045</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68,502</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67,811</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68,334</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68,883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tangible assets (c)</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73,182</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68,777</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64,423</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64,869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64,167</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64,679</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65,216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Earning assets</w:t>
            </w:r>
          </w:p>
        </w:tc>
        <w:tc>
          <w:tcPr>
            <w:tcW w:w="2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67,215</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63,382</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59,431</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59,737</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59,066</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59,811</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60,331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7,005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6,394</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7,219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7,541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7,993</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8,376</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8,172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2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58,188</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55,461</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51,972</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51,141</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50,835</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51,278</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51,948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58,473</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54,457</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49,680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49,271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47,530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47,932</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47,394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Common shareholders’ equity (c)</w:t>
            </w:r>
          </w:p>
        </w:tc>
        <w:tc>
          <w:tcPr>
            <w:tcW w:w="2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8,462</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8,096</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7,708</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7,582</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7,444</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7,302</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7,136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Tangible common shareholders’ equity (c)</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4,736</w:t>
            </w:r>
          </w:p>
        </w:tc>
        <w:tc>
          <w:tcPr>
            <w:tcW w:w="10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4,419</w:t>
            </w: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4,086</w:t>
            </w: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3,949</w:t>
            </w: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3,800</w:t>
            </w:r>
          </w:p>
        </w:tc>
        <w:tc>
          <w:tcPr>
            <w:tcW w:w="10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3,647</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At end of quarter</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(c)</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77,864</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77,727</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67,881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68,021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68,247</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68,154</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68,439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Total tangible assets (c)</w:t>
            </w:r>
          </w:p>
        </w:tc>
        <w:tc>
          <w:tcPr>
            <w:tcW w:w="2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74,145</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73,995</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64,263</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64,393</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64,609</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64,505</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64,778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 assets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67,926</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67,837</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58,822</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59,434</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59,388</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59,368</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59,741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2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7,174</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6,492</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6,507</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7,151</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7,663</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8,098</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8,105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58,401</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58,541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52,119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51,990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50,792</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51,061</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51,444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59,482</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59,229</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50,548</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49,805</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48,655</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47,523</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47,538</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shareholders’ equity, net of undeclared</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cumulative preferred dividends (c)</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8,509</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8,380</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7,758</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7,611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7,488</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7,360</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Tangible common shareholders’ equity (c)</w:t>
            </w:r>
          </w:p>
        </w:tc>
        <w:tc>
          <w:tcPr>
            <w:tcW w:w="2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4,790</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4,648</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4,140</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3,983</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3,850</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3,711</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3,516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per common share</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67.70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66.71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64.43</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63.54</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62.69</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61.77</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60.40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Tangible equity per common share</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38.11</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37.00</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34.38</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33.26</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32.23</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31.15</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29.59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common share</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High</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90.00</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90.76</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91.05</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87.87</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95.00</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96.15</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85.00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Low</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66.41</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83.31</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84.63</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72.03</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81.08</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74.11</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66.32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Closing</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69.90</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87.95</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88.47</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87.05</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81.81</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84.95</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79.38</w:t>
            </w:r>
          </w:p>
        </w:tc>
        <w:tc>
          <w:tcPr>
            <w:tcW w:w="20" w:type="dxa"/>
            <w:vAlign w:val="bottom"/>
          </w:tcPr>
          <w:p>
            <w:pPr>
              <w:spacing w:after="0"/>
              <w:rPr>
                <w:sz w:val="19"/>
                <w:szCs w:val="19"/>
                <w:color w:val="auto"/>
              </w:rPr>
            </w:pPr>
          </w:p>
        </w:tc>
      </w:tr>
    </w:tbl>
    <w:p>
      <w:pPr>
        <w:spacing w:after="0" w:line="194" w:lineRule="exact"/>
        <w:rPr>
          <w:sz w:val="20"/>
          <w:szCs w:val="20"/>
          <w:color w:val="auto"/>
        </w:rPr>
      </w:pPr>
    </w:p>
    <w:p>
      <w:pPr>
        <w:sectPr>
          <w:pgSz w:w="11900" w:h="16838" w:orient="portrait"/>
          <w:cols w:equalWidth="0" w:num="1">
            <w:col w:w="11420"/>
          </w:cols>
          <w:pgMar w:left="240" w:top="459" w:right="239" w:bottom="0" w:gutter="0" w:footer="0" w:header="0"/>
        </w:sectPr>
      </w:pPr>
    </w:p>
    <w:p>
      <w:pPr>
        <w:ind w:left="460" w:hanging="452"/>
        <w:spacing w:after="0"/>
        <w:tabs>
          <w:tab w:leader="none" w:pos="460" w:val="left"/>
        </w:tabs>
        <w:numPr>
          <w:ilvl w:val="0"/>
          <w:numId w:val="78"/>
        </w:numPr>
        <w:rPr>
          <w:rFonts w:ascii="Arial" w:cs="Arial" w:eastAsia="Arial" w:hAnsi="Arial"/>
          <w:sz w:val="15"/>
          <w:szCs w:val="15"/>
          <w:i w:val="1"/>
          <w:iCs w:val="1"/>
          <w:color w:val="auto"/>
        </w:rPr>
      </w:pPr>
      <w:r>
        <w:rPr>
          <w:rFonts w:ascii="Arial" w:cs="Arial" w:eastAsia="Arial" w:hAnsi="Arial"/>
          <w:sz w:val="15"/>
          <w:szCs w:val="15"/>
          <w:i w:val="1"/>
          <w:iCs w:val="1"/>
          <w:color w:val="auto"/>
        </w:rPr>
        <w:t>Excludes impact of merger-related gains and expenses and net securities transactions.</w:t>
      </w:r>
    </w:p>
    <w:p>
      <w:pPr>
        <w:sectPr>
          <w:pgSz w:w="11900" w:h="16838" w:orient="portrait"/>
          <w:cols w:equalWidth="0" w:num="1">
            <w:col w:w="11420"/>
          </w:cols>
          <w:pgMar w:left="240" w:top="459" w:right="239" w:bottom="0" w:gutter="0" w:footer="0" w:header="0"/>
          <w:type w:val="continuous"/>
        </w:sectPr>
      </w:pPr>
    </w:p>
    <w:bookmarkStart w:id="105" w:name="page106"/>
    <w:bookmarkEnd w:id="105"/>
    <w:p>
      <w:pPr>
        <w:jc w:val="both"/>
        <w:ind w:left="452" w:hanging="452"/>
        <w:spacing w:after="0" w:line="253" w:lineRule="auto"/>
        <w:tabs>
          <w:tab w:leader="none" w:pos="452"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ind w:left="452" w:right="360" w:hanging="452"/>
        <w:spacing w:after="0" w:line="361" w:lineRule="auto"/>
        <w:tabs>
          <w:tab w:leader="none" w:pos="452" w:val="left"/>
        </w:tabs>
        <w:numPr>
          <w:ilvl w:val="0"/>
          <w:numId w:val="79"/>
        </w:numPr>
        <w:rPr>
          <w:rFonts w:ascii="Arial" w:cs="Arial" w:eastAsia="Arial" w:hAnsi="Arial"/>
          <w:sz w:val="15"/>
          <w:szCs w:val="15"/>
          <w:i w:val="1"/>
          <w:iCs w:val="1"/>
          <w:color w:val="auto"/>
        </w:rPr>
      </w:pPr>
      <w:r>
        <w:rPr>
          <w:rFonts w:ascii="Arial" w:cs="Arial" w:eastAsia="Arial" w:hAnsi="Arial"/>
          <w:sz w:val="15"/>
          <w:szCs w:val="15"/>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55" w:lineRule="exact"/>
        <w:rPr>
          <w:rFonts w:ascii="Arial" w:cs="Arial" w:eastAsia="Arial" w:hAnsi="Arial"/>
          <w:sz w:val="15"/>
          <w:szCs w:val="15"/>
          <w:i w:val="1"/>
          <w:iCs w:val="1"/>
          <w:color w:val="auto"/>
        </w:rPr>
      </w:pPr>
    </w:p>
    <w:p>
      <w:pPr>
        <w:ind w:left="5572" w:hanging="100"/>
        <w:spacing w:after="0"/>
        <w:tabs>
          <w:tab w:leader="none" w:pos="5572" w:val="left"/>
        </w:tabs>
        <w:numPr>
          <w:ilvl w:val="1"/>
          <w:numId w:val="79"/>
        </w:numPr>
        <w:rPr>
          <w:rFonts w:ascii="Arial" w:cs="Arial" w:eastAsia="Arial" w:hAnsi="Arial"/>
          <w:sz w:val="18"/>
          <w:szCs w:val="18"/>
          <w:color w:val="auto"/>
        </w:rPr>
      </w:pPr>
      <w:r>
        <w:rPr>
          <w:rFonts w:ascii="Arial" w:cs="Arial" w:eastAsia="Arial" w:hAnsi="Arial"/>
          <w:sz w:val="18"/>
          <w:szCs w:val="18"/>
          <w:color w:val="auto"/>
        </w:rPr>
        <w:t>104 -</w:t>
      </w:r>
    </w:p>
    <w:p>
      <w:pPr>
        <w:sectPr>
          <w:pgSz w:w="11900" w:h="16838" w:orient="portrait"/>
          <w:cols w:equalWidth="0" w:num="1">
            <w:col w:w="11332"/>
          </w:cols>
          <w:pgMar w:left="248" w:top="131"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w w:val="86"/>
              </w:rPr>
              <w:t>Table 2</w:t>
            </w:r>
          </w:p>
        </w:tc>
      </w:tr>
      <w:tr>
        <w:trPr>
          <w:trHeight w:val="378"/>
        </w:trPr>
        <w:tc>
          <w:tcPr>
            <w:tcW w:w="5860" w:type="dxa"/>
            <w:vAlign w:val="bottom"/>
            <w:gridSpan w:val="4"/>
          </w:tcPr>
          <w:p>
            <w:pPr>
              <w:spacing w:after="0"/>
              <w:rPr>
                <w:sz w:val="20"/>
                <w:szCs w:val="20"/>
                <w:color w:val="auto"/>
              </w:rPr>
            </w:pPr>
            <w:r>
              <w:rPr>
                <w:rFonts w:ascii="Arial" w:cs="Arial" w:eastAsia="Arial" w:hAnsi="Arial"/>
                <w:sz w:val="18"/>
                <w:szCs w:val="18"/>
                <w:color w:val="auto"/>
                <w:w w:val="98"/>
              </w:rPr>
              <w:t>RECONCILIATION OF QUARTERLY GAAP TO NON-GAAP MEASURES</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w w:val="91"/>
              </w:rPr>
              <w:t>2011 Quarters</w:t>
            </w: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533"/>
              <w:spacing w:after="0"/>
              <w:rPr>
                <w:sz w:val="20"/>
                <w:szCs w:val="20"/>
                <w:color w:val="auto"/>
              </w:rPr>
            </w:pPr>
            <w:r>
              <w:rPr>
                <w:rFonts w:ascii="Arial" w:cs="Arial" w:eastAsia="Arial" w:hAnsi="Arial"/>
                <w:sz w:val="14"/>
                <w:szCs w:val="14"/>
                <w:color w:val="auto"/>
              </w:rPr>
              <w:t>2010 Quarters</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Third</w:t>
            </w:r>
          </w:p>
        </w:tc>
        <w:tc>
          <w:tcPr>
            <w:tcW w:w="10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Second</w:t>
            </w: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First</w:t>
            </w:r>
          </w:p>
        </w:tc>
        <w:tc>
          <w:tcPr>
            <w:tcW w:w="9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Fourth</w:t>
            </w: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rPr>
              <w:t>Third</w:t>
            </w:r>
          </w:p>
        </w:tc>
        <w:tc>
          <w:tcPr>
            <w:tcW w:w="9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Second</w:t>
            </w: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183,108</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322,358</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206,273</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204,442</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192,015</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188,749</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150,955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10,622</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8,974</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7,478</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8,054</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8,210</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9,003</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Merger-related gain (a)</w:t>
            </w:r>
          </w:p>
        </w:tc>
        <w:tc>
          <w:tcPr>
            <w:tcW w:w="28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(64,930)</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(16,730)</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16,266</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23,085</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2,609</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469</w:t>
            </w: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209,996</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289,487</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216,360</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196,235</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200,225</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197,752</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160,953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1.32</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2.42</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1.59</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1.59</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1.48</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1.46</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.06</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.07</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.07</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Merger-related gain (a)</w:t>
            </w:r>
          </w:p>
        </w:tc>
        <w:tc>
          <w:tcPr>
            <w:tcW w:w="28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(.52)</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.19</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9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Diluted net operating earnings per common share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1.53</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2.16</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1.67</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1.52</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1.55</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1.53</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expense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662,019</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576,895</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499,571</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469,274</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480,133</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476,068</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489,362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(17,401)</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(14,740)</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(12,314)</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(13,269)</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(13,526)</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(14,833)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(26,003)</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(36,996)</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(4,295)</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(771)</w:t>
            </w: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Noninterest operating expense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86"/>
              </w:rPr>
              <w:t>618,615</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525,159</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482,962</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455,234</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466,607</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461,235</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472,887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285</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15,305</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119</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25</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79</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44</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723</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318</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147</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74</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24,876</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21,348</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4,062</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646</w:t>
            </w: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26,003</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36,996</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4,295</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771</w:t>
            </w: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76,908</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72,454</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68,045</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68,502</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67,811</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68,334</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(3,525)</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(3,525)</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(3,525)</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(3,525)</w:t>
            </w:r>
          </w:p>
        </w:tc>
        <w:tc>
          <w:tcPr>
            <w:tcW w:w="820" w:type="dxa"/>
            <w:vAlign w:val="bottom"/>
          </w:tcPr>
          <w:p>
            <w:pPr>
              <w:jc w:val="right"/>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(198)</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(119)</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(132)</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(146)</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65</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46</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24</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27</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30</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Average tangible assets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73,182</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68,777</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64,423</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64,869</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64,167</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64,679</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65,216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Average common equity</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9,324</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8,812</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8,451</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8,322</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8,181</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8,036</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(716)</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(743)</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(740)</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(737)</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(734)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Average common equity</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8,462</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8,096</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7,708</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7,582</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7,444</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7,302</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7,136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(3,525)</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(3,525)</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(3,525)</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(3,525)</w:t>
            </w:r>
          </w:p>
        </w:tc>
        <w:tc>
          <w:tcPr>
            <w:tcW w:w="820" w:type="dxa"/>
            <w:vAlign w:val="bottom"/>
          </w:tcPr>
          <w:p>
            <w:pPr>
              <w:jc w:val="right"/>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(198)</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(119)</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(132)</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(146)</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65</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46</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24</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27</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30</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Average tangible common equity</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4,736</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4,419</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4,086</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3,949</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3,800</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3,647</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At end of quarter</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77,864</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77,727</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67,881</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68,021</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68,247</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68,154</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68,439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(3,525)</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(3,525)</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(3,525)</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(3,525)</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(275)</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(113)</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(126)</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(139)</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(152)</w:t>
            </w: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63</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68</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23</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28</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tangible assets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74,145</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73,995</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64,263</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64,393</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64,609</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64,505</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64,778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equity</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9,375</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9,244</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8,508</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8,358</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8,232</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8,102</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7,916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(861)</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(743)</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(741)</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(738)</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Undeclared dividends – cumulative preferred stock</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84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9"/>
              </w:rPr>
              <w:t>Common equity, net of undeclared cumulative preferred</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dividends</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8,509</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8,380</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7,758</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7,611</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7,488</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7,360</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(3,525)</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(3,525)</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(3,525)</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(3,525)</w:t>
            </w:r>
          </w:p>
        </w:tc>
        <w:tc>
          <w:tcPr>
            <w:tcW w:w="820" w:type="dxa"/>
            <w:vAlign w:val="bottom"/>
          </w:tcPr>
          <w:p>
            <w:pPr>
              <w:jc w:val="right"/>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(275)</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(113)</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(126)</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(139)</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63</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68</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23</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26</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28</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tangible common equity</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4,790</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4,648</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4,140</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3,983</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3,850</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3,711</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3,516</w:t>
            </w:r>
          </w:p>
        </w:tc>
        <w:tc>
          <w:tcPr>
            <w:tcW w:w="20" w:type="dxa"/>
            <w:vAlign w:val="bottom"/>
          </w:tcPr>
          <w:p>
            <w:pPr>
              <w:spacing w:after="0"/>
              <w:rPr>
                <w:sz w:val="18"/>
                <w:szCs w:val="18"/>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- 105 -</w:t>
      </w:r>
    </w:p>
    <w:p>
      <w:pPr>
        <w:sectPr>
          <w:pgSz w:w="11900" w:h="16838" w:orient="portrait"/>
          <w:cols w:equalWidth="0" w:num="1">
            <w:col w:w="11420"/>
          </w:cols>
          <w:pgMar w:left="240" w:top="459" w:right="239" w:bottom="229"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Table 3</w:t>
            </w:r>
          </w:p>
        </w:tc>
      </w:tr>
      <w:tr>
        <w:trPr>
          <w:trHeight w:val="378"/>
        </w:trPr>
        <w:tc>
          <w:tcPr>
            <w:tcW w:w="6600" w:type="dxa"/>
            <w:vAlign w:val="bottom"/>
            <w:gridSpan w:val="6"/>
          </w:tcPr>
          <w:p>
            <w:pPr>
              <w:spacing w:after="0"/>
              <w:rPr>
                <w:sz w:val="20"/>
                <w:szCs w:val="20"/>
                <w:color w:val="auto"/>
              </w:rPr>
            </w:pPr>
            <w:r>
              <w:rPr>
                <w:rFonts w:ascii="Arial" w:cs="Arial" w:eastAsia="Arial" w:hAnsi="Arial"/>
                <w:sz w:val="18"/>
                <w:szCs w:val="18"/>
                <w:color w:val="auto"/>
                <w:w w:val="95"/>
              </w:rPr>
              <w:t>AVERAGE BALANCE SHEETS AND ANNUALIZED TAXABLE-EQUIVALENT RATES</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2011 Third Quarter</w:t>
            </w:r>
          </w:p>
        </w:tc>
        <w:tc>
          <w:tcPr>
            <w:tcW w:w="86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2011 Second Quarter</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87"/>
              </w:rPr>
              <w:t>2011 First Quarter</w:t>
            </w:r>
          </w:p>
        </w:tc>
        <w:tc>
          <w:tcPr>
            <w:tcW w:w="7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Average</w:t>
            </w:r>
          </w:p>
        </w:tc>
        <w:tc>
          <w:tcPr>
            <w:tcW w:w="960" w:type="dxa"/>
            <w:vAlign w:val="bottom"/>
          </w:tcPr>
          <w:p>
            <w:pPr>
              <w:spacing w:after="0"/>
              <w:rPr>
                <w:sz w:val="12"/>
                <w:szCs w:val="12"/>
                <w:color w:val="auto"/>
              </w:rPr>
            </w:pPr>
          </w:p>
        </w:tc>
        <w:tc>
          <w:tcPr>
            <w:tcW w:w="860" w:type="dxa"/>
            <w:vAlign w:val="bottom"/>
          </w:tcPr>
          <w:p>
            <w:pPr>
              <w:jc w:val="right"/>
              <w:ind w:right="274"/>
              <w:spacing w:after="0" w:line="149" w:lineRule="exact"/>
              <w:rPr>
                <w:sz w:val="20"/>
                <w:szCs w:val="20"/>
                <w:color w:val="auto"/>
              </w:rPr>
            </w:pPr>
            <w:r>
              <w:rPr>
                <w:rFonts w:ascii="Arial" w:cs="Arial" w:eastAsia="Arial" w:hAnsi="Arial"/>
                <w:sz w:val="14"/>
                <w:szCs w:val="14"/>
                <w:color w:val="auto"/>
                <w:w w:val="91"/>
              </w:rPr>
              <w:t>Average</w:t>
            </w:r>
          </w:p>
        </w:tc>
        <w:tc>
          <w:tcPr>
            <w:tcW w:w="720" w:type="dxa"/>
            <w:vAlign w:val="bottom"/>
          </w:tcPr>
          <w:p>
            <w:pPr>
              <w:jc w:val="right"/>
              <w:ind w:right="154"/>
              <w:spacing w:after="0" w:line="149" w:lineRule="exact"/>
              <w:rPr>
                <w:sz w:val="20"/>
                <w:szCs w:val="20"/>
                <w:color w:val="auto"/>
              </w:rPr>
            </w:pPr>
            <w:r>
              <w:rPr>
                <w:rFonts w:ascii="Arial" w:cs="Arial" w:eastAsia="Arial" w:hAnsi="Arial"/>
                <w:sz w:val="14"/>
                <w:szCs w:val="14"/>
                <w:color w:val="auto"/>
                <w:w w:val="88"/>
              </w:rPr>
              <w:t>Average</w:t>
            </w:r>
          </w:p>
        </w:tc>
        <w:tc>
          <w:tcPr>
            <w:tcW w:w="920" w:type="dxa"/>
            <w:vAlign w:val="bottom"/>
          </w:tcPr>
          <w:p>
            <w:pPr>
              <w:spacing w:after="0"/>
              <w:rPr>
                <w:sz w:val="12"/>
                <w:szCs w:val="12"/>
                <w:color w:val="auto"/>
              </w:rPr>
            </w:pPr>
          </w:p>
        </w:tc>
        <w:tc>
          <w:tcPr>
            <w:tcW w:w="760" w:type="dxa"/>
            <w:vAlign w:val="bottom"/>
          </w:tcPr>
          <w:p>
            <w:pPr>
              <w:jc w:val="right"/>
              <w:ind w:right="194"/>
              <w:spacing w:after="0" w:line="149" w:lineRule="exact"/>
              <w:rPr>
                <w:sz w:val="20"/>
                <w:szCs w:val="20"/>
                <w:color w:val="auto"/>
              </w:rPr>
            </w:pPr>
            <w:r>
              <w:rPr>
                <w:rFonts w:ascii="Arial" w:cs="Arial" w:eastAsia="Arial" w:hAnsi="Arial"/>
                <w:sz w:val="14"/>
                <w:szCs w:val="14"/>
                <w:color w:val="auto"/>
                <w:w w:val="88"/>
              </w:rPr>
              <w:t>Average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Average</w:t>
            </w:r>
          </w:p>
        </w:tc>
        <w:tc>
          <w:tcPr>
            <w:tcW w:w="1080" w:type="dxa"/>
            <w:vAlign w:val="bottom"/>
          </w:tcPr>
          <w:p>
            <w:pPr>
              <w:spacing w:after="0"/>
              <w:rPr>
                <w:sz w:val="12"/>
                <w:szCs w:val="12"/>
                <w:color w:val="auto"/>
              </w:rPr>
            </w:pPr>
          </w:p>
        </w:tc>
        <w:tc>
          <w:tcPr>
            <w:tcW w:w="720" w:type="dxa"/>
            <w:vAlign w:val="bottom"/>
          </w:tcPr>
          <w:p>
            <w:pPr>
              <w:jc w:val="right"/>
              <w:ind w:right="114"/>
              <w:spacing w:after="0" w:line="149" w:lineRule="exact"/>
              <w:rPr>
                <w:sz w:val="20"/>
                <w:szCs w:val="20"/>
                <w:color w:val="auto"/>
              </w:rPr>
            </w:pPr>
            <w:r>
              <w:rPr>
                <w:rFonts w:ascii="Arial" w:cs="Arial" w:eastAsia="Arial" w:hAnsi="Arial"/>
                <w:sz w:val="14"/>
                <w:szCs w:val="14"/>
                <w:color w:val="auto"/>
                <w:w w:val="95"/>
              </w:rPr>
              <w:t>Average</w:t>
            </w:r>
          </w:p>
        </w:tc>
      </w:tr>
      <w:tr>
        <w:trPr>
          <w:trHeight w:val="159"/>
        </w:trPr>
        <w:tc>
          <w:tcPr>
            <w:tcW w:w="390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880" w:type="dxa"/>
            <w:vAlign w:val="bottom"/>
            <w:gridSpan w:val="2"/>
          </w:tcPr>
          <w:p>
            <w:pPr>
              <w:jc w:val="right"/>
              <w:ind w:right="133"/>
              <w:spacing w:after="0" w:line="159" w:lineRule="exact"/>
              <w:rPr>
                <w:sz w:val="20"/>
                <w:szCs w:val="20"/>
                <w:color w:val="auto"/>
              </w:rPr>
            </w:pPr>
            <w:r>
              <w:rPr>
                <w:rFonts w:ascii="Arial" w:cs="Arial" w:eastAsia="Arial" w:hAnsi="Arial"/>
                <w:sz w:val="14"/>
                <w:szCs w:val="14"/>
                <w:color w:val="auto"/>
              </w:rPr>
              <w:t>Balance</w:t>
            </w:r>
          </w:p>
        </w:tc>
        <w:tc>
          <w:tcPr>
            <w:tcW w:w="960" w:type="dxa"/>
            <w:vAlign w:val="bottom"/>
          </w:tcPr>
          <w:p>
            <w:pPr>
              <w:jc w:val="right"/>
              <w:ind w:right="233"/>
              <w:spacing w:after="0" w:line="159" w:lineRule="exact"/>
              <w:rPr>
                <w:sz w:val="20"/>
                <w:szCs w:val="20"/>
                <w:color w:val="auto"/>
              </w:rPr>
            </w:pPr>
            <w:r>
              <w:rPr>
                <w:rFonts w:ascii="Arial" w:cs="Arial" w:eastAsia="Arial" w:hAnsi="Arial"/>
                <w:sz w:val="14"/>
                <w:szCs w:val="14"/>
                <w:color w:val="auto"/>
              </w:rPr>
              <w:t>Interest</w:t>
            </w:r>
          </w:p>
        </w:tc>
        <w:tc>
          <w:tcPr>
            <w:tcW w:w="860" w:type="dxa"/>
            <w:vAlign w:val="bottom"/>
          </w:tcPr>
          <w:p>
            <w:pPr>
              <w:jc w:val="right"/>
              <w:ind w:right="374"/>
              <w:spacing w:after="0" w:line="159" w:lineRule="exact"/>
              <w:rPr>
                <w:sz w:val="20"/>
                <w:szCs w:val="20"/>
                <w:color w:val="auto"/>
              </w:rPr>
            </w:pPr>
            <w:r>
              <w:rPr>
                <w:rFonts w:ascii="Arial" w:cs="Arial" w:eastAsia="Arial" w:hAnsi="Arial"/>
                <w:sz w:val="14"/>
                <w:szCs w:val="14"/>
                <w:color w:val="auto"/>
              </w:rPr>
              <w:t>Rate</w:t>
            </w:r>
          </w:p>
        </w:tc>
        <w:tc>
          <w:tcPr>
            <w:tcW w:w="72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90"/>
              </w:rPr>
              <w:t>Balance</w:t>
            </w:r>
          </w:p>
        </w:tc>
        <w:tc>
          <w:tcPr>
            <w:tcW w:w="920" w:type="dxa"/>
            <w:vAlign w:val="bottom"/>
          </w:tcPr>
          <w:p>
            <w:pPr>
              <w:jc w:val="right"/>
              <w:ind w:right="253"/>
              <w:spacing w:after="0" w:line="159" w:lineRule="exact"/>
              <w:rPr>
                <w:sz w:val="20"/>
                <w:szCs w:val="20"/>
                <w:color w:val="auto"/>
              </w:rPr>
            </w:pPr>
            <w:r>
              <w:rPr>
                <w:rFonts w:ascii="Arial" w:cs="Arial" w:eastAsia="Arial" w:hAnsi="Arial"/>
                <w:sz w:val="14"/>
                <w:szCs w:val="14"/>
                <w:color w:val="auto"/>
              </w:rPr>
              <w:t>Interest</w:t>
            </w:r>
          </w:p>
        </w:tc>
        <w:tc>
          <w:tcPr>
            <w:tcW w:w="760" w:type="dxa"/>
            <w:vAlign w:val="bottom"/>
          </w:tcPr>
          <w:p>
            <w:pPr>
              <w:jc w:val="right"/>
              <w:ind w:right="294"/>
              <w:spacing w:after="0" w:line="159" w:lineRule="exact"/>
              <w:rPr>
                <w:sz w:val="20"/>
                <w:szCs w:val="20"/>
                <w:color w:val="auto"/>
              </w:rPr>
            </w:pPr>
            <w:r>
              <w:rPr>
                <w:rFonts w:ascii="Arial" w:cs="Arial" w:eastAsia="Arial" w:hAnsi="Arial"/>
                <w:sz w:val="14"/>
                <w:szCs w:val="14"/>
                <w:color w:val="auto"/>
              </w:rPr>
              <w:t>Rate</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Balance</w:t>
            </w:r>
          </w:p>
        </w:tc>
        <w:tc>
          <w:tcPr>
            <w:tcW w:w="1080" w:type="dxa"/>
            <w:vAlign w:val="bottom"/>
          </w:tcPr>
          <w:p>
            <w:pPr>
              <w:jc w:val="right"/>
              <w:ind w:right="234"/>
              <w:spacing w:after="0" w:line="159" w:lineRule="exact"/>
              <w:rPr>
                <w:sz w:val="20"/>
                <w:szCs w:val="20"/>
                <w:color w:val="auto"/>
              </w:rPr>
            </w:pPr>
            <w:r>
              <w:rPr>
                <w:rFonts w:ascii="Arial" w:cs="Arial" w:eastAsia="Arial" w:hAnsi="Arial"/>
                <w:sz w:val="14"/>
                <w:szCs w:val="14"/>
                <w:color w:val="auto"/>
              </w:rPr>
              <w:t>Interest</w:t>
            </w:r>
          </w:p>
        </w:tc>
        <w:tc>
          <w:tcPr>
            <w:tcW w:w="720" w:type="dxa"/>
            <w:vAlign w:val="bottom"/>
          </w:tcPr>
          <w:p>
            <w:pPr>
              <w:jc w:val="right"/>
              <w:ind w:right="214"/>
              <w:spacing w:after="0" w:line="159" w:lineRule="exact"/>
              <w:rPr>
                <w:sz w:val="20"/>
                <w:szCs w:val="20"/>
                <w:color w:val="auto"/>
              </w:rPr>
            </w:pPr>
            <w:r>
              <w:rPr>
                <w:rFonts w:ascii="Arial" w:cs="Arial" w:eastAsia="Arial" w:hAnsi="Arial"/>
                <w:sz w:val="14"/>
                <w:szCs w:val="14"/>
                <w:color w:val="auto"/>
              </w:rPr>
              <w:t>Rate</w:t>
            </w: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Earning assets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Commercial, financial, etc.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15,007</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w w:val="98"/>
              </w:rPr>
              <w:t>$144,677</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3.82%</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w w:val="90"/>
              </w:rPr>
              <w:t>14,623</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141,723</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3.89%</w:t>
            </w:r>
          </w:p>
        </w:tc>
        <w:tc>
          <w:tcPr>
            <w:tcW w:w="620" w:type="dxa"/>
            <w:vAlign w:val="bottom"/>
          </w:tcPr>
          <w:p>
            <w:pPr>
              <w:jc w:val="right"/>
              <w:spacing w:after="0"/>
              <w:rPr>
                <w:sz w:val="20"/>
                <w:szCs w:val="20"/>
                <w:color w:val="auto"/>
              </w:rPr>
            </w:pPr>
            <w:r>
              <w:rPr>
                <w:rFonts w:ascii="Arial" w:cs="Arial" w:eastAsia="Arial" w:hAnsi="Arial"/>
                <w:sz w:val="18"/>
                <w:szCs w:val="18"/>
                <w:color w:val="auto"/>
              </w:rPr>
              <w:t>13,573</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131,619</w:t>
            </w:r>
          </w:p>
        </w:tc>
        <w:tc>
          <w:tcPr>
            <w:tcW w:w="7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 commercial</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3"/>
              </w:rPr>
              <w:t>23,979</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277,193</w:t>
            </w:r>
          </w:p>
        </w:tc>
        <w:tc>
          <w:tcPr>
            <w:tcW w:w="8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4.62</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22,471</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257,787</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4.59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21,003</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247,276</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4.71</w:t>
            </w: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Real estate – consumer</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7,002</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86,651</w:t>
            </w:r>
          </w:p>
        </w:tc>
        <w:tc>
          <w:tcPr>
            <w:tcW w:w="860" w:type="dxa"/>
            <w:vAlign w:val="bottom"/>
          </w:tcPr>
          <w:p>
            <w:pPr>
              <w:jc w:val="right"/>
              <w:ind w:right="274"/>
              <w:spacing w:after="0"/>
              <w:rPr>
                <w:sz w:val="20"/>
                <w:szCs w:val="20"/>
                <w:color w:val="auto"/>
              </w:rPr>
            </w:pPr>
            <w:r>
              <w:rPr>
                <w:rFonts w:ascii="Arial" w:cs="Arial" w:eastAsia="Arial" w:hAnsi="Arial"/>
                <w:sz w:val="18"/>
                <w:szCs w:val="18"/>
                <w:color w:val="auto"/>
              </w:rPr>
              <w:t>4.95</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6,559</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81,943</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5.00</w:t>
            </w:r>
          </w:p>
        </w:tc>
        <w:tc>
          <w:tcPr>
            <w:tcW w:w="620" w:type="dxa"/>
            <w:vAlign w:val="bottom"/>
          </w:tcPr>
          <w:p>
            <w:pPr>
              <w:jc w:val="right"/>
              <w:spacing w:after="0"/>
              <w:rPr>
                <w:sz w:val="20"/>
                <w:szCs w:val="20"/>
                <w:color w:val="auto"/>
              </w:rPr>
            </w:pPr>
            <w:r>
              <w:rPr>
                <w:rFonts w:ascii="Arial" w:cs="Arial" w:eastAsia="Arial" w:hAnsi="Arial"/>
                <w:sz w:val="18"/>
                <w:szCs w:val="18"/>
                <w:color w:val="auto"/>
              </w:rPr>
              <w:t>6,054</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76,642</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5.06</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3"/>
              </w:rPr>
              <w:t>12,200</w:t>
            </w: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152,301</w:t>
            </w:r>
          </w:p>
        </w:tc>
        <w:tc>
          <w:tcPr>
            <w:tcW w:w="8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4.95</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11,808</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148,028</w:t>
            </w: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5.03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143,519</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5.13</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loans and leases, net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58,188</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660,822</w:t>
            </w: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4.51</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0"/>
              </w:rPr>
              <w:t>55,461</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629,481</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4.55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51,972</w:t>
            </w: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599,056</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4.67</w:t>
            </w: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1,861</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1,164</w:t>
            </w:r>
          </w:p>
        </w:tc>
        <w:tc>
          <w:tcPr>
            <w:tcW w:w="8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.25</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804</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479</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89"/>
              </w:rPr>
              <w:t>Federal funds sold and agreements to resell securities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76</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27</w:t>
            </w:r>
          </w:p>
        </w:tc>
        <w:tc>
          <w:tcPr>
            <w:tcW w:w="860" w:type="dxa"/>
            <w:vAlign w:val="bottom"/>
          </w:tcPr>
          <w:p>
            <w:pPr>
              <w:jc w:val="right"/>
              <w:ind w:right="274"/>
              <w:spacing w:after="0"/>
              <w:rPr>
                <w:sz w:val="20"/>
                <w:szCs w:val="20"/>
                <w:color w:val="auto"/>
              </w:rPr>
            </w:pPr>
            <w:r>
              <w:rPr>
                <w:rFonts w:ascii="Arial" w:cs="Arial" w:eastAsia="Arial" w:hAnsi="Arial"/>
                <w:sz w:val="18"/>
                <w:szCs w:val="18"/>
                <w:color w:val="auto"/>
              </w:rPr>
              <w:t>.14</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622</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137</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.09</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19</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85</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371</w:t>
            </w:r>
          </w:p>
        </w:tc>
        <w:tc>
          <w:tcPr>
            <w:tcW w:w="8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1.75</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101</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331</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1.32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442</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4,224</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37,805</w:t>
            </w:r>
          </w:p>
        </w:tc>
        <w:tc>
          <w:tcPr>
            <w:tcW w:w="8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3.55</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3,436</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33,227</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42,078</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4.17</w:t>
            </w: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w w:val="93"/>
              </w:rPr>
              <w:t>Obligations of states and political subdivisions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250</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3,424</w:t>
            </w:r>
          </w:p>
        </w:tc>
        <w:tc>
          <w:tcPr>
            <w:tcW w:w="860" w:type="dxa"/>
            <w:vAlign w:val="bottom"/>
          </w:tcPr>
          <w:p>
            <w:pPr>
              <w:jc w:val="right"/>
              <w:ind w:right="274"/>
              <w:spacing w:after="0"/>
              <w:rPr>
                <w:sz w:val="20"/>
                <w:szCs w:val="20"/>
                <w:color w:val="auto"/>
              </w:rPr>
            </w:pPr>
            <w:r>
              <w:rPr>
                <w:rFonts w:ascii="Arial" w:cs="Arial" w:eastAsia="Arial" w:hAnsi="Arial"/>
                <w:sz w:val="18"/>
                <w:szCs w:val="18"/>
                <w:color w:val="auto"/>
              </w:rPr>
              <w:t>5.43</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250</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3,439</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5.51</w:t>
            </w: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3,479</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5.64</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2,531</w:t>
            </w: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23,284</w:t>
            </w:r>
          </w:p>
        </w:tc>
        <w:tc>
          <w:tcPr>
            <w:tcW w:w="8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3.65</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2,708</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27,627</w:t>
            </w: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4.09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28,700</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4.04</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investment securities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7,005</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64,513</w:t>
            </w: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3.65</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6,394</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64,293</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4.03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74,257</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4.17</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Total earning assets</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3"/>
              </w:rPr>
              <w:t>67,215</w:t>
            </w: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726,897</w:t>
            </w:r>
          </w:p>
        </w:tc>
        <w:tc>
          <w:tcPr>
            <w:tcW w:w="8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4.29</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63,382</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694,721</w:t>
            </w: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4.40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59,431</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673,810</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4.60</w:t>
            </w: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4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(917)</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(913)</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gridSpan w:val="2"/>
          </w:tcPr>
          <w:p>
            <w:pPr>
              <w:jc w:val="right"/>
              <w:ind w:right="954"/>
              <w:spacing w:after="0"/>
              <w:rPr>
                <w:sz w:val="20"/>
                <w:szCs w:val="20"/>
                <w:color w:val="auto"/>
              </w:rPr>
            </w:pPr>
            <w:r>
              <w:rPr>
                <w:rFonts w:ascii="Arial" w:cs="Arial" w:eastAsia="Arial" w:hAnsi="Arial"/>
                <w:sz w:val="18"/>
                <w:szCs w:val="18"/>
                <w:color w:val="auto"/>
              </w:rPr>
              <w:t>(914)</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1,286</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1,116</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9,324</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8,869</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3"/>
              </w:rPr>
              <w:t>76,908</w:t>
            </w:r>
          </w:p>
        </w:tc>
        <w:tc>
          <w:tcPr>
            <w:tcW w:w="9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72,454</w:t>
            </w:r>
          </w:p>
        </w:tc>
        <w:tc>
          <w:tcPr>
            <w:tcW w:w="9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68,045</w:t>
            </w:r>
          </w:p>
        </w:tc>
        <w:tc>
          <w:tcPr>
            <w:tcW w:w="10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NOW accounts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814</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354</w:t>
            </w:r>
          </w:p>
        </w:tc>
        <w:tc>
          <w:tcPr>
            <w:tcW w:w="8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.17</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742</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274</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202</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Savings deposits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31,654</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22,664</w:t>
            </w:r>
          </w:p>
        </w:tc>
        <w:tc>
          <w:tcPr>
            <w:tcW w:w="860" w:type="dxa"/>
            <w:vAlign w:val="bottom"/>
          </w:tcPr>
          <w:p>
            <w:pPr>
              <w:jc w:val="right"/>
              <w:ind w:right="274"/>
              <w:spacing w:after="0"/>
              <w:rPr>
                <w:sz w:val="20"/>
                <w:szCs w:val="20"/>
                <w:color w:val="auto"/>
              </w:rPr>
            </w:pPr>
            <w:r>
              <w:rPr>
                <w:rFonts w:ascii="Arial" w:cs="Arial" w:eastAsia="Arial" w:hAnsi="Arial"/>
                <w:sz w:val="18"/>
                <w:szCs w:val="18"/>
                <w:color w:val="auto"/>
              </w:rPr>
              <w:t>.28</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w w:val="90"/>
              </w:rPr>
              <w:t>30,043</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20,757</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.28</w:t>
            </w:r>
          </w:p>
        </w:tc>
        <w:tc>
          <w:tcPr>
            <w:tcW w:w="620" w:type="dxa"/>
            <w:vAlign w:val="bottom"/>
          </w:tcPr>
          <w:p>
            <w:pPr>
              <w:jc w:val="right"/>
              <w:spacing w:after="0"/>
              <w:rPr>
                <w:sz w:val="20"/>
                <w:szCs w:val="20"/>
                <w:color w:val="auto"/>
              </w:rPr>
            </w:pPr>
            <w:r>
              <w:rPr>
                <w:rFonts w:ascii="Arial" w:cs="Arial" w:eastAsia="Arial" w:hAnsi="Arial"/>
                <w:sz w:val="18"/>
                <w:szCs w:val="18"/>
                <w:color w:val="auto"/>
              </w:rPr>
              <w:t>27,669</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19,239</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Time deposits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7,169</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17,684</w:t>
            </w:r>
          </w:p>
        </w:tc>
        <w:tc>
          <w:tcPr>
            <w:tcW w:w="8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6,657</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19,310</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19,071</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Deposits at Cayman Islands office</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614</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188</w:t>
            </w: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.12</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820</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193</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.09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394</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.14</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interest-bearing deposits</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3"/>
              </w:rPr>
              <w:t>40,251</w:t>
            </w: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40,890</w:t>
            </w:r>
          </w:p>
        </w:tc>
        <w:tc>
          <w:tcPr>
            <w:tcW w:w="8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.40</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38,262</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40,534</w:t>
            </w: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35,179</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38,906</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592</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222</w:t>
            </w:r>
          </w:p>
        </w:tc>
        <w:tc>
          <w:tcPr>
            <w:tcW w:w="860" w:type="dxa"/>
            <w:vAlign w:val="bottom"/>
          </w:tcPr>
          <w:p>
            <w:pPr>
              <w:jc w:val="right"/>
              <w:ind w:right="274"/>
              <w:spacing w:after="0"/>
              <w:rPr>
                <w:sz w:val="20"/>
                <w:szCs w:val="20"/>
                <w:color w:val="auto"/>
              </w:rPr>
            </w:pPr>
            <w:r>
              <w:rPr>
                <w:rFonts w:ascii="Arial" w:cs="Arial" w:eastAsia="Arial" w:hAnsi="Arial"/>
                <w:sz w:val="18"/>
                <w:szCs w:val="18"/>
                <w:color w:val="auto"/>
              </w:rPr>
              <w:t>.15</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707</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147</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.08</w:t>
            </w:r>
          </w:p>
        </w:tc>
        <w:tc>
          <w:tcPr>
            <w:tcW w:w="620" w:type="dxa"/>
            <w:vAlign w:val="bottom"/>
          </w:tcPr>
          <w:p>
            <w:pPr>
              <w:jc w:val="right"/>
              <w:spacing w:after="0"/>
              <w:rPr>
                <w:sz w:val="20"/>
                <w:szCs w:val="20"/>
                <w:color w:val="auto"/>
              </w:rPr>
            </w:pPr>
            <w:r>
              <w:rPr>
                <w:rFonts w:ascii="Arial" w:cs="Arial" w:eastAsia="Arial" w:hAnsi="Arial"/>
                <w:sz w:val="18"/>
                <w:szCs w:val="18"/>
                <w:color w:val="auto"/>
              </w:rPr>
              <w:t>1,344</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492</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6,829</w:t>
            </w: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62,520</w:t>
            </w:r>
          </w:p>
        </w:tc>
        <w:tc>
          <w:tcPr>
            <w:tcW w:w="8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3.63</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7,076</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61,370</w:t>
            </w: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3.48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59,281</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3.26</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47,672</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103,632</w:t>
            </w: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.86</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0"/>
              </w:rPr>
              <w:t>46,045</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102,051</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.89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43,891</w:t>
            </w: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98,679</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.91</w:t>
            </w: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3"/>
              </w:rPr>
              <w:t>18,222</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16,195</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1,690</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1,402</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3"/>
              </w:rPr>
              <w:t>67,584</w:t>
            </w:r>
          </w:p>
        </w:tc>
        <w:tc>
          <w:tcPr>
            <w:tcW w:w="9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63,642</w:t>
            </w:r>
          </w:p>
        </w:tc>
        <w:tc>
          <w:tcPr>
            <w:tcW w:w="9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59,594</w:t>
            </w:r>
          </w:p>
        </w:tc>
        <w:tc>
          <w:tcPr>
            <w:tcW w:w="10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9,324</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8,812</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5"/>
              </w:rPr>
              <w:t>Total liabilities and shareholders’ equity</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3"/>
              </w:rPr>
              <w:t>76,908</w:t>
            </w:r>
          </w:p>
        </w:tc>
        <w:tc>
          <w:tcPr>
            <w:tcW w:w="9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72,454</w:t>
            </w:r>
          </w:p>
        </w:tc>
        <w:tc>
          <w:tcPr>
            <w:tcW w:w="9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68,045</w:t>
            </w:r>
          </w:p>
        </w:tc>
        <w:tc>
          <w:tcPr>
            <w:tcW w:w="10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interest spread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jc w:val="right"/>
              <w:ind w:right="274"/>
              <w:spacing w:after="0"/>
              <w:rPr>
                <w:sz w:val="20"/>
                <w:szCs w:val="20"/>
                <w:color w:val="auto"/>
              </w:rPr>
            </w:pPr>
            <w:r>
              <w:rPr>
                <w:rFonts w:ascii="Arial" w:cs="Arial" w:eastAsia="Arial" w:hAnsi="Arial"/>
                <w:sz w:val="18"/>
                <w:szCs w:val="18"/>
                <w:color w:val="auto"/>
              </w:rPr>
              <w:t>3.43</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3.51</w:t>
            </w: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3.69</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.25</w:t>
            </w:r>
          </w:p>
        </w:tc>
        <w:tc>
          <w:tcPr>
            <w:tcW w:w="7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.24</w:t>
            </w:r>
          </w:p>
        </w:tc>
        <w:tc>
          <w:tcPr>
            <w:tcW w:w="6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.23</w:t>
            </w:r>
          </w:p>
        </w:tc>
      </w:tr>
      <w:tr>
        <w:trPr>
          <w:trHeight w:val="217"/>
        </w:trPr>
        <w:tc>
          <w:tcPr>
            <w:tcW w:w="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income/margin on earning assets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8"/>
              </w:rPr>
              <w:t>$623,265</w:t>
            </w: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3.68%</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592,670</w:t>
            </w: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3.75%</w:t>
            </w: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575,131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bl>
    <w:p>
      <w:pPr>
        <w:spacing w:after="0" w:line="19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15"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51" w:lineRule="exact"/>
        <w:rPr>
          <w:sz w:val="20"/>
          <w:szCs w:val="20"/>
          <w:color w:val="auto"/>
        </w:rPr>
      </w:pPr>
    </w:p>
    <w:p>
      <w:pPr>
        <w:ind w:left="10620"/>
        <w:spacing w:after="0"/>
        <w:rPr>
          <w:sz w:val="20"/>
          <w:szCs w:val="20"/>
          <w:color w:val="auto"/>
        </w:rPr>
      </w:pPr>
      <w:r>
        <w:rPr>
          <w:rFonts w:ascii="Arial" w:cs="Arial" w:eastAsia="Arial" w:hAnsi="Arial"/>
          <w:sz w:val="15"/>
          <w:szCs w:val="15"/>
          <w:color w:val="auto"/>
        </w:rPr>
        <w:t>(continued)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- 106 -</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60" w:type="dxa"/>
            <w:vAlign w:val="bottom"/>
            <w:gridSpan w:val="2"/>
            <w:vMerge w:val="restart"/>
          </w:tcPr>
          <w:p>
            <w:pPr>
              <w:jc w:val="right"/>
              <w:spacing w:after="0"/>
              <w:rPr>
                <w:sz w:val="20"/>
                <w:szCs w:val="20"/>
                <w:color w:val="auto"/>
              </w:rPr>
            </w:pPr>
            <w:r>
              <w:rPr>
                <w:rFonts w:ascii="Arial" w:cs="Arial" w:eastAsia="Arial" w:hAnsi="Arial"/>
                <w:sz w:val="14"/>
                <w:szCs w:val="14"/>
                <w:color w:val="auto"/>
              </w:rPr>
              <w:t>Average</w:t>
            </w:r>
          </w:p>
        </w:tc>
        <w:tc>
          <w:tcPr>
            <w:tcW w:w="1180" w:type="dxa"/>
            <w:vAlign w:val="bottom"/>
          </w:tcPr>
          <w:p>
            <w:pPr>
              <w:jc w:val="right"/>
              <w:spacing w:after="0"/>
              <w:rPr>
                <w:sz w:val="20"/>
                <w:szCs w:val="20"/>
                <w:color w:val="auto"/>
              </w:rPr>
            </w:pPr>
            <w:r>
              <w:rPr>
                <w:rFonts w:ascii="Arial" w:cs="Arial" w:eastAsia="Arial" w:hAnsi="Arial"/>
                <w:sz w:val="14"/>
                <w:szCs w:val="14"/>
                <w:color w:val="auto"/>
                <w:w w:val="86"/>
              </w:rPr>
              <w:t>2010 Fourth Quarter</w:t>
            </w: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color w:val="auto"/>
                <w:w w:val="95"/>
              </w:rPr>
              <w:t>Average</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Average</w:t>
            </w:r>
          </w:p>
        </w:tc>
        <w:tc>
          <w:tcPr>
            <w:tcW w:w="1140" w:type="dxa"/>
            <w:vAlign w:val="bottom"/>
          </w:tcPr>
          <w:p>
            <w:pPr>
              <w:jc w:val="right"/>
              <w:spacing w:after="0"/>
              <w:rPr>
                <w:sz w:val="20"/>
                <w:szCs w:val="20"/>
                <w:color w:val="auto"/>
              </w:rPr>
            </w:pPr>
            <w:r>
              <w:rPr>
                <w:rFonts w:ascii="Arial" w:cs="Arial" w:eastAsia="Arial" w:hAnsi="Arial"/>
                <w:sz w:val="14"/>
                <w:szCs w:val="14"/>
                <w:color w:val="auto"/>
                <w:w w:val="89"/>
              </w:rPr>
              <w:t>2010 Third Quarter</w:t>
            </w:r>
          </w:p>
        </w:tc>
        <w:tc>
          <w:tcPr>
            <w:tcW w:w="720" w:type="dxa"/>
            <w:vAlign w:val="bottom"/>
            <w:vMerge w:val="restart"/>
          </w:tcPr>
          <w:p>
            <w:pPr>
              <w:jc w:val="right"/>
              <w:ind w:right="114"/>
              <w:spacing w:after="0"/>
              <w:rPr>
                <w:sz w:val="20"/>
                <w:szCs w:val="20"/>
                <w:color w:val="auto"/>
              </w:rPr>
            </w:pPr>
            <w:r>
              <w:rPr>
                <w:rFonts w:ascii="Arial" w:cs="Arial" w:eastAsia="Arial" w:hAnsi="Arial"/>
                <w:sz w:val="14"/>
                <w:szCs w:val="14"/>
                <w:color w:val="auto"/>
                <w:w w:val="95"/>
              </w:rPr>
              <w:t>Average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04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1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Balance</w:t>
            </w:r>
          </w:p>
        </w:tc>
        <w:tc>
          <w:tcPr>
            <w:tcW w:w="1180" w:type="dxa"/>
            <w:vAlign w:val="bottom"/>
          </w:tcPr>
          <w:p>
            <w:pPr>
              <w:jc w:val="right"/>
              <w:ind w:right="254"/>
              <w:spacing w:after="0" w:line="159" w:lineRule="exact"/>
              <w:rPr>
                <w:sz w:val="20"/>
                <w:szCs w:val="20"/>
                <w:color w:val="auto"/>
              </w:rPr>
            </w:pPr>
            <w:r>
              <w:rPr>
                <w:rFonts w:ascii="Arial" w:cs="Arial" w:eastAsia="Arial" w:hAnsi="Arial"/>
                <w:sz w:val="14"/>
                <w:szCs w:val="14"/>
                <w:color w:val="auto"/>
              </w:rPr>
              <w:t>Interest</w:t>
            </w:r>
          </w:p>
        </w:tc>
        <w:tc>
          <w:tcPr>
            <w:tcW w:w="820" w:type="dxa"/>
            <w:vAlign w:val="bottom"/>
          </w:tcPr>
          <w:p>
            <w:pPr>
              <w:jc w:val="right"/>
              <w:ind w:right="314"/>
              <w:spacing w:after="0" w:line="159" w:lineRule="exact"/>
              <w:rPr>
                <w:sz w:val="20"/>
                <w:szCs w:val="20"/>
                <w:color w:val="auto"/>
              </w:rPr>
            </w:pPr>
            <w:r>
              <w:rPr>
                <w:rFonts w:ascii="Arial" w:cs="Arial" w:eastAsia="Arial" w:hAnsi="Arial"/>
                <w:sz w:val="14"/>
                <w:szCs w:val="14"/>
                <w:color w:val="auto"/>
              </w:rPr>
              <w:t>Rate</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Balance</w:t>
            </w:r>
          </w:p>
        </w:tc>
        <w:tc>
          <w:tcPr>
            <w:tcW w:w="1140" w:type="dxa"/>
            <w:vAlign w:val="bottom"/>
          </w:tcPr>
          <w:p>
            <w:pPr>
              <w:jc w:val="right"/>
              <w:ind w:right="254"/>
              <w:spacing w:after="0" w:line="159" w:lineRule="exact"/>
              <w:rPr>
                <w:sz w:val="20"/>
                <w:szCs w:val="20"/>
                <w:color w:val="auto"/>
              </w:rPr>
            </w:pPr>
            <w:r>
              <w:rPr>
                <w:rFonts w:ascii="Arial" w:cs="Arial" w:eastAsia="Arial" w:hAnsi="Arial"/>
                <w:sz w:val="14"/>
                <w:szCs w:val="14"/>
                <w:color w:val="auto"/>
              </w:rPr>
              <w:t>Interest</w:t>
            </w:r>
          </w:p>
        </w:tc>
        <w:tc>
          <w:tcPr>
            <w:tcW w:w="720" w:type="dxa"/>
            <w:vAlign w:val="bottom"/>
          </w:tcPr>
          <w:p>
            <w:pPr>
              <w:jc w:val="right"/>
              <w:ind w:right="214"/>
              <w:spacing w:after="0" w:line="159" w:lineRule="exact"/>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Earning assets</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Commercial, financial, etc.</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13,013</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$133,562</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4.07%</w:t>
            </w:r>
          </w:p>
        </w:tc>
        <w:tc>
          <w:tcPr>
            <w:tcW w:w="660" w:type="dxa"/>
            <w:vAlign w:val="bottom"/>
          </w:tcPr>
          <w:p>
            <w:pPr>
              <w:jc w:val="right"/>
              <w:spacing w:after="0"/>
              <w:rPr>
                <w:sz w:val="20"/>
                <w:szCs w:val="20"/>
                <w:color w:val="auto"/>
              </w:rPr>
            </w:pPr>
            <w:r>
              <w:rPr>
                <w:rFonts w:ascii="Arial" w:cs="Arial" w:eastAsia="Arial" w:hAnsi="Arial"/>
                <w:sz w:val="18"/>
                <w:szCs w:val="18"/>
                <w:color w:val="auto"/>
              </w:rPr>
              <w:t>12,856</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128,578</w:t>
            </w:r>
          </w:p>
        </w:tc>
        <w:tc>
          <w:tcPr>
            <w:tcW w:w="72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 commercial</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20,624</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249,720</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4.84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20,612</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250,038</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Real estate – consumer</w:t>
            </w:r>
          </w:p>
        </w:tc>
        <w:tc>
          <w:tcPr>
            <w:tcW w:w="1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5,910</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76,024</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5.15</w:t>
            </w:r>
          </w:p>
        </w:tc>
        <w:tc>
          <w:tcPr>
            <w:tcW w:w="660" w:type="dxa"/>
            <w:vAlign w:val="bottom"/>
          </w:tcPr>
          <w:p>
            <w:pPr>
              <w:jc w:val="right"/>
              <w:spacing w:after="0"/>
              <w:rPr>
                <w:sz w:val="20"/>
                <w:szCs w:val="20"/>
                <w:color w:val="auto"/>
              </w:rPr>
            </w:pPr>
            <w:r>
              <w:rPr>
                <w:rFonts w:ascii="Arial" w:cs="Arial" w:eastAsia="Arial" w:hAnsi="Arial"/>
                <w:sz w:val="18"/>
                <w:szCs w:val="18"/>
                <w:color w:val="auto"/>
              </w:rPr>
              <w:t>5,680</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75,312</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11,594</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151,300</w:t>
            </w:r>
          </w:p>
        </w:tc>
        <w:tc>
          <w:tcPr>
            <w:tcW w:w="8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5.18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11,687</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153,763</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loans and leases, net</w:t>
            </w: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51,141</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610,606</w:t>
            </w: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4.74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50,835</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607,691</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780</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381</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.19</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41</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375</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134</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Investment securities**</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43,246</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48,018</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3,663</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5.69</w:t>
            </w:r>
          </w:p>
        </w:tc>
        <w:tc>
          <w:tcPr>
            <w:tcW w:w="660" w:type="dxa"/>
            <w:vAlign w:val="bottom"/>
          </w:tcPr>
          <w:p>
            <w:pPr>
              <w:jc w:val="right"/>
              <w:spacing w:after="0"/>
              <w:rPr>
                <w:sz w:val="20"/>
                <w:szCs w:val="20"/>
                <w:color w:val="auto"/>
              </w:rPr>
            </w:pPr>
            <w:r>
              <w:rPr>
                <w:rFonts w:ascii="Arial" w:cs="Arial" w:eastAsia="Arial" w:hAnsi="Arial"/>
                <w:sz w:val="18"/>
                <w:szCs w:val="18"/>
                <w:color w:val="auto"/>
              </w:rPr>
              <w:t>271</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3,740</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30,541</w:t>
            </w:r>
          </w:p>
        </w:tc>
        <w:tc>
          <w:tcPr>
            <w:tcW w:w="8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3.98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32,107</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investment securities</w:t>
            </w: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77,450</w:t>
            </w: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4.07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7,993</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83,865</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Total earning assets</w:t>
            </w:r>
          </w:p>
        </w:tc>
        <w:tc>
          <w:tcPr>
            <w:tcW w:w="1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59,737</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688,855</w:t>
            </w:r>
          </w:p>
        </w:tc>
        <w:tc>
          <w:tcPr>
            <w:tcW w:w="8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4.58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59,066</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691,765</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1360" w:type="dxa"/>
            <w:vAlign w:val="bottom"/>
          </w:tcPr>
          <w:p>
            <w:pPr>
              <w:spacing w:after="0"/>
              <w:rPr>
                <w:sz w:val="18"/>
                <w:szCs w:val="18"/>
                <w:color w:val="auto"/>
              </w:rPr>
            </w:pPr>
          </w:p>
        </w:tc>
        <w:tc>
          <w:tcPr>
            <w:tcW w:w="1680" w:type="dxa"/>
            <w:vAlign w:val="bottom"/>
            <w:gridSpan w:val="2"/>
          </w:tcPr>
          <w:p>
            <w:pPr>
              <w:jc w:val="right"/>
              <w:ind w:right="1034"/>
              <w:spacing w:after="0"/>
              <w:rPr>
                <w:sz w:val="20"/>
                <w:szCs w:val="20"/>
                <w:color w:val="auto"/>
              </w:rPr>
            </w:pPr>
            <w:r>
              <w:rPr>
                <w:rFonts w:ascii="Arial" w:cs="Arial" w:eastAsia="Arial" w:hAnsi="Arial"/>
                <w:sz w:val="18"/>
                <w:szCs w:val="18"/>
                <w:color w:val="auto"/>
              </w:rPr>
              <w:t>(910)</w:t>
            </w:r>
          </w:p>
        </w:tc>
        <w:tc>
          <w:tcPr>
            <w:tcW w:w="820" w:type="dxa"/>
            <w:vAlign w:val="bottom"/>
          </w:tcPr>
          <w:p>
            <w:pPr>
              <w:spacing w:after="0"/>
              <w:rPr>
                <w:sz w:val="18"/>
                <w:szCs w:val="18"/>
                <w:color w:val="auto"/>
              </w:rPr>
            </w:pPr>
          </w:p>
        </w:tc>
        <w:tc>
          <w:tcPr>
            <w:tcW w:w="1800" w:type="dxa"/>
            <w:vAlign w:val="bottom"/>
            <w:gridSpan w:val="2"/>
          </w:tcPr>
          <w:p>
            <w:pPr>
              <w:jc w:val="right"/>
              <w:ind w:right="1014"/>
              <w:spacing w:after="0"/>
              <w:rPr>
                <w:sz w:val="20"/>
                <w:szCs w:val="20"/>
                <w:color w:val="auto"/>
              </w:rPr>
            </w:pPr>
            <w:r>
              <w:rPr>
                <w:rFonts w:ascii="Arial" w:cs="Arial" w:eastAsia="Arial" w:hAnsi="Arial"/>
                <w:sz w:val="18"/>
                <w:szCs w:val="18"/>
                <w:color w:val="auto"/>
              </w:rPr>
              <w:t>(908)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8,564</w:t>
            </w: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w:t>
            </w: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68,502</w:t>
            </w:r>
          </w:p>
        </w:tc>
        <w:tc>
          <w:tcPr>
            <w:tcW w:w="1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67,811</w:t>
            </w: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NOW accounts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212</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219</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Savings deposits</w:t>
            </w:r>
          </w:p>
        </w:tc>
        <w:tc>
          <w:tcPr>
            <w:tcW w:w="1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27,545</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21,860</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.31</w:t>
            </w:r>
          </w:p>
        </w:tc>
        <w:tc>
          <w:tcPr>
            <w:tcW w:w="660" w:type="dxa"/>
            <w:vAlign w:val="bottom"/>
          </w:tcPr>
          <w:p>
            <w:pPr>
              <w:jc w:val="right"/>
              <w:spacing w:after="0"/>
              <w:rPr>
                <w:sz w:val="20"/>
                <w:szCs w:val="20"/>
                <w:color w:val="auto"/>
              </w:rPr>
            </w:pPr>
            <w:r>
              <w:rPr>
                <w:rFonts w:ascii="Arial" w:cs="Arial" w:eastAsia="Arial" w:hAnsi="Arial"/>
                <w:sz w:val="18"/>
                <w:szCs w:val="18"/>
                <w:color w:val="auto"/>
              </w:rPr>
              <w:t>26,177</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21,453</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Time deposits</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21,232</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23,309</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Deposits at Cayman Islands office</w:t>
            </w: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352</w:t>
            </w: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315</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interest-bearing deposits</w:t>
            </w:r>
          </w:p>
        </w:tc>
        <w:tc>
          <w:tcPr>
            <w:tcW w:w="1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34,996</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43,656</w:t>
            </w:r>
          </w:p>
        </w:tc>
        <w:tc>
          <w:tcPr>
            <w:tcW w:w="8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33,883</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45,296</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Short-term borrowings</w:t>
            </w:r>
          </w:p>
        </w:tc>
        <w:tc>
          <w:tcPr>
            <w:tcW w:w="1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1,439</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633</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.17</w:t>
            </w:r>
          </w:p>
        </w:tc>
        <w:tc>
          <w:tcPr>
            <w:tcW w:w="660" w:type="dxa"/>
            <w:vAlign w:val="bottom"/>
          </w:tcPr>
          <w:p>
            <w:pPr>
              <w:jc w:val="right"/>
              <w:spacing w:after="0"/>
              <w:rPr>
                <w:sz w:val="20"/>
                <w:szCs w:val="20"/>
                <w:color w:val="auto"/>
              </w:rPr>
            </w:pPr>
            <w:r>
              <w:rPr>
                <w:rFonts w:ascii="Arial" w:cs="Arial" w:eastAsia="Arial" w:hAnsi="Arial"/>
                <w:sz w:val="18"/>
                <w:szCs w:val="18"/>
                <w:color w:val="auto"/>
              </w:rPr>
              <w:t>1,858</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760</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64,339</w:t>
            </w:r>
          </w:p>
        </w:tc>
        <w:tc>
          <w:tcPr>
            <w:tcW w:w="8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3.14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69,976</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44,576</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108,628</w:t>
            </w: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.97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44,689</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116,032</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14,275</w:t>
            </w: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60,180</w:t>
            </w:r>
          </w:p>
        </w:tc>
        <w:tc>
          <w:tcPr>
            <w:tcW w:w="1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59,630</w:t>
            </w: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8,322</w:t>
            </w: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68,502</w:t>
            </w:r>
          </w:p>
        </w:tc>
        <w:tc>
          <w:tcPr>
            <w:tcW w:w="1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67,811</w:t>
            </w: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interest spread</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3.61</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.24</w:t>
            </w: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income/margin on earning assets</w:t>
            </w: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$580,227</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3.85%</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575,733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15"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- 107 -</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90" w:lineRule="exact"/>
        <w:rPr>
          <w:sz w:val="20"/>
          <w:szCs w:val="20"/>
          <w:color w:val="auto"/>
        </w:rPr>
      </w:pPr>
    </w:p>
    <w:p>
      <w:pPr>
        <w:ind w:right="140" w:firstLine="464"/>
        <w:spacing w:after="0" w:line="306"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September 30, 2011.</w:t>
      </w:r>
    </w:p>
    <w:p>
      <w:pPr>
        <w:spacing w:after="0" w:line="106" w:lineRule="exact"/>
        <w:rPr>
          <w:rFonts w:ascii="Arial" w:cs="Arial" w:eastAsia="Arial" w:hAnsi="Arial"/>
          <w:sz w:val="16"/>
          <w:szCs w:val="16"/>
          <w:color w:val="auto"/>
        </w:rPr>
      </w:pPr>
    </w:p>
    <w:p>
      <w:pPr>
        <w:ind w:right="100" w:firstLine="464"/>
        <w:spacing w:after="0" w:line="291"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On May 16, 2011, M&amp;T completed its acquisition of Wilmington Trust. At September 30, 2011, some of the former operations of Wilmington Trust continued to operate under pre-acquisition systems of internal control over financial reporting. M&amp;T has extended its internal control oversight and monitoring processes to include the acquired operations of the former Wilmington Trust. No changes occurred during the quarter ended September 30, 2011 that have materially affected, or are reasonably likely to materially affect, M&amp;T’s internal control over financial reporting.</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Risk Factors.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to the risk factors relating to M&amp;T that were disclosed in response to Item 1A. to Part I of Form 10-K for the year ended December 31, 2010, the following additional risk factors exist specifically relating to the impact of the Wilmington Trust acquisition:</w:t>
      </w:r>
    </w:p>
    <w:p>
      <w:pPr>
        <w:spacing w:after="0" w:line="132" w:lineRule="exact"/>
        <w:rPr>
          <w:sz w:val="20"/>
          <w:szCs w:val="20"/>
          <w:color w:val="auto"/>
        </w:rPr>
      </w:pPr>
    </w:p>
    <w:p>
      <w:pPr>
        <w:ind w:right="240" w:firstLine="464"/>
        <w:spacing w:after="0" w:line="298"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merger of M&amp;T and Wilmington Trust and the integration of the companies may be more difficult, costly or time consuming than expected. It is possible that the integration process could result in the loss of key employees or disruption of ongoing business or inconsistencies in standards, controls, procedures and policies that adversely affect M&amp;T’s ability to maintain relationships with customers and employees or achieve the anticipated benefits of the merger. As with any merger of banking institutions, there also may be business disruptions that cause M&amp;T to lose customers or cause</w:t>
      </w:r>
    </w:p>
    <w:p>
      <w:pPr>
        <w:spacing w:after="0" w:line="99" w:lineRule="exact"/>
        <w:rPr>
          <w:rFonts w:ascii="Arial" w:cs="Arial" w:eastAsia="Arial" w:hAnsi="Arial"/>
          <w:sz w:val="16"/>
          <w:szCs w:val="16"/>
          <w:color w:val="auto"/>
        </w:rPr>
      </w:pPr>
    </w:p>
    <w:p>
      <w:pPr>
        <w:ind w:left="5580" w:hanging="100"/>
        <w:spacing w:after="0"/>
        <w:tabs>
          <w:tab w:leader="none" w:pos="55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108 -</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to withdraw their deposits from M&amp;T’s banking subsidiaries. The success of the combined company following the merger may depend in large part on the ability to integrate the two business models and cultures. If we are not able to integrate M&amp;T’s and Wilmington Trust’s operations successfully and in a timely manner, the expected benefits of the merger may not be realized.</w:t>
      </w:r>
    </w:p>
    <w:p>
      <w:pPr>
        <w:spacing w:after="0" w:line="140" w:lineRule="exact"/>
        <w:rPr>
          <w:sz w:val="20"/>
          <w:szCs w:val="20"/>
          <w:color w:val="auto"/>
        </w:rPr>
      </w:pPr>
    </w:p>
    <w:p>
      <w:pPr>
        <w:ind w:right="220" w:firstLine="464"/>
        <w:spacing w:after="0" w:line="294"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M&amp;T may fail to realize the cost savings estimated for the merger. M&amp;T estimates that it will achieve cost savings from the merger when the two companies have been fully integrated. While M&amp;T continues to be comfortable with these expectations, it is possible that the estimates of the potential cost savings could turn out to be incorrect. The cost savings estimates also assume the ability to combine the businesses of M&amp;T and Wilmington Trust in a manner that permits those cost savings to be realized. If the estimates turn out to be incorrect or M&amp;T is not able to combine successfully the two companies, the anticipated cost saving may not be fully realized or realized at all, or may take longer to realize than expected.</w:t>
      </w: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Unregistered Sales of Equity Securities and Use of Proceeds.</w:t>
      </w:r>
    </w:p>
    <w:p>
      <w:pPr>
        <w:spacing w:after="0" w:line="90" w:lineRule="exact"/>
        <w:rPr>
          <w:sz w:val="20"/>
          <w:szCs w:val="20"/>
          <w:color w:val="auto"/>
        </w:rPr>
      </w:pPr>
    </w:p>
    <w:p>
      <w:pPr>
        <w:ind w:left="700" w:hanging="23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71" w:lineRule="exact"/>
        <w:rPr>
          <w:rFonts w:ascii="Arial" w:cs="Arial" w:eastAsia="Arial" w:hAnsi="Arial"/>
          <w:sz w:val="18"/>
          <w:szCs w:val="18"/>
          <w:color w:val="auto"/>
        </w:rPr>
      </w:pPr>
    </w:p>
    <w:p>
      <w:pPr>
        <w:spacing w:after="0"/>
        <w:tabs>
          <w:tab w:leader="none" w:pos="0" w:val="left"/>
        </w:tabs>
        <w:numPr>
          <w:ilvl w:val="0"/>
          <w:numId w:val="88"/>
        </w:numPr>
        <w:rPr>
          <w:rFonts w:ascii="Arial" w:cs="Arial" w:eastAsia="Arial" w:hAnsi="Arial"/>
          <w:sz w:val="18"/>
          <w:szCs w:val="18"/>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Issuer Purchases of Equity Securities</w:t>
      </w:r>
    </w:p>
    <w:p>
      <w:pPr>
        <w:spacing w:after="0" w:line="31"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tcPr>
          <w:p>
            <w:pPr>
              <w:jc w:val="center"/>
              <w:ind w:right="80"/>
              <w:spacing w:after="0" w:line="112" w:lineRule="exact"/>
              <w:rPr>
                <w:sz w:val="20"/>
                <w:szCs w:val="20"/>
                <w:color w:val="auto"/>
              </w:rPr>
            </w:pPr>
            <w:r>
              <w:rPr>
                <w:rFonts w:ascii="Arial" w:cs="Arial" w:eastAsia="Arial" w:hAnsi="Arial"/>
                <w:sz w:val="12"/>
                <w:szCs w:val="12"/>
                <w:color w:val="auto"/>
              </w:rPr>
              <w:t>(d)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(c) Total</w:t>
            </w:r>
          </w:p>
        </w:tc>
        <w:tc>
          <w:tcPr>
            <w:tcW w:w="6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w:t>
            </w:r>
          </w:p>
        </w:tc>
        <w:tc>
          <w:tcPr>
            <w:tcW w:w="6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6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3"/>
              </w:rPr>
              <w:t>(or Units)</w:t>
            </w:r>
          </w:p>
        </w:tc>
        <w:tc>
          <w:tcPr>
            <w:tcW w:w="6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3"/>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0"/>
              </w:rPr>
              <w:t>Purchased</w:t>
            </w:r>
          </w:p>
        </w:tc>
        <w:tc>
          <w:tcPr>
            <w:tcW w:w="6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8"/>
              </w:rPr>
              <w:t>(a) Total</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3"/>
              </w:rPr>
              <w:t>as Part of</w:t>
            </w:r>
          </w:p>
        </w:tc>
        <w:tc>
          <w:tcPr>
            <w:tcW w:w="6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8"/>
              </w:rPr>
              <w:t>Number</w:t>
            </w:r>
          </w:p>
        </w:tc>
        <w:tc>
          <w:tcPr>
            <w:tcW w:w="12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w w:val="84"/>
              </w:rPr>
              <w:t>(b) Average</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Publicly</w:t>
            </w:r>
          </w:p>
        </w:tc>
        <w:tc>
          <w:tcPr>
            <w:tcW w:w="6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0"/>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6"/>
              </w:rPr>
              <w:t>of Shares</w:t>
            </w:r>
          </w:p>
        </w:tc>
        <w:tc>
          <w:tcPr>
            <w:tcW w:w="126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87"/>
              </w:rPr>
              <w:t>Price Paid</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6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Under the</w:t>
            </w:r>
          </w:p>
        </w:tc>
        <w:tc>
          <w:tcPr>
            <w:tcW w:w="0" w:type="dxa"/>
            <w:vAlign w:val="bottom"/>
          </w:tcPr>
          <w:p>
            <w:pPr>
              <w:spacing w:after="0"/>
              <w:rPr>
                <w:sz w:val="1"/>
                <w:szCs w:val="1"/>
                <w:color w:val="auto"/>
              </w:rPr>
            </w:pPr>
          </w:p>
        </w:tc>
      </w:tr>
      <w:tr>
        <w:trPr>
          <w:trHeight w:val="149"/>
        </w:trPr>
        <w:tc>
          <w:tcPr>
            <w:tcW w:w="576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0"/>
              </w:rPr>
              <w:t>(or Units)</w:t>
            </w:r>
          </w:p>
        </w:tc>
        <w:tc>
          <w:tcPr>
            <w:tcW w:w="126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84"/>
              </w:rPr>
              <w:t>per Share</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Plans or</w:t>
            </w:r>
          </w:p>
        </w:tc>
        <w:tc>
          <w:tcPr>
            <w:tcW w:w="6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Plans or</w:t>
            </w:r>
          </w:p>
        </w:tc>
        <w:tc>
          <w:tcPr>
            <w:tcW w:w="0" w:type="dxa"/>
            <w:vAlign w:val="bottom"/>
          </w:tcPr>
          <w:p>
            <w:pPr>
              <w:spacing w:after="0"/>
              <w:rPr>
                <w:sz w:val="1"/>
                <w:szCs w:val="1"/>
                <w:color w:val="auto"/>
              </w:rPr>
            </w:pPr>
          </w:p>
        </w:tc>
      </w:tr>
      <w:tr>
        <w:trPr>
          <w:trHeight w:val="153"/>
        </w:trPr>
        <w:tc>
          <w:tcPr>
            <w:tcW w:w="5760" w:type="dxa"/>
            <w:vAlign w:val="bottom"/>
            <w:gridSpan w:val="3"/>
            <w:vMerge w:val="continue"/>
          </w:tcPr>
          <w:p>
            <w:pPr>
              <w:spacing w:after="0"/>
              <w:rPr>
                <w:sz w:val="13"/>
                <w:szCs w:val="13"/>
                <w:color w:val="auto"/>
              </w:rPr>
            </w:pPr>
          </w:p>
        </w:tc>
        <w:tc>
          <w:tcPr>
            <w:tcW w:w="1380" w:type="dxa"/>
            <w:vAlign w:val="bottom"/>
            <w:gridSpan w:val="2"/>
          </w:tcPr>
          <w:p>
            <w:pPr>
              <w:jc w:val="center"/>
              <w:ind w:right="620"/>
              <w:spacing w:after="0" w:line="146" w:lineRule="exact"/>
              <w:rPr>
                <w:sz w:val="20"/>
                <w:szCs w:val="20"/>
                <w:color w:val="auto"/>
              </w:rPr>
            </w:pPr>
            <w:r>
              <w:rPr>
                <w:rFonts w:ascii="Arial" w:cs="Arial" w:eastAsia="Arial" w:hAnsi="Arial"/>
                <w:sz w:val="14"/>
                <w:szCs w:val="14"/>
                <w:color w:val="auto"/>
                <w:w w:val="86"/>
              </w:rPr>
              <w:t>Purchased (1)</w:t>
            </w:r>
          </w:p>
        </w:tc>
        <w:tc>
          <w:tcPr>
            <w:tcW w:w="1260" w:type="dxa"/>
            <w:vAlign w:val="bottom"/>
            <w:gridSpan w:val="3"/>
          </w:tcPr>
          <w:p>
            <w:pPr>
              <w:jc w:val="center"/>
              <w:ind w:right="620"/>
              <w:spacing w:after="0" w:line="146" w:lineRule="exact"/>
              <w:rPr>
                <w:sz w:val="20"/>
                <w:szCs w:val="20"/>
                <w:color w:val="auto"/>
              </w:rPr>
            </w:pPr>
            <w:r>
              <w:rPr>
                <w:rFonts w:ascii="Arial" w:cs="Arial" w:eastAsia="Arial" w:hAnsi="Arial"/>
                <w:sz w:val="14"/>
                <w:szCs w:val="14"/>
                <w:color w:val="auto"/>
                <w:w w:val="94"/>
              </w:rPr>
              <w:t>(or Unit)</w:t>
            </w:r>
          </w:p>
        </w:tc>
        <w:tc>
          <w:tcPr>
            <w:tcW w:w="620" w:type="dxa"/>
            <w:vAlign w:val="bottom"/>
          </w:tcPr>
          <w:p>
            <w:pPr>
              <w:jc w:val="center"/>
              <w:spacing w:after="0" w:line="146" w:lineRule="exact"/>
              <w:rPr>
                <w:sz w:val="20"/>
                <w:szCs w:val="20"/>
                <w:color w:val="auto"/>
              </w:rPr>
            </w:pPr>
            <w:r>
              <w:rPr>
                <w:rFonts w:ascii="Arial" w:cs="Arial" w:eastAsia="Arial" w:hAnsi="Arial"/>
                <w:sz w:val="14"/>
                <w:szCs w:val="14"/>
                <w:color w:val="auto"/>
                <w:w w:val="85"/>
              </w:rPr>
              <w:t>Programs</w:t>
            </w:r>
          </w:p>
        </w:tc>
        <w:tc>
          <w:tcPr>
            <w:tcW w:w="620" w:type="dxa"/>
            <w:vAlign w:val="bottom"/>
          </w:tcPr>
          <w:p>
            <w:pPr>
              <w:spacing w:after="0"/>
              <w:rPr>
                <w:sz w:val="13"/>
                <w:szCs w:val="13"/>
                <w:color w:val="auto"/>
              </w:rPr>
            </w:pPr>
          </w:p>
        </w:tc>
        <w:tc>
          <w:tcPr>
            <w:tcW w:w="860" w:type="dxa"/>
            <w:vAlign w:val="bottom"/>
            <w:gridSpan w:val="2"/>
          </w:tcPr>
          <w:p>
            <w:pPr>
              <w:jc w:val="center"/>
              <w:ind w:right="80"/>
              <w:spacing w:after="0" w:line="146" w:lineRule="exact"/>
              <w:rPr>
                <w:sz w:val="20"/>
                <w:szCs w:val="20"/>
                <w:color w:val="auto"/>
              </w:rPr>
            </w:pPr>
            <w:r>
              <w:rPr>
                <w:rFonts w:ascii="Arial" w:cs="Arial" w:eastAsia="Arial" w:hAnsi="Arial"/>
                <w:sz w:val="14"/>
                <w:szCs w:val="14"/>
                <w:color w:val="auto"/>
                <w:w w:val="85"/>
              </w:rPr>
              <w:t>Programs (2)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 July 31,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86.24</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60" w:type="dxa"/>
            <w:vAlign w:val="bottom"/>
            <w:gridSpan w:val="3"/>
          </w:tcPr>
          <w:p>
            <w:pPr>
              <w:spacing w:after="0"/>
              <w:rPr>
                <w:sz w:val="20"/>
                <w:szCs w:val="20"/>
                <w:color w:val="auto"/>
              </w:rPr>
            </w:pPr>
            <w:r>
              <w:rPr>
                <w:rFonts w:ascii="Arial" w:cs="Arial" w:eastAsia="Arial" w:hAnsi="Arial"/>
                <w:sz w:val="18"/>
                <w:szCs w:val="18"/>
                <w:color w:val="auto"/>
              </w:rPr>
              <w:t>August 1 – August 31, 2011</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76.07</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September 30,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69.90</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62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80.11</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80" w:hanging="452"/>
        <w:spacing w:after="0" w:line="303" w:lineRule="auto"/>
        <w:tabs>
          <w:tab w:leader="none" w:pos="4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5"/>
          <w:szCs w:val="15"/>
          <w:color w:val="auto"/>
        </w:rPr>
      </w:pPr>
    </w:p>
    <w:p>
      <w:pPr>
        <w:ind w:left="460" w:right="20" w:hanging="452"/>
        <w:spacing w:after="0" w:line="261"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Defaults Upon Senior Securities.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- 109 -</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120" w:type="dxa"/>
            <w:vAlign w:val="bottom"/>
          </w:tcPr>
          <w:p>
            <w:pPr>
              <w:ind w:left="140"/>
              <w:spacing w:after="0"/>
              <w:rPr>
                <w:sz w:val="20"/>
                <w:szCs w:val="20"/>
                <w:color w:val="auto"/>
              </w:rPr>
            </w:pPr>
            <w:r>
              <w:rPr>
                <w:rFonts w:ascii="Arial" w:cs="Arial" w:eastAsia="Arial" w:hAnsi="Arial"/>
                <w:sz w:val="18"/>
                <w:szCs w:val="18"/>
                <w:color w:val="auto"/>
              </w:rPr>
              <w:t>Exhibits.</w:t>
            </w:r>
          </w:p>
        </w:tc>
      </w:tr>
      <w:tr>
        <w:trPr>
          <w:trHeight w:val="297"/>
        </w:trPr>
        <w:tc>
          <w:tcPr>
            <w:tcW w:w="180" w:type="dxa"/>
            <w:vAlign w:val="bottom"/>
          </w:tcPr>
          <w:p>
            <w:pPr>
              <w:spacing w:after="0"/>
              <w:rPr>
                <w:sz w:val="24"/>
                <w:szCs w:val="24"/>
                <w:color w:val="auto"/>
              </w:rPr>
            </w:pPr>
          </w:p>
        </w:tc>
        <w:tc>
          <w:tcPr>
            <w:tcW w:w="10840" w:type="dxa"/>
            <w:vAlign w:val="bottom"/>
            <w:gridSpan w:val="3"/>
          </w:tcPr>
          <w:p>
            <w:pPr>
              <w:ind w:left="28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342"/>
        </w:trPr>
        <w:tc>
          <w:tcPr>
            <w:tcW w:w="180" w:type="dxa"/>
            <w:vAlign w:val="bottom"/>
          </w:tcPr>
          <w:p>
            <w:pPr>
              <w:spacing w:after="0"/>
              <w:rPr>
                <w:sz w:val="24"/>
                <w:szCs w:val="2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Exhibit</w:t>
            </w:r>
          </w:p>
        </w:tc>
        <w:tc>
          <w:tcPr>
            <w:tcW w:w="10120" w:type="dxa"/>
            <w:vAlign w:val="bottom"/>
          </w:tcPr>
          <w:p>
            <w:pPr>
              <w:spacing w:after="0"/>
              <w:rPr>
                <w:sz w:val="24"/>
                <w:szCs w:val="24"/>
                <w:color w:val="auto"/>
              </w:rPr>
            </w:pPr>
          </w:p>
        </w:tc>
      </w:tr>
      <w:tr>
        <w:trPr>
          <w:trHeight w:val="159"/>
        </w:trPr>
        <w:tc>
          <w:tcPr>
            <w:tcW w:w="180" w:type="dxa"/>
            <w:vAlign w:val="bottom"/>
          </w:tcPr>
          <w:p>
            <w:pPr>
              <w:spacing w:after="0"/>
              <w:rPr>
                <w:sz w:val="13"/>
                <w:szCs w:val="13"/>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320" w:type="dxa"/>
            <w:vAlign w:val="bottom"/>
          </w:tcPr>
          <w:p>
            <w:pPr>
              <w:spacing w:after="0"/>
              <w:rPr>
                <w:sz w:val="13"/>
                <w:szCs w:val="13"/>
                <w:color w:val="auto"/>
              </w:rPr>
            </w:pPr>
          </w:p>
        </w:tc>
        <w:tc>
          <w:tcPr>
            <w:tcW w:w="10120" w:type="dxa"/>
            <w:vAlign w:val="bottom"/>
          </w:tcPr>
          <w:p>
            <w:pPr>
              <w:spacing w:after="0"/>
              <w:rPr>
                <w:sz w:val="13"/>
                <w:szCs w:val="13"/>
                <w:color w:val="auto"/>
              </w:rPr>
            </w:pPr>
          </w:p>
        </w:tc>
      </w:tr>
      <w:tr>
        <w:trPr>
          <w:trHeight w:val="329"/>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w w:val="89"/>
              </w:rPr>
              <w:t>Certification of Chief Executive Officer under 18 U.S.C. §1350 pursuant to Section 906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w w:val="90"/>
              </w:rPr>
              <w:t>Certification of Chief Financial Officer under 18 U.S.C. §1350 pursuant to Section 906 of the Sarbanes-Oxley Act of 2002. Filed herewith.</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200" w:hanging="212"/>
        <w:spacing w:after="0" w:line="268" w:lineRule="auto"/>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M&amp;T BANK CORPORATION</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November 8, 2011</w:t>
            </w:r>
          </w:p>
        </w:tc>
        <w:tc>
          <w:tcPr>
            <w:tcW w:w="7800" w:type="dxa"/>
            <w:vAlign w:val="bottom"/>
            <w:gridSpan w:val="2"/>
          </w:tcPr>
          <w:p>
            <w:pPr>
              <w:ind w:left="2300"/>
              <w:spacing w:after="0"/>
              <w:rPr>
                <w:sz w:val="20"/>
                <w:szCs w:val="20"/>
                <w:color w:val="auto"/>
              </w:rPr>
            </w:pPr>
            <w:r>
              <w:rPr>
                <w:rFonts w:ascii="Arial" w:cs="Arial" w:eastAsia="Arial" w:hAnsi="Arial"/>
                <w:sz w:val="18"/>
                <w:szCs w:val="18"/>
                <w:color w:val="auto"/>
              </w:rPr>
              <w:t>By: /s/ René F. Jones</w:t>
            </w:r>
          </w:p>
        </w:tc>
      </w:tr>
      <w:tr>
        <w:trPr>
          <w:trHeight w:val="216"/>
        </w:trPr>
        <w:tc>
          <w:tcPr>
            <w:tcW w:w="3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René F. Jones</w:t>
            </w:r>
          </w:p>
        </w:tc>
      </w:tr>
      <w:tr>
        <w:trPr>
          <w:trHeight w:val="216"/>
        </w:trPr>
        <w:tc>
          <w:tcPr>
            <w:tcW w:w="3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22"/>
        </w:trPr>
        <w:tc>
          <w:tcPr>
            <w:tcW w:w="36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365"/>
        </w:trPr>
        <w:tc>
          <w:tcPr>
            <w:tcW w:w="3620" w:type="dxa"/>
            <w:vAlign w:val="bottom"/>
          </w:tcPr>
          <w:p>
            <w:pPr>
              <w:spacing w:after="0"/>
              <w:rPr>
                <w:sz w:val="24"/>
                <w:szCs w:val="24"/>
                <w:color w:val="auto"/>
              </w:rPr>
            </w:pPr>
          </w:p>
        </w:tc>
        <w:tc>
          <w:tcPr>
            <w:tcW w:w="2660" w:type="dxa"/>
            <w:vAlign w:val="bottom"/>
          </w:tcPr>
          <w:p>
            <w:pPr>
              <w:jc w:val="right"/>
              <w:ind w:right="252"/>
              <w:spacing w:after="0"/>
              <w:rPr>
                <w:sz w:val="20"/>
                <w:szCs w:val="20"/>
                <w:color w:val="auto"/>
              </w:rPr>
            </w:pPr>
            <w:r>
              <w:rPr>
                <w:rFonts w:ascii="Arial" w:cs="Arial" w:eastAsia="Arial" w:hAnsi="Arial"/>
                <w:sz w:val="18"/>
                <w:szCs w:val="18"/>
                <w:color w:val="auto"/>
              </w:rPr>
              <w:t>- 110 -</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40" w:type="dxa"/>
            <w:vAlign w:val="bottom"/>
          </w:tcPr>
          <w:p>
            <w:pPr>
              <w:ind w:left="4080"/>
              <w:spacing w:after="0"/>
              <w:rPr>
                <w:sz w:val="20"/>
                <w:szCs w:val="20"/>
                <w:color w:val="auto"/>
              </w:rPr>
            </w:pPr>
            <w:r>
              <w:rPr>
                <w:rFonts w:ascii="Arial" w:cs="Arial" w:eastAsia="Arial" w:hAnsi="Arial"/>
                <w:sz w:val="18"/>
                <w:szCs w:val="18"/>
                <w:color w:val="auto"/>
              </w:rPr>
              <w:t>EXHIBIT INDEX</w:t>
            </w:r>
          </w:p>
        </w:tc>
      </w:tr>
      <w:tr>
        <w:trPr>
          <w:trHeight w:val="342"/>
        </w:trPr>
        <w:tc>
          <w:tcPr>
            <w:tcW w:w="180" w:type="dxa"/>
            <w:vAlign w:val="bottom"/>
          </w:tcPr>
          <w:p>
            <w:pPr>
              <w:spacing w:after="0"/>
              <w:rPr>
                <w:sz w:val="24"/>
                <w:szCs w:val="2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Exhibit</w:t>
            </w:r>
          </w:p>
        </w:tc>
        <w:tc>
          <w:tcPr>
            <w:tcW w:w="10040" w:type="dxa"/>
            <w:vAlign w:val="bottom"/>
          </w:tcPr>
          <w:p>
            <w:pPr>
              <w:spacing w:after="0"/>
              <w:rPr>
                <w:sz w:val="24"/>
                <w:szCs w:val="24"/>
                <w:color w:val="auto"/>
              </w:rPr>
            </w:pPr>
          </w:p>
        </w:tc>
      </w:tr>
      <w:tr>
        <w:trPr>
          <w:trHeight w:val="159"/>
        </w:trPr>
        <w:tc>
          <w:tcPr>
            <w:tcW w:w="180" w:type="dxa"/>
            <w:vAlign w:val="bottom"/>
          </w:tcPr>
          <w:p>
            <w:pPr>
              <w:spacing w:after="0"/>
              <w:rPr>
                <w:sz w:val="13"/>
                <w:szCs w:val="13"/>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400" w:type="dxa"/>
            <w:vAlign w:val="bottom"/>
          </w:tcPr>
          <w:p>
            <w:pPr>
              <w:spacing w:after="0"/>
              <w:rPr>
                <w:sz w:val="13"/>
                <w:szCs w:val="13"/>
                <w:color w:val="auto"/>
              </w:rPr>
            </w:pPr>
          </w:p>
        </w:tc>
        <w:tc>
          <w:tcPr>
            <w:tcW w:w="10040" w:type="dxa"/>
            <w:vAlign w:val="bottom"/>
          </w:tcPr>
          <w:p>
            <w:pPr>
              <w:spacing w:after="0"/>
              <w:rPr>
                <w:sz w:val="13"/>
                <w:szCs w:val="13"/>
                <w:color w:val="auto"/>
              </w:rPr>
            </w:pPr>
          </w:p>
        </w:tc>
      </w:tr>
      <w:tr>
        <w:trPr>
          <w:trHeight w:val="329"/>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w w:val="89"/>
              </w:rPr>
              <w:t>Certification of Chief Executive Officer under 18 U.S.C. §1350 pursuant to Section 906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w w:val="90"/>
              </w:rPr>
              <w:t>Certification of Chief Financial Officer under 18 U.S.C. §1350 pursuant to Section 906 of the Sarbanes-Oxley Act of 2002. Filed herewith.</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101.SCH*</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101.CAL*</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101.LAB*</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101.DEF*</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68" w:lineRule="auto"/>
        <w:tabs>
          <w:tab w:leader="none" w:pos="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18" w:lineRule="exact"/>
        <w:rPr>
          <w:rFonts w:ascii="Arial" w:cs="Arial" w:eastAsia="Arial" w:hAnsi="Arial"/>
          <w:sz w:val="18"/>
          <w:szCs w:val="18"/>
          <w:color w:val="auto"/>
        </w:rPr>
      </w:pPr>
    </w:p>
    <w:p>
      <w:pPr>
        <w:ind w:left="5580" w:hanging="93"/>
        <w:spacing w:after="0"/>
        <w:tabs>
          <w:tab w:leader="none" w:pos="55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111 -</w:t>
      </w:r>
    </w:p>
    <w:p>
      <w:pPr>
        <w:sectPr>
          <w:pgSz w:w="11900" w:h="16838" w:orient="portrait"/>
          <w:cols w:equalWidth="0" w:num="1">
            <w:col w:w="11220"/>
          </w:cols>
          <w:pgMar w:left="240" w:top="459" w:right="4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9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90"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3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51" w:lineRule="exact"/>
        <w:rPr>
          <w:sz w:val="20"/>
          <w:szCs w:val="20"/>
          <w:color w:val="auto"/>
        </w:rPr>
      </w:pPr>
    </w:p>
    <w:p>
      <w:pPr>
        <w:ind w:left="900" w:right="2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September 30, 2011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8, 2011</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51" w:lineRule="exact"/>
        <w:rPr>
          <w:sz w:val="20"/>
          <w:szCs w:val="20"/>
          <w:color w:val="auto"/>
        </w:rPr>
      </w:pPr>
    </w:p>
    <w:p>
      <w:pPr>
        <w:ind w:left="900" w:right="2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September 30, 2011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8, 2011</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1."/>
      <w:numFmt w:val="decimal"/>
      <w:start w:val="2"/>
    </w:lvl>
  </w:abstractNum>
  <w:abstractNum w:abstractNumId="4">
    <w:nsid w:val="70C6A529"/>
    <w:multiLevelType w:val="hybridMultilevel"/>
    <w:lvl w:ilvl="0">
      <w:lvlJc w:val="left"/>
      <w:lvlText w:val="%1."/>
      <w:numFmt w:val="decimal"/>
      <w:start w:val="2"/>
    </w:lvl>
  </w:abstractNum>
  <w:abstractNum w:abstractNumId="5">
    <w:nsid w:val="520EEDD1"/>
    <w:multiLevelType w:val="hybridMultilevel"/>
    <w:lvl w:ilvl="0">
      <w:lvlJc w:val="left"/>
      <w:lvlText w:val="%1."/>
      <w:numFmt w:val="decimal"/>
      <w:start w:val="2"/>
    </w:lvl>
  </w:abstractNum>
  <w:abstractNum w:abstractNumId="6">
    <w:nsid w:val="374A3FE6"/>
    <w:multiLevelType w:val="hybridMultilevel"/>
    <w:lvl w:ilvl="0">
      <w:lvlJc w:val="left"/>
      <w:lvlText w:val="(%1)"/>
      <w:numFmt w:val="lowerLetter"/>
      <w:start w:val="1"/>
    </w:lvl>
  </w:abstractNum>
  <w:abstractNum w:abstractNumId="7">
    <w:nsid w:val="4F4EF005"/>
    <w:multiLevelType w:val="hybridMultilevel"/>
    <w:lvl w:ilvl="0">
      <w:lvlJc w:val="left"/>
      <w:lvlText w:val="%1."/>
      <w:numFmt w:val="decimal"/>
      <w:start w:val="2"/>
    </w:lvl>
  </w:abstractNum>
  <w:abstractNum w:abstractNumId="8">
    <w:nsid w:val="23F9C13C"/>
    <w:multiLevelType w:val="hybridMultilevel"/>
    <w:lvl w:ilvl="0">
      <w:lvlJc w:val="left"/>
      <w:lvlText w:val="%1."/>
      <w:numFmt w:val="decimal"/>
      <w:start w:val="3"/>
    </w:lvl>
  </w:abstractNum>
  <w:abstractNum w:abstractNumId="9">
    <w:nsid w:val="649BB77C"/>
    <w:multiLevelType w:val="hybridMultilevel"/>
    <w:lvl w:ilvl="0">
      <w:lvlJc w:val="left"/>
      <w:lvlText w:val="%1."/>
      <w:numFmt w:val="decimal"/>
      <w:start w:val="3"/>
    </w:lvl>
  </w:abstractNum>
  <w:abstractNum w:abstractNumId="10">
    <w:nsid w:val="275AC794"/>
    <w:multiLevelType w:val="hybridMultilevel"/>
    <w:lvl w:ilvl="0">
      <w:lvlJc w:val="left"/>
      <w:lvlText w:val="%1."/>
      <w:numFmt w:val="decimal"/>
      <w:start w:val="3"/>
    </w:lvl>
  </w:abstractNum>
  <w:abstractNum w:abstractNumId="11">
    <w:nsid w:val="39386575"/>
    <w:multiLevelType w:val="hybridMultilevel"/>
    <w:lvl w:ilvl="0">
      <w:lvlJc w:val="left"/>
      <w:lvlText w:val="%1."/>
      <w:numFmt w:val="decimal"/>
      <w:start w:val="3"/>
    </w:lvl>
  </w:abstractNum>
  <w:abstractNum w:abstractNumId="12">
    <w:nsid w:val="1CF10FD8"/>
    <w:multiLevelType w:val="hybridMultilevel"/>
    <w:lvl w:ilvl="0">
      <w:lvlJc w:val="left"/>
      <w:lvlText w:val="%1."/>
      <w:numFmt w:val="decimal"/>
      <w:start w:val="4"/>
    </w:lvl>
  </w:abstractNum>
  <w:abstractNum w:abstractNumId="13">
    <w:nsid w:val="180115BE"/>
    <w:multiLevelType w:val="hybridMultilevel"/>
    <w:lvl w:ilvl="0">
      <w:lvlJc w:val="left"/>
      <w:lvlText w:val="%1."/>
      <w:numFmt w:val="decimal"/>
      <w:start w:val="4"/>
    </w:lvl>
  </w:abstractNum>
  <w:abstractNum w:abstractNumId="14">
    <w:nsid w:val="235BA861"/>
    <w:multiLevelType w:val="hybridMultilevel"/>
    <w:lvl w:ilvl="0">
      <w:lvlJc w:val="left"/>
      <w:lvlText w:val="(%1)"/>
      <w:numFmt w:val="lowerLetter"/>
      <w:start w:val="1"/>
    </w:lvl>
    <w:lvl w:ilvl="1">
      <w:lvlJc w:val="left"/>
      <w:lvlText w:val="-"/>
      <w:numFmt w:val="bullet"/>
      <w:start w:val="1"/>
    </w:lvl>
  </w:abstractNum>
  <w:abstractNum w:abstractNumId="15">
    <w:nsid w:val="47398C89"/>
    <w:multiLevelType w:val="hybridMultilevel"/>
    <w:lvl w:ilvl="0">
      <w:lvlJc w:val="left"/>
      <w:lvlText w:val="%1."/>
      <w:numFmt w:val="decimal"/>
      <w:start w:val="4"/>
    </w:lvl>
  </w:abstractNum>
  <w:abstractNum w:abstractNumId="16">
    <w:nsid w:val="354FE9F9"/>
    <w:multiLevelType w:val="hybridMultilevel"/>
    <w:lvl w:ilvl="0">
      <w:lvlJc w:val="left"/>
      <w:lvlText w:val="%1."/>
      <w:numFmt w:val="decimal"/>
      <w:start w:val="4"/>
    </w:lvl>
  </w:abstractNum>
  <w:abstractNum w:abstractNumId="17">
    <w:nsid w:val="15B5AF5C"/>
    <w:multiLevelType w:val="hybridMultilevel"/>
    <w:lvl w:ilvl="0">
      <w:lvlJc w:val="left"/>
      <w:lvlText w:val="%1."/>
      <w:numFmt w:val="decimal"/>
      <w:start w:val="4"/>
    </w:lvl>
  </w:abstractNum>
  <w:abstractNum w:abstractNumId="18">
    <w:nsid w:val="741226BB"/>
    <w:multiLevelType w:val="hybridMultilevel"/>
    <w:lvl w:ilvl="0">
      <w:lvlJc w:val="left"/>
      <w:lvlText w:val="%1."/>
      <w:numFmt w:val="decimal"/>
      <w:start w:val="4"/>
    </w:lvl>
  </w:abstractNum>
  <w:abstractNum w:abstractNumId="19">
    <w:nsid w:val="D34B6A8"/>
    <w:multiLevelType w:val="hybridMultilevel"/>
    <w:lvl w:ilvl="0">
      <w:lvlJc w:val="left"/>
      <w:lvlText w:val="%1."/>
      <w:numFmt w:val="decimal"/>
      <w:start w:val="4"/>
    </w:lvl>
  </w:abstractNum>
  <w:abstractNum w:abstractNumId="20">
    <w:nsid w:val="10233C99"/>
    <w:multiLevelType w:val="hybridMultilevel"/>
    <w:lvl w:ilvl="0">
      <w:lvlJc w:val="left"/>
      <w:lvlText w:val="%1."/>
      <w:numFmt w:val="decimal"/>
      <w:start w:val="4"/>
    </w:lvl>
  </w:abstractNum>
  <w:abstractNum w:abstractNumId="21">
    <w:nsid w:val="3F6AB60F"/>
    <w:multiLevelType w:val="hybridMultilevel"/>
    <w:lvl w:ilvl="0">
      <w:lvlJc w:val="left"/>
      <w:lvlText w:val="%1."/>
      <w:numFmt w:val="decimal"/>
      <w:start w:val="4"/>
    </w:lvl>
  </w:abstractNum>
  <w:abstractNum w:abstractNumId="22">
    <w:nsid w:val="61574095"/>
    <w:multiLevelType w:val="hybridMultilevel"/>
    <w:lvl w:ilvl="0">
      <w:lvlJc w:val="left"/>
      <w:lvlText w:val="%1."/>
      <w:numFmt w:val="decimal"/>
      <w:start w:val="4"/>
    </w:lvl>
  </w:abstractNum>
  <w:abstractNum w:abstractNumId="23">
    <w:nsid w:val="7E0C57B1"/>
    <w:multiLevelType w:val="hybridMultilevel"/>
    <w:lvl w:ilvl="0">
      <w:lvlJc w:val="left"/>
      <w:lvlText w:val="(%1)"/>
      <w:numFmt w:val="lowerLetter"/>
      <w:start w:val="1"/>
    </w:lvl>
    <w:lvl w:ilvl="1">
      <w:lvlJc w:val="left"/>
      <w:lvlText w:val="-"/>
      <w:numFmt w:val="bullet"/>
      <w:start w:val="1"/>
    </w:lvl>
  </w:abstractNum>
  <w:abstractNum w:abstractNumId="24">
    <w:nsid w:val="77AE35EB"/>
    <w:multiLevelType w:val="hybridMultilevel"/>
    <w:lvl w:ilvl="0">
      <w:lvlJc w:val="left"/>
      <w:lvlText w:val="%1."/>
      <w:numFmt w:val="decimal"/>
      <w:start w:val="4"/>
    </w:lvl>
  </w:abstractNum>
  <w:abstractNum w:abstractNumId="25">
    <w:nsid w:val="579BE4F1"/>
    <w:multiLevelType w:val="hybridMultilevel"/>
    <w:lvl w:ilvl="0">
      <w:lvlJc w:val="left"/>
      <w:lvlText w:val="(%1)"/>
      <w:numFmt w:val="lowerLetter"/>
      <w:start w:val="1"/>
    </w:lvl>
    <w:lvl w:ilvl="1">
      <w:lvlJc w:val="left"/>
      <w:lvlText w:val="-"/>
      <w:numFmt w:val="bullet"/>
      <w:start w:val="1"/>
    </w:lvl>
  </w:abstractNum>
  <w:abstractNum w:abstractNumId="26">
    <w:nsid w:val="310C50B3"/>
    <w:multiLevelType w:val="hybridMultilevel"/>
    <w:lvl w:ilvl="0">
      <w:lvlJc w:val="left"/>
      <w:lvlText w:val="%1."/>
      <w:numFmt w:val="decimal"/>
      <w:start w:val="4"/>
    </w:lvl>
  </w:abstractNum>
  <w:abstractNum w:abstractNumId="27">
    <w:nsid w:val="5FF87E05"/>
    <w:multiLevelType w:val="hybridMultilevel"/>
    <w:lvl w:ilvl="0">
      <w:lvlJc w:val="left"/>
      <w:lvlText w:val="%1."/>
      <w:numFmt w:val="decimal"/>
      <w:start w:val="5"/>
    </w:lvl>
  </w:abstractNum>
  <w:abstractNum w:abstractNumId="28">
    <w:nsid w:val="2F305DEF"/>
    <w:multiLevelType w:val="hybridMultilevel"/>
    <w:lvl w:ilvl="0">
      <w:lvlJc w:val="left"/>
      <w:lvlText w:val="%1."/>
      <w:numFmt w:val="decimal"/>
      <w:start w:val="5"/>
    </w:lvl>
  </w:abstractNum>
  <w:abstractNum w:abstractNumId="29">
    <w:nsid w:val="25A70BF7"/>
    <w:multiLevelType w:val="hybridMultilevel"/>
    <w:lvl w:ilvl="0">
      <w:lvlJc w:val="left"/>
      <w:lvlText w:val="%1."/>
      <w:numFmt w:val="decimal"/>
      <w:start w:val="6"/>
    </w:lvl>
  </w:abstractNum>
  <w:abstractNum w:abstractNumId="30">
    <w:nsid w:val="1DBABF00"/>
    <w:multiLevelType w:val="hybridMultilevel"/>
    <w:lvl w:ilvl="0">
      <w:lvlJc w:val="left"/>
      <w:lvlText w:val="(%1)"/>
      <w:numFmt w:val="lowerLetter"/>
      <w:start w:val="1"/>
    </w:lvl>
    <w:lvl w:ilvl="1">
      <w:lvlJc w:val="left"/>
      <w:lvlText w:val="-"/>
      <w:numFmt w:val="bullet"/>
      <w:start w:val="1"/>
    </w:lvl>
  </w:abstractNum>
  <w:abstractNum w:abstractNumId="31">
    <w:nsid w:val="4AD084E9"/>
    <w:multiLevelType w:val="hybridMultilevel"/>
    <w:lvl w:ilvl="0">
      <w:lvlJc w:val="left"/>
      <w:lvlText w:val="%1."/>
      <w:numFmt w:val="decimal"/>
      <w:start w:val="6"/>
    </w:lvl>
  </w:abstractNum>
  <w:abstractNum w:abstractNumId="32">
    <w:nsid w:val="1F48EAA1"/>
    <w:multiLevelType w:val="hybridMultilevel"/>
    <w:lvl w:ilvl="0">
      <w:lvlJc w:val="left"/>
      <w:lvlText w:val="(%1)"/>
      <w:numFmt w:val="lowerLetter"/>
      <w:start w:val="2"/>
    </w:lvl>
  </w:abstractNum>
  <w:abstractNum w:abstractNumId="33">
    <w:nsid w:val="1381823A"/>
    <w:multiLevelType w:val="hybridMultilevel"/>
    <w:lvl w:ilvl="0">
      <w:lvlJc w:val="left"/>
      <w:lvlText w:val="%1."/>
      <w:numFmt w:val="decimal"/>
      <w:start w:val="7"/>
    </w:lvl>
  </w:abstractNum>
  <w:abstractNum w:abstractNumId="34">
    <w:nsid w:val="5DB70AE5"/>
    <w:multiLevelType w:val="hybridMultilevel"/>
    <w:lvl w:ilvl="0">
      <w:lvlJc w:val="left"/>
      <w:lvlText w:val="%1."/>
      <w:numFmt w:val="decimal"/>
      <w:start w:val="7"/>
    </w:lvl>
  </w:abstractNum>
  <w:abstractNum w:abstractNumId="35">
    <w:nsid w:val="100F8FCA"/>
    <w:multiLevelType w:val="hybridMultilevel"/>
    <w:lvl w:ilvl="0">
      <w:lvlJc w:val="left"/>
      <w:lvlText w:val="%1."/>
      <w:numFmt w:val="decimal"/>
      <w:start w:val="8"/>
    </w:lvl>
  </w:abstractNum>
  <w:abstractNum w:abstractNumId="36">
    <w:nsid w:val="6590700B"/>
    <w:multiLevelType w:val="hybridMultilevel"/>
    <w:lvl w:ilvl="0">
      <w:lvlJc w:val="left"/>
      <w:lvlText w:val="(%1)"/>
      <w:numFmt w:val="lowerLetter"/>
      <w:start w:val="1"/>
    </w:lvl>
  </w:abstractNum>
  <w:abstractNum w:abstractNumId="37">
    <w:nsid w:val="15014ACB"/>
    <w:multiLevelType w:val="hybridMultilevel"/>
    <w:lvl w:ilvl="0">
      <w:lvlJc w:val="left"/>
      <w:lvlText w:val="%1."/>
      <w:numFmt w:val="decimal"/>
      <w:start w:val="9"/>
    </w:lvl>
  </w:abstractNum>
  <w:abstractNum w:abstractNumId="38">
    <w:nsid w:val="5F5E7FD0"/>
    <w:multiLevelType w:val="hybridMultilevel"/>
    <w:lvl w:ilvl="0">
      <w:lvlJc w:val="left"/>
      <w:lvlText w:val="%1."/>
      <w:numFmt w:val="decimal"/>
      <w:start w:val="9"/>
    </w:lvl>
  </w:abstractNum>
  <w:abstractNum w:abstractNumId="39">
    <w:nsid w:val="98A3148"/>
    <w:multiLevelType w:val="hybridMultilevel"/>
    <w:lvl w:ilvl="0">
      <w:lvlJc w:val="left"/>
      <w:lvlText w:val="%1."/>
      <w:numFmt w:val="decimal"/>
      <w:start w:val="10"/>
    </w:lvl>
  </w:abstractNum>
  <w:abstractNum w:abstractNumId="40">
    <w:nsid w:val="799D0247"/>
    <w:multiLevelType w:val="hybridMultilevel"/>
    <w:lvl w:ilvl="0">
      <w:lvlJc w:val="left"/>
      <w:lvlText w:val="(%1)"/>
      <w:numFmt w:val="lowerLetter"/>
      <w:start w:val="1"/>
    </w:lvl>
    <w:lvl w:ilvl="1">
      <w:lvlJc w:val="left"/>
      <w:lvlText w:val="-"/>
      <w:numFmt w:val="bullet"/>
      <w:start w:val="1"/>
    </w:lvl>
  </w:abstractNum>
  <w:abstractNum w:abstractNumId="41">
    <w:nsid w:val="6B94764"/>
    <w:multiLevelType w:val="hybridMultilevel"/>
    <w:lvl w:ilvl="0">
      <w:lvlJc w:val="left"/>
      <w:lvlText w:val="%1."/>
      <w:numFmt w:val="decimal"/>
      <w:start w:val="10"/>
    </w:lvl>
  </w:abstractNum>
  <w:abstractNum w:abstractNumId="42">
    <w:nsid w:val="42C296BD"/>
    <w:multiLevelType w:val="hybridMultilevel"/>
    <w:lvl w:ilvl="0">
      <w:lvlJc w:val="left"/>
      <w:lvlText w:val="(%1)"/>
      <w:numFmt w:val="lowerLetter"/>
      <w:start w:val="1"/>
    </w:lvl>
    <w:lvl w:ilvl="1">
      <w:lvlJc w:val="left"/>
      <w:lvlText w:val="-"/>
      <w:numFmt w:val="bullet"/>
      <w:start w:val="1"/>
    </w:lvl>
  </w:abstractNum>
  <w:abstractNum w:abstractNumId="43">
    <w:nsid w:val="168E121F"/>
    <w:multiLevelType w:val="hybridMultilevel"/>
    <w:lvl w:ilvl="0">
      <w:lvlJc w:val="left"/>
      <w:lvlText w:val="%1."/>
      <w:numFmt w:val="decimal"/>
      <w:start w:val="10"/>
    </w:lvl>
  </w:abstractNum>
  <w:abstractNum w:abstractNumId="44">
    <w:nsid w:val="1EBA5D23"/>
    <w:multiLevelType w:val="hybridMultilevel"/>
    <w:lvl w:ilvl="0">
      <w:lvlJc w:val="left"/>
      <w:lvlText w:val="%1."/>
      <w:numFmt w:val="decimal"/>
      <w:start w:val="11"/>
    </w:lvl>
  </w:abstractNum>
  <w:abstractNum w:abstractNumId="45">
    <w:nsid w:val="661E3F1E"/>
    <w:multiLevelType w:val="hybridMultilevel"/>
    <w:lvl w:ilvl="0">
      <w:lvlJc w:val="left"/>
      <w:lvlText w:val="%1."/>
      <w:numFmt w:val="decimal"/>
      <w:start w:val="11"/>
    </w:lvl>
  </w:abstractNum>
  <w:abstractNum w:abstractNumId="46">
    <w:nsid w:val="5DC79EA8"/>
    <w:multiLevelType w:val="hybridMultilevel"/>
    <w:lvl w:ilvl="0">
      <w:lvlJc w:val="left"/>
      <w:lvlText w:val="%1."/>
      <w:numFmt w:val="decimal"/>
      <w:start w:val="12"/>
    </w:lvl>
  </w:abstractNum>
  <w:abstractNum w:abstractNumId="47">
    <w:nsid w:val="540A471C"/>
    <w:multiLevelType w:val="hybridMultilevel"/>
    <w:lvl w:ilvl="0">
      <w:lvlJc w:val="left"/>
      <w:lvlText w:val="•"/>
      <w:numFmt w:val="bullet"/>
      <w:start w:val="1"/>
    </w:lvl>
    <w:lvl w:ilvl="1">
      <w:lvlJc w:val="left"/>
      <w:lvlText w:val="-"/>
      <w:numFmt w:val="bullet"/>
      <w:start w:val="1"/>
    </w:lvl>
  </w:abstractNum>
  <w:abstractNum w:abstractNumId="48">
    <w:nsid w:val="7BD3EE7B"/>
    <w:multiLevelType w:val="hybridMultilevel"/>
    <w:lvl w:ilvl="0">
      <w:lvlJc w:val="left"/>
      <w:lvlText w:val="%1."/>
      <w:numFmt w:val="decimal"/>
      <w:start w:val="12"/>
    </w:lvl>
  </w:abstractNum>
  <w:abstractNum w:abstractNumId="49">
    <w:nsid w:val="51D9C564"/>
    <w:multiLevelType w:val="hybridMultilevel"/>
    <w:lvl w:ilvl="0">
      <w:lvlJc w:val="left"/>
      <w:lvlText w:val="%1."/>
      <w:numFmt w:val="decimal"/>
      <w:start w:val="2"/>
    </w:lvl>
  </w:abstractNum>
  <w:abstractNum w:abstractNumId="50">
    <w:nsid w:val="613EFDC5"/>
    <w:multiLevelType w:val="hybridMultilevel"/>
    <w:lvl w:ilvl="0">
      <w:lvlJc w:val="left"/>
      <w:lvlText w:val="%1."/>
      <w:numFmt w:val="decimal"/>
      <w:start w:val="12"/>
    </w:lvl>
  </w:abstractNum>
  <w:abstractNum w:abstractNumId="51">
    <w:nsid w:val="BF72B14"/>
    <w:multiLevelType w:val="hybridMultilevel"/>
    <w:lvl w:ilvl="0">
      <w:lvlJc w:val="left"/>
      <w:lvlText w:val="%1."/>
      <w:numFmt w:val="decimal"/>
      <w:start w:val="12"/>
    </w:lvl>
  </w:abstractNum>
  <w:abstractNum w:abstractNumId="52">
    <w:nsid w:val="11447B73"/>
    <w:multiLevelType w:val="hybridMultilevel"/>
    <w:lvl w:ilvl="0">
      <w:lvlJc w:val="left"/>
      <w:lvlText w:val="%1."/>
      <w:numFmt w:val="decimal"/>
      <w:start w:val="12"/>
    </w:lvl>
  </w:abstractNum>
  <w:abstractNum w:abstractNumId="53">
    <w:nsid w:val="42963E5A"/>
    <w:multiLevelType w:val="hybridMultilevel"/>
    <w:lvl w:ilvl="0">
      <w:lvlJc w:val="left"/>
      <w:lvlText w:val="(%1)"/>
      <w:numFmt w:val="lowerLetter"/>
      <w:start w:val="1"/>
    </w:lvl>
    <w:lvl w:ilvl="1">
      <w:lvlJc w:val="left"/>
      <w:lvlText w:val="-"/>
      <w:numFmt w:val="bullet"/>
      <w:start w:val="1"/>
    </w:lvl>
  </w:abstractNum>
  <w:abstractNum w:abstractNumId="54">
    <w:nsid w:val="A0382C5"/>
    <w:multiLevelType w:val="hybridMultilevel"/>
    <w:lvl w:ilvl="0">
      <w:lvlJc w:val="left"/>
      <w:lvlText w:val="%1."/>
      <w:numFmt w:val="decimal"/>
      <w:start w:val="12"/>
    </w:lvl>
  </w:abstractNum>
  <w:abstractNum w:abstractNumId="55">
    <w:nsid w:val="8F2B15E"/>
    <w:multiLevelType w:val="hybridMultilevel"/>
    <w:lvl w:ilvl="0">
      <w:lvlJc w:val="left"/>
      <w:lvlText w:val="%1."/>
      <w:numFmt w:val="decimal"/>
      <w:start w:val="12"/>
    </w:lvl>
  </w:abstractNum>
  <w:abstractNum w:abstractNumId="56">
    <w:nsid w:val="1A32234B"/>
    <w:multiLevelType w:val="hybridMultilevel"/>
    <w:lvl w:ilvl="0">
      <w:lvlJc w:val="left"/>
      <w:lvlText w:val="(%1)"/>
      <w:numFmt w:val="lowerLetter"/>
      <w:start w:val="1"/>
    </w:lvl>
    <w:lvl w:ilvl="1">
      <w:lvlJc w:val="left"/>
      <w:lvlText w:val="-"/>
      <w:numFmt w:val="bullet"/>
      <w:start w:val="1"/>
    </w:lvl>
  </w:abstractNum>
  <w:abstractNum w:abstractNumId="57">
    <w:nsid w:val="3B0FD379"/>
    <w:multiLevelType w:val="hybridMultilevel"/>
    <w:lvl w:ilvl="0">
      <w:lvlJc w:val="left"/>
      <w:lvlText w:val="%1."/>
      <w:numFmt w:val="decimal"/>
      <w:start w:val="12"/>
    </w:lvl>
  </w:abstractNum>
  <w:abstractNum w:abstractNumId="58">
    <w:nsid w:val="68EB2F63"/>
    <w:multiLevelType w:val="hybridMultilevel"/>
    <w:lvl w:ilvl="0">
      <w:lvlJc w:val="left"/>
      <w:lvlText w:val="(%1)"/>
      <w:numFmt w:val="lowerLetter"/>
      <w:start w:val="2"/>
    </w:lvl>
  </w:abstractNum>
  <w:abstractNum w:abstractNumId="59">
    <w:nsid w:val="4962813B"/>
    <w:multiLevelType w:val="hybridMultilevel"/>
    <w:lvl w:ilvl="0">
      <w:lvlJc w:val="left"/>
      <w:lvlText w:val="%1."/>
      <w:numFmt w:val="decimal"/>
      <w:start w:val="12"/>
    </w:lvl>
  </w:abstractNum>
  <w:abstractNum w:abstractNumId="60">
    <w:nsid w:val="60B6DF70"/>
    <w:multiLevelType w:val="hybridMultilevel"/>
    <w:lvl w:ilvl="0">
      <w:lvlJc w:val="left"/>
      <w:lvlText w:val="%1."/>
      <w:numFmt w:val="decimal"/>
      <w:start w:val="12"/>
    </w:lvl>
  </w:abstractNum>
  <w:abstractNum w:abstractNumId="61">
    <w:nsid w:val="6A5EE64"/>
    <w:multiLevelType w:val="hybridMultilevel"/>
    <w:lvl w:ilvl="0">
      <w:lvlJc w:val="left"/>
      <w:lvlText w:val="%1."/>
      <w:numFmt w:val="decimal"/>
      <w:start w:val="12"/>
    </w:lvl>
  </w:abstractNum>
  <w:abstractNum w:abstractNumId="62">
    <w:nsid w:val="14330624"/>
    <w:multiLevelType w:val="hybridMultilevel"/>
    <w:lvl w:ilvl="0">
      <w:lvlJc w:val="left"/>
      <w:lvlText w:val="%1."/>
      <w:numFmt w:val="decimal"/>
      <w:start w:val="12"/>
    </w:lvl>
  </w:abstractNum>
  <w:abstractNum w:abstractNumId="63">
    <w:nsid w:val="7FFFCA11"/>
    <w:multiLevelType w:val="hybridMultilevel"/>
    <w:lvl w:ilvl="0">
      <w:lvlJc w:val="left"/>
      <w:lvlText w:val="%1."/>
      <w:numFmt w:val="decimal"/>
      <w:start w:val="13"/>
    </w:lvl>
  </w:abstractNum>
  <w:abstractNum w:abstractNumId="64">
    <w:nsid w:val="1A27709E"/>
    <w:multiLevelType w:val="hybridMultilevel"/>
    <w:lvl w:ilvl="0">
      <w:lvlJc w:val="left"/>
      <w:lvlText w:val="%1."/>
      <w:numFmt w:val="decimal"/>
      <w:start w:val="13"/>
    </w:lvl>
  </w:abstractNum>
  <w:abstractNum w:abstractNumId="65">
    <w:nsid w:val="71EA1109"/>
    <w:multiLevelType w:val="hybridMultilevel"/>
    <w:lvl w:ilvl="0">
      <w:lvlJc w:val="left"/>
      <w:lvlText w:val="%1."/>
      <w:numFmt w:val="decimal"/>
      <w:start w:val="13"/>
    </w:lvl>
  </w:abstractNum>
  <w:abstractNum w:abstractNumId="66">
    <w:nsid w:val="100F59DC"/>
    <w:multiLevelType w:val="hybridMultilevel"/>
    <w:lvl w:ilvl="0">
      <w:lvlJc w:val="left"/>
      <w:lvlText w:val="%1."/>
      <w:numFmt w:val="decimal"/>
      <w:start w:val="14"/>
    </w:lvl>
  </w:abstractNum>
  <w:abstractNum w:abstractNumId="67">
    <w:nsid w:val="7FB7E0AA"/>
    <w:multiLevelType w:val="hybridMultilevel"/>
    <w:lvl w:ilvl="0">
      <w:lvlJc w:val="left"/>
      <w:lvlText w:val="%1."/>
      <w:numFmt w:val="decimal"/>
      <w:start w:val="14"/>
    </w:lvl>
  </w:abstractNum>
  <w:abstractNum w:abstractNumId="68">
    <w:nsid w:val="6EB5BD4"/>
    <w:multiLevelType w:val="hybridMultilevel"/>
    <w:lvl w:ilvl="0">
      <w:lvlJc w:val="left"/>
      <w:lvlText w:val="(%1)"/>
      <w:numFmt w:val="lowerLetter"/>
      <w:start w:val="1"/>
    </w:lvl>
    <w:lvl w:ilvl="1">
      <w:lvlJc w:val="left"/>
      <w:lvlText w:val="-"/>
      <w:numFmt w:val="bullet"/>
      <w:start w:val="1"/>
    </w:lvl>
  </w:abstractNum>
  <w:abstractNum w:abstractNumId="69">
    <w:nsid w:val="6F6DD9AC"/>
    <w:multiLevelType w:val="hybridMultilevel"/>
    <w:lvl w:ilvl="0">
      <w:lvlJc w:val="left"/>
      <w:lvlText w:val="%1."/>
      <w:numFmt w:val="decimal"/>
      <w:start w:val="15"/>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1)"/>
      <w:numFmt w:val="lowerLetter"/>
      <w:start w:val="1"/>
    </w:lvl>
    <w:lvl w:ilvl="1">
      <w:lvlJc w:val="left"/>
      <w:lvlText w:val="-"/>
      <w:numFmt w:val="bullet"/>
      <w:start w:val="1"/>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lowerLetter"/>
      <w:start w:val="1"/>
    </w:lvl>
  </w:abstractNum>
  <w:abstractNum w:abstractNumId="76">
    <w:nsid w:val="3222E7CD"/>
    <w:multiLevelType w:val="hybridMultilevel"/>
    <w:lvl w:ilvl="0">
      <w:lvlJc w:val="left"/>
      <w:lvlText w:val="(%1)"/>
      <w:numFmt w:val="lowerLetter"/>
      <w:start w:val="1"/>
    </w:lvl>
  </w:abstractNum>
  <w:abstractNum w:abstractNumId="77">
    <w:nsid w:val="74DE0EE3"/>
    <w:multiLevelType w:val="hybridMultilevel"/>
    <w:lvl w:ilvl="0">
      <w:lvlJc w:val="left"/>
      <w:lvlText w:val="(%1)"/>
      <w:numFmt w:val="lowerLetter"/>
      <w:start w:val="1"/>
    </w:lvl>
  </w:abstractNum>
  <w:abstractNum w:abstractNumId="78">
    <w:nsid w:val="68EBC550"/>
    <w:multiLevelType w:val="hybridMultilevel"/>
    <w:lvl w:ilvl="0">
      <w:lvlJc w:val="left"/>
      <w:lvlText w:val="(%1)"/>
      <w:numFmt w:val="lowerLetter"/>
      <w:start w:val="2"/>
    </w:lvl>
    <w:lvl w:ilvl="1">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1)"/>
      <w:numFmt w:val="lowerLetter"/>
      <w:start w:val="1"/>
    </w:lvl>
  </w:abstractNum>
  <w:abstractNum w:abstractNumId="84">
    <w:nsid w:val="CC1016F"/>
    <w:multiLevelType w:val="hybridMultilevel"/>
    <w:lvl w:ilvl="0">
      <w:lvlJc w:val="left"/>
      <w:lvlText w:val="(%1)"/>
      <w:numFmt w:val="lowerLetter"/>
      <w:start w:val="1"/>
    </w:lvl>
    <w:lvl w:ilvl="1">
      <w:lvlJc w:val="left"/>
      <w:lvlText w:val="-"/>
      <w:numFmt w:val="bullet"/>
      <w:start w:val="1"/>
    </w:lvl>
  </w:abstractNum>
  <w:abstractNum w:abstractNumId="85">
    <w:nsid w:val="43F18422"/>
    <w:multiLevelType w:val="hybridMultilevel"/>
    <w:lvl w:ilvl="0">
      <w:lvlJc w:val="left"/>
      <w:lvlText w:val="(%1)"/>
      <w:numFmt w:val="lowerLetter"/>
      <w:start w:val="2"/>
    </w:lvl>
  </w:abstractNum>
  <w:abstractNum w:abstractNumId="86">
    <w:nsid w:val="60EF0119"/>
    <w:multiLevelType w:val="hybridMultilevel"/>
    <w:lvl w:ilvl="0">
      <w:lvlJc w:val="left"/>
      <w:lvlText w:val="(%1)"/>
      <w:numFmt w:val="lowerLetter"/>
      <w:start w:val="1"/>
    </w:lvl>
  </w:abstractNum>
  <w:abstractNum w:abstractNumId="87">
    <w:nsid w:val="26F324BA"/>
    <w:multiLevelType w:val="hybridMultilevel"/>
    <w:lvl w:ilvl="0">
      <w:lvlJc w:val="left"/>
      <w:lvlText w:val="(%1)"/>
      <w:numFmt w:val="lowerLetter"/>
      <w:start w:val="3"/>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lvl w:ilvl="1">
      <w:lvlJc w:val="left"/>
      <w:lvlText w:val="-"/>
      <w:numFmt w:val="bullet"/>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decimal"/>
      <w:start w:val="5"/>
    </w:lvl>
  </w:abstractNum>
  <w:abstractNum w:abstractNumId="94">
    <w:nsid w:val="5FB8011C"/>
    <w:multiLevelType w:val="hybridMultilevel"/>
    <w:lvl w:ilvl="0">
      <w:lvlJc w:val="left"/>
      <w:lvlText w:val="%1)"/>
      <w:numFmt w:val="lowerLetter"/>
      <w:start w:val="1"/>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decimal"/>
      <w:start w:val="5"/>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2019-12-10T01:21:00Z</dcterms:created>
  <dcterms:modified xsi:type="dcterms:W3CDTF">2019-12-10T01:21:00Z</dcterms:modified>
</cp:coreProperties>
</file>