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M&amp;T BANK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384" w:type="dxa"/>
        <w:tblCellMar>
          <w:top w:w="0" w:type="dxa"/>
          <w:left w:w="0" w:type="dxa"/>
          <w:bottom w:w="0" w:type="dxa"/>
          <w:right w:w="0" w:type="dxa"/>
        </w:tblCellMar>
      </w:tblPr>
      <w:tr>
        <w:trPr>
          <w:trHeight w:val="214"/>
        </w:trPr>
        <w:tc>
          <w:tcPr>
            <w:tcW w:w="3040" w:type="dxa"/>
            <w:vAlign w:val="bottom"/>
          </w:tcPr>
          <w:p>
            <w:pPr>
              <w:spacing w:after="0"/>
              <w:rPr>
                <w:sz w:val="18"/>
                <w:szCs w:val="18"/>
                <w:color w:val="auto"/>
              </w:rPr>
            </w:pPr>
          </w:p>
        </w:tc>
        <w:tc>
          <w:tcPr>
            <w:tcW w:w="4480" w:type="dxa"/>
            <w:vAlign w:val="bottom"/>
          </w:tcPr>
          <w:p>
            <w:pPr>
              <w:jc w:val="center"/>
              <w:ind w:right="2241"/>
              <w:spacing w:after="0"/>
              <w:rPr>
                <w:sz w:val="20"/>
                <w:szCs w:val="20"/>
                <w:color w:val="auto"/>
              </w:rPr>
            </w:pPr>
            <w:r>
              <w:rPr>
                <w:rFonts w:ascii="Times New Roman" w:cs="Times New Roman" w:eastAsia="Times New Roman" w:hAnsi="Times New Roman"/>
                <w:sz w:val="18"/>
                <w:szCs w:val="18"/>
                <w:b w:val="1"/>
                <w:bCs w:val="1"/>
                <w:color w:val="auto"/>
                <w:w w:val="96"/>
              </w:rPr>
              <w:t>New York</w:t>
            </w:r>
          </w:p>
        </w:tc>
      </w:tr>
      <w:tr>
        <w:trPr>
          <w:trHeight w:val="149"/>
        </w:trPr>
        <w:tc>
          <w:tcPr>
            <w:tcW w:w="3040" w:type="dxa"/>
            <w:vAlign w:val="bottom"/>
          </w:tcPr>
          <w:p>
            <w:pPr>
              <w:spacing w:after="0"/>
              <w:rPr>
                <w:sz w:val="12"/>
                <w:szCs w:val="12"/>
                <w:color w:val="auto"/>
              </w:rPr>
            </w:pPr>
          </w:p>
        </w:tc>
        <w:tc>
          <w:tcPr>
            <w:tcW w:w="4480" w:type="dxa"/>
            <w:vAlign w:val="bottom"/>
          </w:tcPr>
          <w:p>
            <w:pPr>
              <w:jc w:val="center"/>
              <w:ind w:right="22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r>
      <w:tr>
        <w:trPr>
          <w:trHeight w:val="190"/>
        </w:trPr>
        <w:tc>
          <w:tcPr>
            <w:tcW w:w="3040" w:type="dxa"/>
            <w:vAlign w:val="bottom"/>
          </w:tcPr>
          <w:p>
            <w:pPr>
              <w:spacing w:after="0"/>
              <w:rPr>
                <w:sz w:val="16"/>
                <w:szCs w:val="16"/>
                <w:color w:val="auto"/>
              </w:rPr>
            </w:pPr>
          </w:p>
        </w:tc>
        <w:tc>
          <w:tcPr>
            <w:tcW w:w="4480" w:type="dxa"/>
            <w:vAlign w:val="bottom"/>
          </w:tcPr>
          <w:p>
            <w:pPr>
              <w:jc w:val="center"/>
              <w:ind w:right="2241"/>
              <w:spacing w:after="0"/>
              <w:rPr>
                <w:sz w:val="20"/>
                <w:szCs w:val="20"/>
                <w:color w:val="auto"/>
              </w:rPr>
            </w:pPr>
            <w:r>
              <w:rPr>
                <w:rFonts w:ascii="Times New Roman" w:cs="Times New Roman" w:eastAsia="Times New Roman" w:hAnsi="Times New Roman"/>
                <w:sz w:val="14"/>
                <w:szCs w:val="14"/>
                <w:b w:val="1"/>
                <w:bCs w:val="1"/>
                <w:color w:val="auto"/>
              </w:rPr>
              <w:t>of incorporation)</w:t>
            </w:r>
          </w:p>
        </w:tc>
      </w:tr>
      <w:tr>
        <w:trPr>
          <w:trHeight w:val="417"/>
        </w:trPr>
        <w:tc>
          <w:tcPr>
            <w:tcW w:w="3040" w:type="dxa"/>
            <w:vAlign w:val="bottom"/>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1-9861</w:t>
            </w:r>
          </w:p>
        </w:tc>
        <w:tc>
          <w:tcPr>
            <w:tcW w:w="44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16-0968385</w:t>
            </w:r>
          </w:p>
        </w:tc>
      </w:tr>
      <w:tr>
        <w:trPr>
          <w:trHeight w:val="148"/>
        </w:trPr>
        <w:tc>
          <w:tcPr>
            <w:tcW w:w="304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4480" w:type="dxa"/>
            <w:vAlign w:val="bottom"/>
          </w:tcPr>
          <w:p>
            <w:pPr>
              <w:jc w:val="center"/>
              <w:ind w:left="32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0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480" w:type="dxa"/>
            <w:vAlign w:val="bottom"/>
          </w:tcPr>
          <w:p>
            <w:pPr>
              <w:jc w:val="center"/>
              <w:ind w:left="3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3040" w:type="dxa"/>
            <w:vAlign w:val="bottom"/>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One M&amp;T Plaza, Buffalo, New York</w:t>
            </w:r>
          </w:p>
        </w:tc>
        <w:tc>
          <w:tcPr>
            <w:tcW w:w="44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14203</w:t>
            </w:r>
          </w:p>
        </w:tc>
      </w:tr>
      <w:tr>
        <w:trPr>
          <w:trHeight w:val="190"/>
        </w:trPr>
        <w:tc>
          <w:tcPr>
            <w:tcW w:w="304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480" w:type="dxa"/>
            <w:vAlign w:val="bottom"/>
          </w:tcPr>
          <w:p>
            <w:pPr>
              <w:jc w:val="center"/>
              <w:ind w:left="3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(716) 635-4000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$.50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MTB</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Perpetual Fixed-to-Floating Rate Non-Cumulative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MTBPrH</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Preferred Stock, Series H</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Perpetual Fixed Rate Non-Cumulative Preferred</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MTBPrJ</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Stock Series J</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Perpetual Fixed Rate Non-Cumulative Preferred</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MTBPrK</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Stock, Series 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77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On April 20, 2026, M&amp;T Bank Corporation (“M&amp;T”) closed the public offering of $500,000,000 aggregate principal amount of its 5.295% Fixed Rate Reset Subordinated Notes, Series B, due April 18, 2036 (the “Subordinated Notes”). The Subordinated Notes have been registered under the Securities Act of 1933, as amended, by a registration statement on Form S-3 (File No. 333-274646) filed by M&amp;T with the Securities and Exchange Commission (the “Registration Statement”). The legal opinion of Squire Patton Boggs (US) LLP, as counsel to M&amp;T, regarding the issuance and sale of the Subordinated Notes, is filed with this Current Report on Form 8-K and shall be incorporated by reference into the Registration Statement.</w:t>
      </w:r>
    </w:p>
    <w:p>
      <w:pPr>
        <w:spacing w:after="0" w:line="32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Exhibit</w:t>
            </w:r>
          </w:p>
        </w:tc>
        <w:tc>
          <w:tcPr>
            <w:tcW w:w="0" w:type="dxa"/>
            <w:vAlign w:val="bottom"/>
          </w:tcPr>
          <w:p>
            <w:pPr>
              <w:spacing w:after="0"/>
              <w:rPr>
                <w:sz w:val="1"/>
                <w:szCs w:val="1"/>
                <w:color w:val="auto"/>
              </w:rPr>
            </w:pPr>
          </w:p>
        </w:tc>
      </w:tr>
      <w:tr>
        <w:trPr>
          <w:trHeight w:val="190"/>
        </w:trPr>
        <w:tc>
          <w:tcPr>
            <w:tcW w:w="6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w:t>
            </w: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66" w:lineRule="exact"/>
        <w:rPr>
          <w:sz w:val="20"/>
          <w:szCs w:val="20"/>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Squire Patton Boggs (US) LLP as to the validity of the Subordinated Notes.</w:t>
      </w:r>
    </w:p>
    <w:p>
      <w:pPr>
        <w:spacing w:after="0" w:line="128"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23.1</w:t>
      </w:r>
      <w:r>
        <w:rPr>
          <w:rFonts w:ascii="Times New Roman" w:cs="Times New Roman" w:eastAsia="Times New Roman" w:hAnsi="Times New Roman"/>
          <w:sz w:val="17"/>
          <w:szCs w:val="17"/>
          <w:u w:val="single" w:color="auto"/>
          <w:color w:val="0000EE"/>
        </w:rPr>
        <w:t>Consent of Squire Patton Boggs (US) LLP (included in Exhibit 5.1).</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this Current Report on Form 8-K, formatted in Inline XBRL.</w:t>
      </w:r>
    </w:p>
    <w:p>
      <w:pPr>
        <w:sectPr>
          <w:pgSz w:w="11900" w:h="16838" w:orient="portrait"/>
          <w:cols w:equalWidth="0" w:num="1">
            <w:col w:w="10864"/>
          </w:cols>
          <w:pgMar w:left="436" w:top="293" w:right="5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20" w:type="dxa"/>
            <w:vAlign w:val="bottom"/>
            <w:gridSpan w:val="2"/>
          </w:tcPr>
          <w:p>
            <w:pPr>
              <w:ind w:left="5520"/>
              <w:spacing w:after="0"/>
              <w:rPr>
                <w:sz w:val="20"/>
                <w:szCs w:val="20"/>
                <w:color w:val="auto"/>
              </w:rPr>
            </w:pPr>
            <w:r>
              <w:rPr>
                <w:rFonts w:ascii="Times New Roman" w:cs="Times New Roman" w:eastAsia="Times New Roman" w:hAnsi="Times New Roman"/>
                <w:sz w:val="18"/>
                <w:szCs w:val="18"/>
                <w:color w:val="auto"/>
              </w:rPr>
              <w:t>M&amp;T Bank Corporation</w:t>
            </w:r>
          </w:p>
        </w:tc>
      </w:tr>
      <w:tr>
        <w:trPr>
          <w:trHeight w:val="43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20, 2026</w:t>
            </w:r>
          </w:p>
        </w:tc>
        <w:tc>
          <w:tcPr>
            <w:tcW w:w="4860" w:type="dxa"/>
            <w:vAlign w:val="bottom"/>
          </w:tcPr>
          <w:p>
            <w:pPr>
              <w:spacing w:after="0"/>
              <w:rPr>
                <w:sz w:val="24"/>
                <w:szCs w:val="24"/>
                <w:color w:val="auto"/>
              </w:rPr>
            </w:pPr>
          </w:p>
        </w:tc>
      </w:tr>
      <w:tr>
        <w:trPr>
          <w:trHeight w:val="432"/>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Daryl N. Bible</w:t>
            </w:r>
          </w:p>
        </w:tc>
      </w:tr>
      <w:tr>
        <w:trPr>
          <w:trHeight w:val="205"/>
        </w:trPr>
        <w:tc>
          <w:tcPr>
            <w:tcW w:w="6160" w:type="dxa"/>
            <w:vAlign w:val="bottom"/>
          </w:tcPr>
          <w:p>
            <w:pPr>
              <w:ind w:left="5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Daryl N. Bible</w:t>
            </w:r>
          </w:p>
        </w:tc>
      </w:t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Squire Patton Boggs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09728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280" cy="377190"/>
                    </a:xfrm>
                    <a:prstGeom prst="rect">
                      <a:avLst/>
                    </a:prstGeom>
                    <a:noFill/>
                  </pic:spPr>
                </pic:pic>
              </a:graphicData>
            </a:graphic>
          </wp:anchor>
        </w:drawing>
      </w:r>
    </w:p>
    <w:p>
      <w:pPr>
        <w:spacing w:after="0" w:line="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201 E. Fourth St., Suite 1900</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Cincinnati, Ohio 45202</w:t>
      </w:r>
    </w:p>
    <w:p>
      <w:pPr>
        <w:spacing w:after="0" w:line="1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O   +1 513 361 1200</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F    +1 513 361 1201</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squirepattonboggs.com</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20,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M&amp;T Bank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M&amp;T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Buffalo, New York 14203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$500,000,000 5.295% Fixed-Rate Reset Subordinated Notes, Series B, due April 18, 2036 (the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We have acted as counsel to M&amp;T Bank Corporation, a New York corporation (the “Company”), in connection with the automatic shelf registration statement on Form S-3ASR (File No. 333-274646) (the “Registration Statement”) filed by the Company on September 22, 2023 with the Securities and Exchange Commission (the “Commission”) pursuant to the Securities Act of 1933, as amended, and the issuance and sale of the Notes pursuant to the Pricing Supplement dated April 16, 2026, as filed with the Commission on April 17, 2026 (the “Pricing Supplement”). The Notes are being issued in accordance with the Pricing Supplement, the Officers’ Certificate, dated as of September 22, 2023 (the “Officers’ Certificate”), the Indenture, dated as of September 22, 2023 (the “Indenture”), between the Company and The Bank of New York Mellon, as Trustee, and the resolutions adopted by the Company’s Board of Directors on September 19, 2023 (the “Resolutions”). A copy of the Officers’ Certificate was filed with the Commission as an exhibit to the Company’s Current Report on Form 8-K filed on September 22, 2023.</w:t>
      </w:r>
    </w:p>
    <w:p>
      <w:pPr>
        <w:spacing w:after="0" w:line="19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We have examined such documents, including the Registration Statement, the Pricing Supplement, the Officers’ Certificate, the Indenture and the Resolutions and duplicates of the global note representing the Notes, and have reviewed such questions of law, as we have considered necessary and appropriate for the purposes of our opinion set forth below. In rendering our opinion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and, with respect to all parties to agreements or instruments relevant hereto other than the Company, that such parties had the requisite power and authority (corporate or otherwise) to execute, deliver and perform such agreements or instruments, that such agreements or instruments have been duly authorized by all requisite action (corporate or otherwise), executed and delivered by such parties and that such agreements or instruments are the valid, binding and enforceable obligations of such parties. As to questions of fact material to our opinion, we have relied upon certificates of officers of the Company and of public officials.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45 Offices in 20 Countries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Squire Patton Boggs (US) LLP is part of the international legal practice Squire Patton Boggs, which operates worldwide through a number of separate legal entities.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visit squirepattonboggs.com for more information.</w:t>
      </w:r>
    </w:p>
    <w:p>
      <w:pPr>
        <w:sectPr>
          <w:pgSz w:w="11900" w:h="16838" w:orient="portrait"/>
          <w:cols w:equalWidth="0" w:num="1">
            <w:col w:w="11020"/>
          </w:cols>
          <w:pgMar w:left="440" w:top="11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Squire Patton Boggs (US) LLP</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M&amp;T Bank Corporation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April 20,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Based on the foregoing, and having regard for such legal considerations as we have deemed relevant, we are of the opinion that the Notes have been duly authorized by all requisite corporate action and constitute valid and binding obligations of the Company, enforceable in accordance with the terms of such series.</w:t>
      </w:r>
    </w:p>
    <w:p>
      <w:pPr>
        <w:spacing w:after="0" w:line="176" w:lineRule="exact"/>
        <w:rPr>
          <w:sz w:val="20"/>
          <w:szCs w:val="20"/>
          <w:color w:val="auto"/>
        </w:rPr>
      </w:pPr>
    </w:p>
    <w:p>
      <w:pPr>
        <w:ind w:left="4" w:right="80" w:firstLine="440"/>
        <w:spacing w:after="0" w:line="270" w:lineRule="auto"/>
        <w:rPr>
          <w:sz w:val="20"/>
          <w:szCs w:val="20"/>
          <w:color w:val="auto"/>
        </w:rPr>
      </w:pPr>
      <w:r>
        <w:rPr>
          <w:rFonts w:ascii="Times New Roman" w:cs="Times New Roman" w:eastAsia="Times New Roman" w:hAnsi="Times New Roman"/>
          <w:sz w:val="17"/>
          <w:szCs w:val="17"/>
          <w:color w:val="auto"/>
        </w:rPr>
        <w:t>The opinion set forth above regarding the enforceability of the Notes is subject to (i) the effect of any applicable bankruptcy, insolvency, reorganization, moratorium or other similar law of general application affecting creditors’ rights, (ii) the effect of general principles of equity, including (without limitation) concepts of materiality, reasonableness, good faith and fair dealing, and other similar doctrines affecting the enforceability of agreements generally (regardless of whether considered in a proceeding in equity or at law), (iii) an implied covenant of good faith and fair dealing, and</w:t>
      </w:r>
    </w:p>
    <w:p>
      <w:pPr>
        <w:spacing w:after="0" w:line="3" w:lineRule="exact"/>
        <w:rPr>
          <w:sz w:val="20"/>
          <w:szCs w:val="20"/>
          <w:color w:val="auto"/>
        </w:rPr>
      </w:pPr>
    </w:p>
    <w:p>
      <w:pPr>
        <w:ind w:left="4" w:right="540" w:hanging="4"/>
        <w:spacing w:after="0" w:line="260" w:lineRule="auto"/>
        <w:tabs>
          <w:tab w:leader="none" w:pos="3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law that require that a judgment for money damages rendered by a court in the United States be expressed only in United States dollars.</w:t>
      </w:r>
    </w:p>
    <w:p>
      <w:pPr>
        <w:spacing w:after="0" w:line="181" w:lineRule="exact"/>
        <w:rPr>
          <w:sz w:val="20"/>
          <w:szCs w:val="20"/>
          <w:color w:val="auto"/>
        </w:rPr>
      </w:pPr>
    </w:p>
    <w:p>
      <w:pPr>
        <w:ind w:left="4" w:right="300" w:firstLine="440"/>
        <w:spacing w:after="0" w:line="261" w:lineRule="auto"/>
        <w:rPr>
          <w:sz w:val="20"/>
          <w:szCs w:val="20"/>
          <w:color w:val="auto"/>
        </w:rPr>
      </w:pPr>
      <w:r>
        <w:rPr>
          <w:rFonts w:ascii="Times New Roman" w:cs="Times New Roman" w:eastAsia="Times New Roman" w:hAnsi="Times New Roman"/>
          <w:sz w:val="18"/>
          <w:szCs w:val="18"/>
          <w:color w:val="auto"/>
        </w:rPr>
        <w:t>Our opinion expressed above is limited to the laws of the State of New York and the federal laws of the United States of America, and we are expressing no opinion as to the effect of any other laws. We assume no obligation to advise you of changes in matters of fact or law which may thereafter occur, and we do not opine with respect to any law, regulation, rule or governmental policy which may be enacted or adopted after the date hereof.</w:t>
      </w:r>
    </w:p>
    <w:p>
      <w:pPr>
        <w:spacing w:after="0" w:line="180"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Current Report on Form 8-K of the Company filed with the Commission on April 20, 2026 and thereby incorporated by reference into the Registration Statement, and to the reference to our firm contained therein.</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Squire Patton Boggs (US) LLP</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
      <w:numFmt w:val="bullet"/>
      <w:start w:val="1"/>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2026-04-20T15:23:38Z</dcterms:created>
  <dcterms:modified xsi:type="dcterms:W3CDTF">2026-04-20T15:23:38Z</dcterms:modified>
</cp:coreProperties>
</file>