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0"/>
          <w:szCs w:val="20"/>
          <w:color w:val="auto"/>
        </w:rPr>
      </w:pPr>
    </w:p>
    <w:p>
      <w:pPr>
        <w:ind w:left="5540" w:right="3000" w:hanging="2502"/>
        <w:spacing w:after="0" w:line="258" w:lineRule="auto"/>
        <w:tabs>
          <w:tab w:leader="none" w:pos="3294"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March 31, 2007</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TRANSITION REPORT PURSUANT TO SECTION 13 OR 15(d)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Commission File Number 1-9861</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2940" w:type="dxa"/>
            <w:vAlign w:val="bottom"/>
          </w:tcPr>
          <w:p>
            <w:pPr>
              <w:jc w:val="center"/>
              <w:ind w:right="670"/>
              <w:spacing w:after="0"/>
              <w:rPr>
                <w:sz w:val="20"/>
                <w:szCs w:val="20"/>
                <w:color w:val="auto"/>
              </w:rPr>
            </w:pPr>
            <w:r>
              <w:rPr>
                <w:rFonts w:ascii="Arial" w:cs="Arial" w:eastAsia="Arial" w:hAnsi="Arial"/>
                <w:sz w:val="18"/>
                <w:szCs w:val="18"/>
                <w:color w:val="auto"/>
                <w:w w:val="94"/>
              </w:rPr>
              <w:t>New York</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16-0968385</w:t>
            </w:r>
          </w:p>
        </w:tc>
      </w:tr>
      <w:tr>
        <w:trPr>
          <w:trHeight w:val="216"/>
        </w:trPr>
        <w:tc>
          <w:tcPr>
            <w:tcW w:w="2940" w:type="dxa"/>
            <w:vAlign w:val="bottom"/>
          </w:tcPr>
          <w:p>
            <w:pPr>
              <w:jc w:val="center"/>
              <w:ind w:right="670"/>
              <w:spacing w:after="0"/>
              <w:rPr>
                <w:sz w:val="20"/>
                <w:szCs w:val="20"/>
                <w:color w:val="auto"/>
              </w:rPr>
            </w:pPr>
            <w:r>
              <w:rPr>
                <w:rFonts w:ascii="Arial" w:cs="Arial" w:eastAsia="Arial" w:hAnsi="Arial"/>
                <w:sz w:val="18"/>
                <w:szCs w:val="18"/>
                <w:color w:val="auto"/>
                <w:w w:val="93"/>
              </w:rPr>
              <w:t>(State or other jurisdiction of</w:t>
            </w: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2"/>
              </w:rPr>
              <w:t>(I.R.S. Employer</w:t>
            </w:r>
          </w:p>
        </w:tc>
      </w:tr>
      <w:tr>
        <w:trPr>
          <w:trHeight w:val="230"/>
        </w:trPr>
        <w:tc>
          <w:tcPr>
            <w:tcW w:w="2940" w:type="dxa"/>
            <w:vAlign w:val="bottom"/>
          </w:tcPr>
          <w:p>
            <w:pPr>
              <w:jc w:val="center"/>
              <w:ind w:right="690"/>
              <w:spacing w:after="0"/>
              <w:rPr>
                <w:sz w:val="20"/>
                <w:szCs w:val="20"/>
                <w:color w:val="auto"/>
              </w:rPr>
            </w:pPr>
            <w:r>
              <w:rPr>
                <w:rFonts w:ascii="Arial" w:cs="Arial" w:eastAsia="Arial" w:hAnsi="Arial"/>
                <w:sz w:val="18"/>
                <w:szCs w:val="18"/>
                <w:color w:val="auto"/>
                <w:w w:val="92"/>
              </w:rPr>
              <w:t>incorporation or organization)</w:t>
            </w: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940" w:type="dxa"/>
            <w:vAlign w:val="bottom"/>
          </w:tcPr>
          <w:p>
            <w:pPr>
              <w:jc w:val="center"/>
              <w:ind w:right="690"/>
              <w:spacing w:after="0"/>
              <w:rPr>
                <w:sz w:val="20"/>
                <w:szCs w:val="20"/>
                <w:color w:val="auto"/>
              </w:rPr>
            </w:pPr>
            <w:r>
              <w:rPr>
                <w:rFonts w:ascii="Arial" w:cs="Arial" w:eastAsia="Arial" w:hAnsi="Arial"/>
                <w:sz w:val="18"/>
                <w:szCs w:val="18"/>
                <w:color w:val="auto"/>
                <w:w w:val="93"/>
              </w:rPr>
              <w:t>One M &amp; T Plaza</w:t>
            </w:r>
          </w:p>
        </w:tc>
        <w:tc>
          <w:tcPr>
            <w:tcW w:w="2100" w:type="dxa"/>
            <w:vAlign w:val="bottom"/>
          </w:tcPr>
          <w:p>
            <w:pPr>
              <w:spacing w:after="0"/>
              <w:rPr>
                <w:sz w:val="24"/>
                <w:szCs w:val="24"/>
                <w:color w:val="auto"/>
              </w:rPr>
            </w:pPr>
          </w:p>
        </w:tc>
      </w:tr>
      <w:tr>
        <w:trPr>
          <w:trHeight w:val="216"/>
        </w:trPr>
        <w:tc>
          <w:tcPr>
            <w:tcW w:w="2940" w:type="dxa"/>
            <w:vAlign w:val="bottom"/>
          </w:tcPr>
          <w:p>
            <w:pPr>
              <w:jc w:val="center"/>
              <w:ind w:right="670"/>
              <w:spacing w:after="0"/>
              <w:rPr>
                <w:sz w:val="20"/>
                <w:szCs w:val="20"/>
                <w:color w:val="auto"/>
              </w:rPr>
            </w:pPr>
            <w:r>
              <w:rPr>
                <w:rFonts w:ascii="Arial" w:cs="Arial" w:eastAsia="Arial" w:hAnsi="Arial"/>
                <w:sz w:val="18"/>
                <w:szCs w:val="18"/>
                <w:color w:val="auto"/>
                <w:w w:val="95"/>
              </w:rPr>
              <w:t>Buffalo, New York</w:t>
            </w:r>
          </w:p>
        </w:tc>
        <w:tc>
          <w:tcPr>
            <w:tcW w:w="210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2940" w:type="dxa"/>
            <w:vAlign w:val="bottom"/>
          </w:tcPr>
          <w:p>
            <w:pPr>
              <w:jc w:val="center"/>
              <w:ind w:right="670"/>
              <w:spacing w:after="0"/>
              <w:rPr>
                <w:sz w:val="20"/>
                <w:szCs w:val="20"/>
                <w:color w:val="auto"/>
              </w:rPr>
            </w:pPr>
            <w:r>
              <w:rPr>
                <w:rFonts w:ascii="Arial" w:cs="Arial" w:eastAsia="Arial" w:hAnsi="Arial"/>
                <w:sz w:val="18"/>
                <w:szCs w:val="18"/>
                <w:color w:val="auto"/>
                <w:w w:val="93"/>
              </w:rPr>
              <w:t>(Address of principal</w:t>
            </w:r>
          </w:p>
        </w:tc>
        <w:tc>
          <w:tcPr>
            <w:tcW w:w="210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r>
      <w:tr>
        <w:trPr>
          <w:trHeight w:val="230"/>
        </w:trPr>
        <w:tc>
          <w:tcPr>
            <w:tcW w:w="2940" w:type="dxa"/>
            <w:vAlign w:val="bottom"/>
          </w:tcPr>
          <w:p>
            <w:pPr>
              <w:jc w:val="center"/>
              <w:ind w:right="690"/>
              <w:spacing w:after="0"/>
              <w:rPr>
                <w:sz w:val="20"/>
                <w:szCs w:val="20"/>
                <w:color w:val="auto"/>
              </w:rPr>
            </w:pPr>
            <w:r>
              <w:rPr>
                <w:rFonts w:ascii="Arial" w:cs="Arial" w:eastAsia="Arial" w:hAnsi="Arial"/>
                <w:sz w:val="18"/>
                <w:szCs w:val="18"/>
                <w:color w:val="auto"/>
                <w:w w:val="92"/>
              </w:rPr>
              <w:t>executive offices)</w:t>
            </w:r>
          </w:p>
        </w:tc>
        <w:tc>
          <w:tcPr>
            <w:tcW w:w="2100" w:type="dxa"/>
            <w:vAlign w:val="bottom"/>
          </w:tcPr>
          <w:p>
            <w:pPr>
              <w:spacing w:after="0"/>
              <w:rPr>
                <w:sz w:val="20"/>
                <w:szCs w:val="20"/>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4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definition of “accelerated filer and large accelerated filer” in Rule 12b-2 of the Exchange Act. (Check one): Large accelerated filer [x] Accelerated filer [ ] Non-accelerated filer [ ]</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 Yes [ ] No [x]</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the registrant’s Common Stock, $0.50 par value, outstanding as of the close of business on April 25, 2007: 108,239,890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M&amp;T BANK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10-Q</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Quarterly Period Ended March 31, 2007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80" w:type="dxa"/>
            <w:vAlign w:val="bottom"/>
            <w:gridSpan w:val="23"/>
          </w:tcPr>
          <w:p>
            <w:pPr>
              <w:spacing w:after="0"/>
              <w:rPr>
                <w:sz w:val="20"/>
                <w:szCs w:val="20"/>
                <w:color w:val="auto"/>
              </w:rPr>
            </w:pPr>
            <w:r>
              <w:rPr>
                <w:rFonts w:ascii="Arial" w:cs="Arial" w:eastAsia="Arial" w:hAnsi="Arial"/>
                <w:sz w:val="14"/>
                <w:szCs w:val="14"/>
                <w:b w:val="1"/>
                <w:bCs w:val="1"/>
                <w:color w:val="auto"/>
              </w:rPr>
              <w:t>Table of Contents of Information Required in Report</w:t>
            </w: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66"/>
        </w:trPr>
        <w:tc>
          <w:tcPr>
            <w:tcW w:w="1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1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r>
      <w:tr>
        <w:trPr>
          <w:trHeight w:val="237"/>
        </w:trPr>
        <w:tc>
          <w:tcPr>
            <w:tcW w:w="1068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94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 — March 31, 2007 and December 31, 2006</w:t>
              </w:r>
            </w:hyperlink>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3</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INCOME — Three months ended March 31, 2007 and 2006</w:t>
              </w:r>
            </w:hyperlink>
          </w:p>
        </w:tc>
        <w:tc>
          <w:tcPr>
            <w:tcW w:w="3280" w:type="dxa"/>
            <w:vAlign w:val="bottom"/>
            <w:gridSpan w:val="4"/>
          </w:tcPr>
          <w:p>
            <w:pPr>
              <w:spacing w:after="0"/>
              <w:rPr>
                <w:sz w:val="17"/>
                <w:szCs w:val="17"/>
                <w:color w:val="auto"/>
              </w:rPr>
            </w:pPr>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Three months ended March 31, 2007 and 2006</w:t>
              </w:r>
            </w:hyperlink>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5</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CHANGES IN STOCKHOLDERS’ EQUITY — Three months ended March 31, 2007 and 2006</w:t>
              </w:r>
            </w:hyperlink>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6</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0" w:type="dxa"/>
            <w:vAlign w:val="bottom"/>
            <w:gridSpan w:val="21"/>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SUMMARY OF CHANGES IN ALLOWANCE FOR CREDIT LOSSES — Three months ended March 31, 2007 and 2006</w:t>
              </w:r>
            </w:hyperlink>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6</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7260" w:type="dxa"/>
            <w:vAlign w:val="bottom"/>
            <w:tcBorders>
              <w:top w:val="single" w:sz="8" w:color="0000EE"/>
            </w:tcBorders>
            <w:gridSpan w:val="9"/>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7</w:t>
            </w:r>
          </w:p>
        </w:tc>
      </w:tr>
      <w:tr>
        <w:trPr>
          <w:trHeight w:val="196"/>
        </w:trPr>
        <w:tc>
          <w:tcPr>
            <w:tcW w:w="140" w:type="dxa"/>
            <w:vAlign w:val="bottom"/>
          </w:tcPr>
          <w:p>
            <w:pPr>
              <w:spacing w:after="0"/>
              <w:rPr>
                <w:sz w:val="17"/>
                <w:szCs w:val="17"/>
                <w:color w:val="auto"/>
              </w:rPr>
            </w:pPr>
          </w:p>
        </w:tc>
        <w:tc>
          <w:tcPr>
            <w:tcW w:w="1054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17</w:t>
            </w:r>
          </w:p>
        </w:tc>
      </w:tr>
      <w:tr>
        <w:trPr>
          <w:trHeight w:val="196"/>
        </w:trPr>
        <w:tc>
          <w:tcPr>
            <w:tcW w:w="1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480" w:type="dxa"/>
            <w:vAlign w:val="bottom"/>
            <w:gridSpan w:val="5"/>
          </w:tcPr>
          <w:p>
            <w:pPr>
              <w:spacing w:after="0"/>
              <w:rPr>
                <w:sz w:val="17"/>
                <w:szCs w:val="17"/>
                <w:color w:val="auto"/>
              </w:rPr>
            </w:pPr>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44</w:t>
            </w:r>
          </w:p>
        </w:tc>
      </w:tr>
      <w:tr>
        <w:trPr>
          <w:trHeight w:val="196"/>
        </w:trPr>
        <w:tc>
          <w:tcPr>
            <w:tcW w:w="140" w:type="dxa"/>
            <w:vAlign w:val="bottom"/>
          </w:tcPr>
          <w:p>
            <w:pPr>
              <w:spacing w:after="0"/>
              <w:rPr>
                <w:sz w:val="17"/>
                <w:szCs w:val="17"/>
                <w:color w:val="auto"/>
              </w:rPr>
            </w:pPr>
          </w:p>
        </w:tc>
        <w:tc>
          <w:tcPr>
            <w:tcW w:w="23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4. Controls and Procedures.</w:t>
              </w:r>
            </w:hyperlink>
          </w:p>
        </w:tc>
        <w:tc>
          <w:tcPr>
            <w:tcW w:w="8160" w:type="dxa"/>
            <w:vAlign w:val="bottom"/>
            <w:gridSpan w:val="13"/>
          </w:tcPr>
          <w:p>
            <w:pPr>
              <w:spacing w:after="0"/>
              <w:rPr>
                <w:sz w:val="17"/>
                <w:szCs w:val="17"/>
                <w:color w:val="auto"/>
              </w:rPr>
            </w:pPr>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44</w:t>
            </w:r>
          </w:p>
        </w:tc>
      </w:tr>
      <w:tr>
        <w:trPr>
          <w:trHeight w:val="196"/>
        </w:trPr>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Part II. OTHER INFORMATION</w:t>
              </w:r>
            </w:hyperlink>
          </w:p>
        </w:tc>
        <w:tc>
          <w:tcPr>
            <w:tcW w:w="8240" w:type="dxa"/>
            <w:vAlign w:val="bottom"/>
            <w:gridSpan w:val="14"/>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19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1. Legal Proceedings.</w:t>
              </w:r>
            </w:hyperlink>
          </w:p>
        </w:tc>
        <w:tc>
          <w:tcPr>
            <w:tcW w:w="8600" w:type="dxa"/>
            <w:vAlign w:val="bottom"/>
            <w:gridSpan w:val="16"/>
          </w:tcPr>
          <w:p>
            <w:pPr>
              <w:spacing w:after="0"/>
              <w:rPr>
                <w:sz w:val="17"/>
                <w:szCs w:val="17"/>
                <w:color w:val="auto"/>
              </w:rPr>
            </w:pPr>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44</w:t>
            </w:r>
          </w:p>
        </w:tc>
      </w:tr>
      <w:tr>
        <w:trPr>
          <w:trHeight w:val="196"/>
        </w:trPr>
        <w:tc>
          <w:tcPr>
            <w:tcW w:w="14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Item 1A. Risk Factors.</w:t>
              </w:r>
            </w:hyperlink>
          </w:p>
        </w:tc>
        <w:tc>
          <w:tcPr>
            <w:tcW w:w="8900" w:type="dxa"/>
            <w:vAlign w:val="bottom"/>
            <w:gridSpan w:val="18"/>
          </w:tcPr>
          <w:p>
            <w:pPr>
              <w:spacing w:after="0"/>
              <w:rPr>
                <w:sz w:val="17"/>
                <w:szCs w:val="17"/>
                <w:color w:val="auto"/>
              </w:rPr>
            </w:pPr>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44</w:t>
            </w:r>
          </w:p>
        </w:tc>
      </w:tr>
      <w:tr>
        <w:trPr>
          <w:trHeight w:val="196"/>
        </w:trPr>
        <w:tc>
          <w:tcPr>
            <w:tcW w:w="140" w:type="dxa"/>
            <w:vAlign w:val="bottom"/>
          </w:tcPr>
          <w:p>
            <w:pPr>
              <w:spacing w:after="0"/>
              <w:rPr>
                <w:sz w:val="17"/>
                <w:szCs w:val="17"/>
                <w:color w:val="auto"/>
              </w:rPr>
            </w:pPr>
          </w:p>
        </w:tc>
        <w:tc>
          <w:tcPr>
            <w:tcW w:w="49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Item 2. Unregistered Sales of Equity Securities and Use of Proceeds.</w:t>
              </w:r>
            </w:hyperlink>
          </w:p>
        </w:tc>
        <w:tc>
          <w:tcPr>
            <w:tcW w:w="5580" w:type="dxa"/>
            <w:vAlign w:val="bottom"/>
            <w:gridSpan w:val="8"/>
          </w:tcPr>
          <w:p>
            <w:pPr>
              <w:spacing w:after="0"/>
              <w:rPr>
                <w:sz w:val="17"/>
                <w:szCs w:val="17"/>
                <w:color w:val="auto"/>
              </w:rPr>
            </w:pPr>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45</w:t>
            </w:r>
          </w:p>
        </w:tc>
      </w:tr>
      <w:tr>
        <w:trPr>
          <w:trHeight w:val="196"/>
        </w:trPr>
        <w:tc>
          <w:tcPr>
            <w:tcW w:w="140" w:type="dxa"/>
            <w:vAlign w:val="bottom"/>
          </w:tcPr>
          <w:p>
            <w:pPr>
              <w:spacing w:after="0"/>
              <w:rPr>
                <w:sz w:val="17"/>
                <w:szCs w:val="17"/>
                <w:color w:val="auto"/>
              </w:rPr>
            </w:pPr>
          </w:p>
        </w:tc>
        <w:tc>
          <w:tcPr>
            <w:tcW w:w="10540" w:type="dxa"/>
            <w:vAlign w:val="bottom"/>
            <w:gridSpan w:val="2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3. Defaults Upon Senior Securities.</w:t>
              </w:r>
            </w:hyperlink>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45</w:t>
            </w: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540" w:type="dxa"/>
            <w:vAlign w:val="bottom"/>
            <w:gridSpan w:val="2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4. Submission of Matters to a Vote of Security Holders.</w:t>
              </w:r>
            </w:hyperlink>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45</w:t>
            </w:r>
          </w:p>
        </w:tc>
      </w:tr>
      <w:tr>
        <w:trPr>
          <w:trHeight w:val="196"/>
        </w:trPr>
        <w:tc>
          <w:tcPr>
            <w:tcW w:w="14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8"/>
          </w:tcPr>
          <w:p>
            <w:pPr>
              <w:spacing w:after="0"/>
              <w:rPr>
                <w:sz w:val="17"/>
                <w:szCs w:val="17"/>
                <w:color w:val="auto"/>
              </w:rPr>
            </w:pPr>
          </w:p>
        </w:tc>
        <w:tc>
          <w:tcPr>
            <w:tcW w:w="6180" w:type="dxa"/>
            <w:vAlign w:val="bottom"/>
            <w:gridSpan w:val="9"/>
          </w:tcPr>
          <w:p>
            <w:pPr>
              <w:spacing w:after="0"/>
              <w:rPr>
                <w:sz w:val="17"/>
                <w:szCs w:val="17"/>
                <w:color w:val="auto"/>
              </w:rPr>
            </w:pPr>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46</w:t>
            </w:r>
          </w:p>
        </w:tc>
      </w:tr>
      <w:tr>
        <w:trPr>
          <w:trHeight w:val="196"/>
        </w:trPr>
        <w:tc>
          <w:tcPr>
            <w:tcW w:w="140" w:type="dxa"/>
            <w:vAlign w:val="bottom"/>
          </w:tcPr>
          <w:p>
            <w:pPr>
              <w:spacing w:after="0"/>
              <w:rPr>
                <w:sz w:val="17"/>
                <w:szCs w:val="17"/>
                <w:color w:val="auto"/>
              </w:rPr>
            </w:pPr>
          </w:p>
        </w:tc>
        <w:tc>
          <w:tcPr>
            <w:tcW w:w="1054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6. Exhibits.</w:t>
              </w:r>
            </w:hyperlink>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46</w:t>
            </w: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340" w:type="dxa"/>
            <w:vAlign w:val="bottom"/>
            <w:gridSpan w:val="1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10680" w:type="dxa"/>
            <w:vAlign w:val="bottom"/>
            <w:gridSpan w:val="2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47</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340" w:type="dxa"/>
            <w:vAlign w:val="bottom"/>
            <w:gridSpan w:val="1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EXHIBIT INDEX</w:t>
              </w:r>
            </w:hyperlink>
          </w:p>
        </w:tc>
        <w:tc>
          <w:tcPr>
            <w:tcW w:w="9340" w:type="dxa"/>
            <w:vAlign w:val="bottom"/>
            <w:gridSpan w:val="19"/>
          </w:tcPr>
          <w:p>
            <w:pPr>
              <w:spacing w:after="0"/>
              <w:rPr>
                <w:sz w:val="17"/>
                <w:szCs w:val="17"/>
                <w:color w:val="auto"/>
              </w:rPr>
            </w:pPr>
          </w:p>
        </w:tc>
        <w:tc>
          <w:tcPr>
            <w:tcW w:w="7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47</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85" w:lineRule="exact"/>
        <w:rPr>
          <w:sz w:val="20"/>
          <w:szCs w:val="20"/>
          <w:color w:val="auto"/>
        </w:rPr>
      </w:pPr>
    </w:p>
    <w:p>
      <w:pPr>
        <w:ind w:right="3720" w:firstLine="3721"/>
        <w:spacing w:after="0" w:line="481" w:lineRule="auto"/>
        <w:rPr>
          <w:sz w:val="20"/>
          <w:szCs w:val="20"/>
          <w:color w:val="auto"/>
        </w:rPr>
      </w:pPr>
      <w:r>
        <w:rPr>
          <w:rFonts w:ascii="Arial" w:cs="Arial" w:eastAsia="Arial" w:hAnsi="Arial"/>
          <w:sz w:val="18"/>
          <w:szCs w:val="18"/>
          <w:color w:val="auto"/>
        </w:rPr>
        <w:t>M&amp;T BANK CORPORATION AND SUBSIDIARIES CONSOLIDATED BALANCE SHEET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82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6"/>
                <w:szCs w:val="16"/>
                <w:color w:val="auto"/>
              </w:rPr>
            </w:pPr>
          </w:p>
        </w:tc>
        <w:tc>
          <w:tcPr>
            <w:tcW w:w="14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26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Cash and due from banks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1,437,859</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1,605,506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Interest-bearing deposits at banks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7,908</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6,639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Federal funds sold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29,895</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19,458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Agreements to resell securities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Trading account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153,511</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136,752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 securities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Available for sale (cost: $6,618,021 at March 31, 2007; $6,878,332 at December 31, 2006)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6,596,289</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6,829,848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Held to maturity (market value: $67,273 at March 31, 2007; $66,729 at December 31, 2006)</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65,523</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64,899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Other (market value: $365,897 at March 31, 2007; $356,851 at December 31, 2006)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365,897</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356,851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investment securities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7,027,709</w:t>
            </w:r>
          </w:p>
        </w:tc>
        <w:tc>
          <w:tcPr>
            <w:tcW w:w="1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7"/>
              </w:rPr>
              <w:t>7,251,598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Loans and leases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43,785,246</w:t>
            </w: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43,206,954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Unearned discount</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(278,070)</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(259,657)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Allowance for credit losses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(659,757)</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(649,948)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Loans and leases, net</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42,847,419</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42,297,349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Premises and equipment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331,426</w:t>
            </w:r>
          </w:p>
        </w:tc>
        <w:tc>
          <w:tcPr>
            <w:tcW w:w="12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335,008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2,908,849</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2,908,849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Core deposit and other intangible assets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231,877</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250,233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Accrued interest and other assets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2,466,018</w:t>
            </w:r>
          </w:p>
        </w:tc>
        <w:tc>
          <w:tcPr>
            <w:tcW w:w="1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7"/>
              </w:rPr>
              <w:t>2,153,513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57,842,471</w:t>
            </w: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57,064,905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EEEEEE"/>
          </w:tcPr>
          <w:p>
            <w:pPr>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Noninterest-bearing deposits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7,614,624</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7,879,977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NOW accounts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941,300</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940,439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Savings deposits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14,460,581</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14,169,790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Time deposits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11,159,826</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11,490,629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Deposits at foreign office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4,761,575</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5,429,668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deposits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38,937,906</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39,910,503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Federal funds purchased and agreements to repurchase securities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4"/>
              </w:rPr>
              <w:t>3,548,495</w:t>
            </w:r>
          </w:p>
        </w:tc>
        <w:tc>
          <w:tcPr>
            <w:tcW w:w="12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7"/>
              </w:rPr>
              <w:t>2,531,684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short-term borrowings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500,287</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562,530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Accrued interest and other liabilities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938,290</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888,352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Long-term borrowings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7,664,309</w:t>
            </w:r>
          </w:p>
        </w:tc>
        <w:tc>
          <w:tcPr>
            <w:tcW w:w="1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7"/>
              </w:rPr>
              <w:t>6,890,741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51,589,287</w:t>
            </w: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50,783,810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Preferred stock, $1 par, 1,000,000 shares authorized, none outstanding</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1"/>
              </w:rPr>
              <w:t>Common stock, $.50 par, 250,000,000 shares authorized, 120,396,611 shares issued at March 31, 2007 and at</w:t>
            </w:r>
          </w:p>
        </w:tc>
        <w:tc>
          <w:tcPr>
            <w:tcW w:w="54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20" w:type="dxa"/>
            <w:vAlign w:val="bottom"/>
            <w:tcBorders>
              <w:right w:val="single" w:sz="8" w:color="EEEEEE"/>
            </w:tcBorders>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December 31, 2006</w:t>
            </w:r>
          </w:p>
        </w:tc>
        <w:tc>
          <w:tcPr>
            <w:tcW w:w="540" w:type="dxa"/>
            <w:vAlign w:val="bottom"/>
            <w:shd w:val="clear" w:color="auto" w:fill="EEEEEE"/>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60,198</w:t>
            </w:r>
          </w:p>
        </w:tc>
        <w:tc>
          <w:tcPr>
            <w:tcW w:w="120" w:type="dxa"/>
            <w:vAlign w:val="bottom"/>
            <w:shd w:val="clear" w:color="auto" w:fill="EEEEEE"/>
          </w:tcPr>
          <w:p>
            <w:pPr>
              <w:spacing w:after="0"/>
              <w:rPr>
                <w:sz w:val="20"/>
                <w:szCs w:val="20"/>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60,198</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Common stock issuable, 83,676 shares at March 31, 2007; 90,949 shares at December 31, 2006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2,887,623</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2,889,449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4,553,630</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4,443,441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Accumulated other comprehensive income (loss), net</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(36,167)</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(53,574)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tcPr>
          <w:p>
            <w:pPr>
              <w:ind w:left="120"/>
              <w:spacing w:after="0" w:line="201" w:lineRule="exact"/>
              <w:rPr>
                <w:sz w:val="20"/>
                <w:szCs w:val="20"/>
                <w:color w:val="auto"/>
              </w:rPr>
            </w:pPr>
            <w:r>
              <w:rPr>
                <w:rFonts w:ascii="Arial" w:cs="Arial" w:eastAsia="Arial" w:hAnsi="Arial"/>
                <w:sz w:val="18"/>
                <w:szCs w:val="18"/>
                <w:color w:val="auto"/>
                <w:w w:val="89"/>
              </w:rPr>
              <w:t>Treasury stock — common, at cost — 11,389,808 shares at March 31, 2007; 10,179,802 shares at December 31,</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gridSpan w:val="2"/>
          </w:tcPr>
          <w:p>
            <w:pPr>
              <w:ind w:left="280"/>
              <w:spacing w:after="0"/>
              <w:rPr>
                <w:sz w:val="20"/>
                <w:szCs w:val="20"/>
                <w:color w:val="auto"/>
              </w:rPr>
            </w:pPr>
            <w:r>
              <w:rPr>
                <w:rFonts w:ascii="Arial" w:cs="Arial" w:eastAsia="Arial" w:hAnsi="Arial"/>
                <w:sz w:val="18"/>
                <w:szCs w:val="18"/>
                <w:color w:val="auto"/>
              </w:rPr>
              <w:t>2006</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(1,216,839)</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(1,063,479)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stockholders’ equity</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6,253,184</w:t>
            </w:r>
          </w:p>
        </w:tc>
        <w:tc>
          <w:tcPr>
            <w:tcW w:w="1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7"/>
              </w:rPr>
              <w:t>6,281,095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57,842,471</w:t>
            </w: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57,064,905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280" w:type="dxa"/>
            <w:vAlign w:val="bottom"/>
            <w:gridSpan w:val="2"/>
            <w:vMerge w:val="restart"/>
          </w:tcPr>
          <w:p>
            <w:pPr>
              <w:jc w:val="right"/>
              <w:ind w:right="237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82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w:t>
            </w:r>
          </w:p>
        </w:tc>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86"/>
        </w:trPr>
        <w:tc>
          <w:tcPr>
            <w:tcW w:w="4880" w:type="dxa"/>
            <w:vAlign w:val="bottom"/>
            <w:gridSpan w:val="2"/>
            <w:vMerge w:val="continue"/>
          </w:tcPr>
          <w:p>
            <w:pPr>
              <w:spacing w:after="0"/>
              <w:rPr>
                <w:sz w:val="16"/>
                <w:szCs w:val="16"/>
                <w:color w:val="auto"/>
              </w:rPr>
            </w:pPr>
          </w:p>
        </w:tc>
        <w:tc>
          <w:tcPr>
            <w:tcW w:w="3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6"/>
                <w:szCs w:val="16"/>
                <w:color w:val="auto"/>
              </w:rPr>
            </w:pPr>
          </w:p>
        </w:tc>
        <w:tc>
          <w:tcPr>
            <w:tcW w:w="13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860" w:type="dxa"/>
            <w:vAlign w:val="bottom"/>
            <w:tcBorders>
              <w:bottom w:val="single" w:sz="8" w:color="808080"/>
            </w:tcBorders>
          </w:tcPr>
          <w:p>
            <w:pPr>
              <w:spacing w:after="0"/>
              <w:rPr>
                <w:sz w:val="4"/>
                <w:szCs w:val="4"/>
                <w:color w:val="auto"/>
              </w:rPr>
            </w:pPr>
          </w:p>
        </w:tc>
        <w:tc>
          <w:tcPr>
            <w:tcW w:w="378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Loans and leases, including fees</w:t>
            </w:r>
          </w:p>
        </w:tc>
        <w:tc>
          <w:tcPr>
            <w:tcW w:w="4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768,121</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680,717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Deposits at banks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Federal funds sold</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Agreements to resell securities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4,541</w:t>
            </w:r>
          </w:p>
        </w:tc>
        <w:tc>
          <w:tcPr>
            <w:tcW w:w="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Trading account</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 securities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Fully taxable</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84,674</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91,688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Exempt from federal taxes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3,276</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3,746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400"/>
              <w:spacing w:after="0"/>
              <w:rPr>
                <w:sz w:val="20"/>
                <w:szCs w:val="20"/>
                <w:color w:val="auto"/>
              </w:rPr>
            </w:pPr>
            <w:r>
              <w:rPr>
                <w:rFonts w:ascii="Arial" w:cs="Arial" w:eastAsia="Arial" w:hAnsi="Arial"/>
                <w:sz w:val="18"/>
                <w:szCs w:val="18"/>
                <w:color w:val="auto"/>
              </w:rPr>
              <w:t>Total interest income</w:t>
            </w: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861,049</w:t>
            </w:r>
          </w:p>
        </w:tc>
        <w:tc>
          <w:tcPr>
            <w:tcW w:w="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777,272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NOW accounts</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Savings deposits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60,842</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43,557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Time deposits</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136,682</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118,058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Deposits at foreign office</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47,649</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36,803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Short-term borrowings</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63,564</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50,567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Long-term borrowings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100,718</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80,602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400"/>
              <w:spacing w:after="0"/>
              <w:rPr>
                <w:sz w:val="20"/>
                <w:szCs w:val="20"/>
                <w:color w:val="auto"/>
              </w:rPr>
            </w:pPr>
            <w:r>
              <w:rPr>
                <w:rFonts w:ascii="Arial" w:cs="Arial" w:eastAsia="Arial" w:hAnsi="Arial"/>
                <w:sz w:val="18"/>
                <w:szCs w:val="18"/>
                <w:color w:val="auto"/>
              </w:rPr>
              <w:t>Total interest expense</w:t>
            </w: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410,622</w:t>
            </w:r>
          </w:p>
        </w:tc>
        <w:tc>
          <w:tcPr>
            <w:tcW w:w="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330,246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i w:val="1"/>
                <w:iCs w:val="1"/>
                <w:color w:val="auto"/>
              </w:rPr>
              <w:t>Net interest income</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450,427</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447,026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Provision for credit losses</w:t>
            </w:r>
          </w:p>
        </w:tc>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27,000</w:t>
            </w:r>
          </w:p>
        </w:tc>
        <w:tc>
          <w:tcPr>
            <w:tcW w:w="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interest income after provision for credit losses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423,427</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429,026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Other income</w:t>
            </w: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gridSpan w:val="2"/>
            <w:vMerge w:val="continue"/>
          </w:tcPr>
          <w:p>
            <w:pPr>
              <w:spacing w:after="0"/>
              <w:rPr>
                <w:sz w:val="18"/>
                <w:szCs w:val="18"/>
                <w:color w:val="auto"/>
              </w:rPr>
            </w:pP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Mortgage banking revenues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13,873</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34,511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Service charges on deposit accounts</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94,587</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88,876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Trust income</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36,973</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33,796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Brokerage services income</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15,212</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14,724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Trading account and foreign exchange gains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6,223</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6,506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Gain on bank investment securities</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revenues from operations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68,552</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74,460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400"/>
              <w:spacing w:after="0"/>
              <w:rPr>
                <w:sz w:val="20"/>
                <w:szCs w:val="20"/>
                <w:color w:val="auto"/>
              </w:rPr>
            </w:pPr>
            <w:r>
              <w:rPr>
                <w:rFonts w:ascii="Arial" w:cs="Arial" w:eastAsia="Arial" w:hAnsi="Arial"/>
                <w:sz w:val="18"/>
                <w:szCs w:val="18"/>
                <w:color w:val="auto"/>
              </w:rPr>
              <w:t>Total other income</w:t>
            </w: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236,483</w:t>
            </w:r>
          </w:p>
        </w:tc>
        <w:tc>
          <w:tcPr>
            <w:tcW w:w="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252,931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Other expense</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Salaries and employee benefits</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236,754</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224,082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Equipment and net occupancy</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42,846</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43,402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Printing, postage and supplies</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8,906</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Amortization of core deposit and other intangible assets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18,356</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13,028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Other costs of operations</w:t>
            </w:r>
          </w:p>
        </w:tc>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92,175</w:t>
            </w:r>
          </w:p>
        </w:tc>
        <w:tc>
          <w:tcPr>
            <w:tcW w:w="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92,924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other expense</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399,037</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382,003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120"/>
              <w:spacing w:after="0"/>
              <w:rPr>
                <w:sz w:val="20"/>
                <w:szCs w:val="20"/>
                <w:color w:val="auto"/>
              </w:rPr>
            </w:pPr>
            <w:r>
              <w:rPr>
                <w:rFonts w:ascii="Arial" w:cs="Arial" w:eastAsia="Arial" w:hAnsi="Arial"/>
                <w:sz w:val="18"/>
                <w:szCs w:val="18"/>
                <w:color w:val="auto"/>
              </w:rPr>
              <w:t>Income before taxes</w:t>
            </w: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260,873</w:t>
            </w:r>
          </w:p>
        </w:tc>
        <w:tc>
          <w:tcPr>
            <w:tcW w:w="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299,954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taxes</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84,900</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97,037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i w:val="1"/>
                <w:iCs w:val="1"/>
                <w:color w:val="auto"/>
              </w:rPr>
              <w:t>Net income</w:t>
            </w:r>
          </w:p>
        </w:tc>
        <w:tc>
          <w:tcPr>
            <w:tcW w:w="4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175,973</w:t>
            </w:r>
          </w:p>
        </w:tc>
        <w:tc>
          <w:tcPr>
            <w:tcW w:w="8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202,917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 per common share</w:t>
            </w:r>
          </w:p>
        </w:tc>
        <w:tc>
          <w:tcPr>
            <w:tcW w:w="37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Basic</w:t>
            </w:r>
          </w:p>
        </w:tc>
        <w:tc>
          <w:tcPr>
            <w:tcW w:w="4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Diluted</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Cash dividends per common share</w:t>
            </w:r>
          </w:p>
        </w:tc>
        <w:tc>
          <w:tcPr>
            <w:tcW w:w="4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common shares outstanding</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Basic</w:t>
            </w: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109,694</w:t>
            </w: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111,693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Diluted</w:t>
            </w:r>
          </w:p>
        </w:tc>
        <w:tc>
          <w:tcPr>
            <w:tcW w:w="3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112,187</w:t>
            </w:r>
          </w:p>
        </w:tc>
        <w:tc>
          <w:tcPr>
            <w:tcW w:w="8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114,347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780" w:type="dxa"/>
            <w:vAlign w:val="bottom"/>
          </w:tcPr>
          <w:p>
            <w:pPr>
              <w:jc w:val="right"/>
              <w:ind w:right="275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6"/>
        </w:trPr>
        <w:tc>
          <w:tcPr>
            <w:tcW w:w="83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6"/>
                <w:szCs w:val="16"/>
                <w:color w:val="auto"/>
              </w:rPr>
            </w:pPr>
          </w:p>
        </w:tc>
        <w:tc>
          <w:tcPr>
            <w:tcW w:w="14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4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175,973</w:t>
            </w:r>
          </w:p>
        </w:tc>
        <w:tc>
          <w:tcPr>
            <w:tcW w:w="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202,917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Provision for credit losses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27,000</w:t>
            </w:r>
          </w:p>
        </w:tc>
        <w:tc>
          <w:tcPr>
            <w:tcW w:w="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 of premises and equipment</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12,579</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14,089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Amortization of capitalized servicing rights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15,591</w:t>
            </w:r>
          </w:p>
        </w:tc>
        <w:tc>
          <w:tcPr>
            <w:tcW w:w="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15,137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Amortization of core deposit and other intangible assets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18,356</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13,028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Provision for deferred income taxes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(19,402)</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(34,973)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Asset write-downs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12,777</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Net gain on sales of assets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(4,808)</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change in accrued interest receivable, payable</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15,445</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28,957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Net change in other accrued income and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43,023</w:t>
            </w:r>
          </w:p>
        </w:tc>
        <w:tc>
          <w:tcPr>
            <w:tcW w:w="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64,711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change in loans originated for sale</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136,065</w:t>
            </w:r>
          </w:p>
        </w:tc>
        <w:tc>
          <w:tcPr>
            <w:tcW w:w="8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(202,464)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Net change in trading account assets and liabilities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(20,674)</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411,925</w:t>
            </w:r>
          </w:p>
        </w:tc>
        <w:tc>
          <w:tcPr>
            <w:tcW w:w="8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spacing w:after="0"/>
              <w:rPr>
                <w:sz w:val="18"/>
                <w:szCs w:val="18"/>
                <w:color w:val="auto"/>
              </w:rPr>
            </w:pPr>
          </w:p>
        </w:tc>
        <w:tc>
          <w:tcPr>
            <w:tcW w:w="74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107,965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sales of investment securities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32,362</w:t>
            </w:r>
          </w:p>
        </w:tc>
        <w:tc>
          <w:tcPr>
            <w:tcW w:w="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15,800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Proceeds from maturities of investment securities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Available for sale</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486,151</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400,731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Held to maturity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8,388</w:t>
            </w:r>
          </w:p>
        </w:tc>
        <w:tc>
          <w:tcPr>
            <w:tcW w:w="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12,743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investment securities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(257,403)</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(332,345)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Held to maturity</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(9,013)</w:t>
            </w:r>
          </w:p>
        </w:tc>
        <w:tc>
          <w:tcPr>
            <w:tcW w:w="15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(10,412)</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(23,642)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increase in loans and leases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(736,635)</w:t>
            </w:r>
          </w:p>
        </w:tc>
        <w:tc>
          <w:tcPr>
            <w:tcW w:w="15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(345,528)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Net increase in agreements to resell securities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investments, net</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(302,366)</w:t>
            </w:r>
          </w:p>
        </w:tc>
        <w:tc>
          <w:tcPr>
            <w:tcW w:w="15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Additions to capitalized servicing rights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(14,031)</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(17,358)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 net</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(8,915)</w:t>
            </w:r>
          </w:p>
        </w:tc>
        <w:tc>
          <w:tcPr>
            <w:tcW w:w="15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Acquisitions, net of cash acquired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(12,172)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27,113</w:t>
            </w:r>
          </w:p>
        </w:tc>
        <w:tc>
          <w:tcPr>
            <w:tcW w:w="8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400"/>
              <w:spacing w:after="0"/>
              <w:rPr>
                <w:sz w:val="20"/>
                <w:szCs w:val="20"/>
                <w:color w:val="auto"/>
              </w:rPr>
            </w:pPr>
            <w:r>
              <w:rPr>
                <w:rFonts w:ascii="Arial" w:cs="Arial" w:eastAsia="Arial" w:hAnsi="Arial"/>
                <w:sz w:val="18"/>
                <w:szCs w:val="18"/>
                <w:color w:val="auto"/>
              </w:rPr>
              <w:t>Net cash used by investing activities</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0"/>
              </w:rPr>
              <w:t>(1,083,396)</w:t>
            </w:r>
          </w:p>
        </w:tc>
        <w:tc>
          <w:tcPr>
            <w:tcW w:w="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0"/>
              </w:rPr>
              <w:t>(331,430)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Net increase (decrease) in deposits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(973,278)</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1,074,770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increase (decrease) in short-term borrowings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954,568</w:t>
            </w:r>
          </w:p>
        </w:tc>
        <w:tc>
          <w:tcPr>
            <w:tcW w:w="8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(801,525)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Proceeds from long-term borrowings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Payments on long-term borrowings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(27,669)</w:t>
            </w:r>
          </w:p>
        </w:tc>
        <w:tc>
          <w:tcPr>
            <w:tcW w:w="15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(600,896)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Purchases of treasury stock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(207,875)</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(137,701)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Dividends paid — common</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(65,734)</w:t>
            </w:r>
          </w:p>
        </w:tc>
        <w:tc>
          <w:tcPr>
            <w:tcW w:w="15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(50,075)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34,249</w:t>
            </w:r>
          </w:p>
        </w:tc>
        <w:tc>
          <w:tcPr>
            <w:tcW w:w="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34,912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514,261</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19,485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120"/>
              <w:spacing w:after="0"/>
              <w:rPr>
                <w:sz w:val="20"/>
                <w:szCs w:val="20"/>
                <w:color w:val="auto"/>
              </w:rPr>
            </w:pPr>
            <w:r>
              <w:rPr>
                <w:rFonts w:ascii="Arial" w:cs="Arial" w:eastAsia="Arial" w:hAnsi="Arial"/>
                <w:sz w:val="18"/>
                <w:szCs w:val="18"/>
                <w:color w:val="auto"/>
              </w:rPr>
              <w:t>Net decrease in cash and cash equivalents</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(157,210)</w:t>
            </w:r>
          </w:p>
        </w:tc>
        <w:tc>
          <w:tcPr>
            <w:tcW w:w="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(203,980)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1,624,964</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1,490,459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1,467,754</w:t>
            </w:r>
          </w:p>
        </w:tc>
        <w:tc>
          <w:tcPr>
            <w:tcW w:w="8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1,286,479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54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78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74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Interest received during the period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870,337</w:t>
            </w:r>
          </w:p>
        </w:tc>
        <w:tc>
          <w:tcPr>
            <w:tcW w:w="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781,058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paid during the period</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400,530</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300,557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Income taxes paid during the period</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1,403</w:t>
            </w:r>
          </w:p>
        </w:tc>
        <w:tc>
          <w:tcPr>
            <w:tcW w:w="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12,123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54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78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74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Loans held for sale transferred to loans held for investment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870,759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Real estate acquired in settlement of loans</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6,995</w:t>
            </w:r>
          </w:p>
        </w:tc>
        <w:tc>
          <w:tcPr>
            <w:tcW w:w="8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3,121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Acquisitions :</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Fair value of :</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Assets acquired (noncash)</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26,052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Liabilities assumed</w:t>
            </w:r>
          </w:p>
        </w:tc>
        <w:tc>
          <w:tcPr>
            <w:tcW w:w="5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16,029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360" w:type="dxa"/>
            <w:vAlign w:val="bottom"/>
            <w:gridSpan w:val="2"/>
          </w:tcPr>
          <w:p>
            <w:pPr>
              <w:jc w:val="right"/>
              <w:ind w:right="245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451"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STOCKHOLDERS’ EQUITY (Unaudited)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income (loss),</w:t>
            </w: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issuable</w:t>
            </w: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28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net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stock</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420"/>
          </w:cols>
          <w:pgMar w:left="240" w:top="419" w:right="239" w:bottom="0" w:gutter="0" w:footer="0" w:header="0"/>
        </w:sectPr>
      </w:pP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Balance — January 1, 2006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60,198</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Other comprehensive</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income, net of tax and</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reclassification</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Unrealized losses on</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228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280" w:type="dxa"/>
            <w:vAlign w:val="bottom"/>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Repayment of management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stock ownership program</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receivable</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w w:val="99"/>
              </w:rPr>
              <w:t>Stock option and purchase</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Compensation expense</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Exercises</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Directors’ stock plan</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plans, net, including</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dividend equivalents</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Common stock cash</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w w:val="97"/>
              </w:rPr>
              <w:t>dividends - $0.45 per share</w:t>
            </w:r>
          </w:p>
        </w:tc>
        <w:tc>
          <w:tcPr>
            <w:tcW w:w="28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Balance — March 31, 2006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tcBorders>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0"/>
                <w:szCs w:val="20"/>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4"/>
              </w:rPr>
              <w:t>60,198</w:t>
            </w:r>
          </w:p>
        </w:tc>
        <w:tc>
          <w:tcPr>
            <w:tcW w:w="500" w:type="dxa"/>
            <w:vAlign w:val="bottom"/>
          </w:tcPr>
          <w:p>
            <w:pPr>
              <w:spacing w:after="0"/>
              <w:rPr>
                <w:sz w:val="20"/>
                <w:szCs w:val="20"/>
                <w:color w:val="auto"/>
              </w:rPr>
            </w:pPr>
          </w:p>
        </w:tc>
        <w:tc>
          <w:tcPr>
            <w:tcW w:w="5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5,096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right w:val="single" w:sz="8" w:color="808080"/>
            </w:tcBorders>
          </w:tcPr>
          <w:p>
            <w:pPr>
              <w:spacing w:after="0"/>
              <w:rPr>
                <w:sz w:val="6"/>
                <w:szCs w:val="6"/>
                <w:color w:val="auto"/>
              </w:rPr>
            </w:pPr>
          </w:p>
        </w:tc>
        <w:tc>
          <w:tcPr>
            <w:tcW w:w="540" w:type="dxa"/>
            <w:vAlign w:val="bottom"/>
            <w:tcBorders>
              <w:right w:val="single" w:sz="8" w:color="808080"/>
            </w:tcBorders>
            <w:shd w:val="clear" w:color="auto" w:fill="808080"/>
          </w:tcPr>
          <w:p>
            <w:pPr>
              <w:spacing w:after="0"/>
              <w:rPr>
                <w:sz w:val="6"/>
                <w:szCs w:val="6"/>
                <w:color w:val="auto"/>
              </w:rPr>
            </w:pPr>
          </w:p>
        </w:tc>
        <w:tc>
          <w:tcPr>
            <w:tcW w:w="480" w:type="dxa"/>
            <w:vAlign w:val="bottom"/>
            <w:tcBorders>
              <w:right w:val="single" w:sz="8" w:color="808080"/>
            </w:tcBorders>
          </w:tcPr>
          <w:p>
            <w:pPr>
              <w:spacing w:after="0"/>
              <w:rPr>
                <w:sz w:val="6"/>
                <w:szCs w:val="6"/>
                <w:color w:val="auto"/>
              </w:rPr>
            </w:pPr>
          </w:p>
        </w:tc>
        <w:tc>
          <w:tcPr>
            <w:tcW w:w="560" w:type="dxa"/>
            <w:vAlign w:val="bottom"/>
            <w:tcBorders>
              <w:right w:val="single" w:sz="8" w:color="808080"/>
            </w:tcBorders>
            <w:shd w:val="clear" w:color="auto" w:fill="808080"/>
          </w:tcPr>
          <w:p>
            <w:pPr>
              <w:spacing w:after="0"/>
              <w:rPr>
                <w:sz w:val="6"/>
                <w:szCs w:val="6"/>
                <w:color w:val="auto"/>
              </w:rPr>
            </w:pPr>
          </w:p>
        </w:tc>
        <w:tc>
          <w:tcPr>
            <w:tcW w:w="500" w:type="dxa"/>
            <w:vAlign w:val="bottom"/>
            <w:tcBorders>
              <w:right w:val="single" w:sz="8" w:color="808080"/>
            </w:tcBorders>
          </w:tcPr>
          <w:p>
            <w:pPr>
              <w:spacing w:after="0"/>
              <w:rPr>
                <w:sz w:val="6"/>
                <w:szCs w:val="6"/>
                <w:color w:val="auto"/>
              </w:rPr>
            </w:pPr>
          </w:p>
        </w:tc>
        <w:tc>
          <w:tcPr>
            <w:tcW w:w="540" w:type="dxa"/>
            <w:vAlign w:val="bottom"/>
            <w:tcBorders>
              <w:right w:val="single" w:sz="8" w:color="808080"/>
            </w:tcBorders>
            <w:shd w:val="clear" w:color="auto" w:fill="808080"/>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Balance — January 1, 2007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60,198</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Other comprehensive</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income, net of tax and</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reclassification</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Unrealized gains on</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228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280" w:type="dxa"/>
            <w:vAlign w:val="bottom"/>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w w:val="99"/>
              </w:rPr>
              <w:t>Stock option and purchase</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Compensation expense</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Exercises</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Directors’ stock plan</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plans, net, including</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dividend equivalents</w:t>
            </w:r>
          </w:p>
        </w:tc>
        <w:tc>
          <w:tcPr>
            <w:tcW w:w="2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Common stock cash</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w w:val="97"/>
              </w:rPr>
              <w:t>dividends - $0.60 per share</w:t>
            </w:r>
          </w:p>
        </w:tc>
        <w:tc>
          <w:tcPr>
            <w:tcW w:w="28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r>
              <w:rPr>
                <w:rFonts w:ascii="Arial" w:cs="Arial" w:eastAsia="Arial" w:hAnsi="Arial"/>
                <w:sz w:val="18"/>
                <w:szCs w:val="18"/>
                <w:color w:val="auto"/>
              </w:rPr>
              <w:t>Balance — March 31, 2007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08080"/>
            </w:tcBorders>
          </w:tcPr>
          <w:p>
            <w:pPr>
              <w:ind w:left="34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0"/>
                <w:szCs w:val="20"/>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4"/>
              </w:rPr>
              <w:t>60,198</w:t>
            </w:r>
          </w:p>
        </w:tc>
        <w:tc>
          <w:tcPr>
            <w:tcW w:w="500" w:type="dxa"/>
            <w:vAlign w:val="bottom"/>
          </w:tcPr>
          <w:p>
            <w:pPr>
              <w:spacing w:after="0"/>
              <w:rPr>
                <w:sz w:val="20"/>
                <w:szCs w:val="20"/>
                <w:color w:val="auto"/>
              </w:rPr>
            </w:pPr>
          </w:p>
        </w:tc>
        <w:tc>
          <w:tcPr>
            <w:tcW w:w="5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4,739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228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0"/>
        <w:spacing w:after="0"/>
        <w:tabs>
          <w:tab w:leader="none" w:pos="1240" w:val="left"/>
          <w:tab w:leader="none" w:pos="2560" w:val="left"/>
          <w:tab w:leader="none" w:pos="3760" w:val="left"/>
          <w:tab w:leader="none" w:pos="4940" w:val="left"/>
        </w:tabs>
        <w:rPr>
          <w:sz w:val="20"/>
          <w:szCs w:val="20"/>
          <w:color w:val="auto"/>
        </w:rPr>
      </w:pPr>
      <w:r>
        <w:rPr>
          <w:rFonts w:ascii="Arial" w:cs="Arial" w:eastAsia="Arial" w:hAnsi="Arial"/>
          <w:sz w:val="18"/>
          <w:szCs w:val="18"/>
          <w:color w:val="auto"/>
        </w:rPr>
        <w:t>2,886,153</w:t>
      </w:r>
      <w:r>
        <w:rPr>
          <w:sz w:val="20"/>
          <w:szCs w:val="20"/>
          <w:color w:val="auto"/>
        </w:rPr>
        <w:tab/>
      </w:r>
      <w:r>
        <w:rPr>
          <w:rFonts w:ascii="Arial" w:cs="Arial" w:eastAsia="Arial" w:hAnsi="Arial"/>
          <w:sz w:val="18"/>
          <w:szCs w:val="18"/>
          <w:color w:val="auto"/>
        </w:rPr>
        <w:t>3,854,275</w:t>
      </w:r>
      <w:r>
        <w:rPr>
          <w:sz w:val="20"/>
          <w:szCs w:val="20"/>
          <w:color w:val="auto"/>
        </w:rPr>
        <w:tab/>
      </w:r>
      <w:r>
        <w:rPr>
          <w:rFonts w:ascii="Arial" w:cs="Arial" w:eastAsia="Arial" w:hAnsi="Arial"/>
          <w:sz w:val="18"/>
          <w:szCs w:val="18"/>
          <w:color w:val="auto"/>
        </w:rPr>
        <w:t>(97,930)</w:t>
      </w:r>
      <w:r>
        <w:rPr>
          <w:sz w:val="20"/>
          <w:szCs w:val="20"/>
          <w:color w:val="auto"/>
        </w:rPr>
        <w:tab/>
      </w:r>
      <w:r>
        <w:rPr>
          <w:rFonts w:ascii="Arial" w:cs="Arial" w:eastAsia="Arial" w:hAnsi="Arial"/>
          <w:sz w:val="18"/>
          <w:szCs w:val="18"/>
          <w:color w:val="auto"/>
        </w:rPr>
        <w:t>(831,673)</w:t>
      </w:r>
      <w:r>
        <w:rPr>
          <w:sz w:val="20"/>
          <w:szCs w:val="20"/>
          <w:color w:val="auto"/>
        </w:rPr>
        <w:tab/>
      </w:r>
      <w:r>
        <w:rPr>
          <w:rFonts w:ascii="Arial" w:cs="Arial" w:eastAsia="Arial" w:hAnsi="Arial"/>
          <w:sz w:val="16"/>
          <w:szCs w:val="16"/>
          <w:color w:val="auto"/>
        </w:rPr>
        <w:t>5,876,386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-259080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560"/>
        <w:spacing w:after="0"/>
        <w:tabs>
          <w:tab w:leader="none" w:pos="1360" w:val="left"/>
          <w:tab w:leader="none" w:pos="2940" w:val="left"/>
          <w:tab w:leader="none" w:pos="4220" w:val="left"/>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202,917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202,917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spacing w:after="0"/>
        <w:tabs>
          <w:tab w:leader="none" w:pos="1780" w:val="left"/>
          <w:tab w:leader="none" w:pos="2560" w:val="left"/>
          <w:tab w:leader="none" w:pos="4220" w:val="left"/>
          <w:tab w:leader="none" w:pos="5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(24,957)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23495</wp:posOffset>
            </wp:positionV>
            <wp:extent cx="462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177,960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60"/>
        <w:spacing w:after="0"/>
        <w:tabs>
          <w:tab w:leader="none" w:pos="1780" w:val="left"/>
          <w:tab w:leader="none" w:pos="2940" w:val="left"/>
          <w:tab w:leader="none" w:pos="3760" w:val="left"/>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(137,701)</w:t>
      </w:r>
      <w:r>
        <w:rPr>
          <w:sz w:val="20"/>
          <w:szCs w:val="20"/>
          <w:color w:val="auto"/>
        </w:rPr>
        <w:tab/>
      </w:r>
      <w:r>
        <w:rPr>
          <w:rFonts w:ascii="Arial" w:cs="Arial" w:eastAsia="Arial" w:hAnsi="Arial"/>
          <w:sz w:val="16"/>
          <w:szCs w:val="16"/>
          <w:color w:val="auto"/>
        </w:rPr>
        <w:t>(137,701)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5715</wp:posOffset>
            </wp:positionV>
            <wp:extent cx="72466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80"/>
        <w:spacing w:after="0"/>
        <w:tabs>
          <w:tab w:leader="none" w:pos="1780" w:val="left"/>
          <w:tab w:leader="none" w:pos="2940" w:val="left"/>
          <w:tab w:leader="none" w:pos="4220" w:val="left"/>
          <w:tab w:leader="none" w:pos="53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289560</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17,682</w:t>
            </w:r>
          </w:p>
        </w:tc>
        <w:tc>
          <w:tcPr>
            <w:tcW w:w="5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17,682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(20,649)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55,385</w:t>
            </w:r>
          </w:p>
        </w:tc>
        <w:tc>
          <w:tcPr>
            <w:tcW w:w="5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34,736</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(365)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5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(50,075)</w:t>
            </w: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(50,075)</w:t>
            </w:r>
          </w:p>
        </w:tc>
      </w:tr>
      <w:tr>
        <w:trPr>
          <w:trHeight w:val="235"/>
        </w:trPr>
        <w:tc>
          <w:tcPr>
            <w:tcW w:w="20" w:type="dxa"/>
            <w:vAlign w:val="bottom"/>
          </w:tcPr>
          <w:p>
            <w:pPr>
              <w:spacing w:after="0"/>
              <w:rPr>
                <w:sz w:val="20"/>
                <w:szCs w:val="20"/>
                <w:color w:val="auto"/>
              </w:rPr>
            </w:pP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2,883,068</w:t>
            </w:r>
          </w:p>
        </w:tc>
        <w:tc>
          <w:tcPr>
            <w:tcW w:w="500" w:type="dxa"/>
            <w:vAlign w:val="bottom"/>
          </w:tcPr>
          <w:p>
            <w:pPr>
              <w:spacing w:after="0"/>
              <w:rPr>
                <w:sz w:val="20"/>
                <w:szCs w:val="20"/>
                <w:color w:val="auto"/>
              </w:rPr>
            </w:pPr>
          </w:p>
        </w:tc>
        <w:tc>
          <w:tcPr>
            <w:tcW w:w="7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9"/>
              </w:rPr>
              <w:t>4,007,075</w:t>
            </w:r>
          </w:p>
        </w:tc>
        <w:tc>
          <w:tcPr>
            <w:tcW w:w="500" w:type="dxa"/>
            <w:vAlign w:val="bottom"/>
          </w:tcPr>
          <w:p>
            <w:pPr>
              <w:spacing w:after="0"/>
              <w:rPr>
                <w:sz w:val="20"/>
                <w:szCs w:val="20"/>
                <w:color w:val="auto"/>
              </w:rPr>
            </w:pPr>
          </w:p>
        </w:tc>
        <w:tc>
          <w:tcPr>
            <w:tcW w:w="6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(122,887)</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5"/>
              </w:rPr>
              <w:t>(913,081)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5,919,469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5"/>
        </w:trPr>
        <w:tc>
          <w:tcPr>
            <w:tcW w:w="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660" w:type="dxa"/>
            <w:vAlign w:val="bottom"/>
            <w:gridSpan w:val="2"/>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80" w:type="dxa"/>
            <w:vAlign w:val="bottom"/>
            <w:gridSpan w:val="2"/>
            <w:shd w:val="clear" w:color="auto" w:fill="808080"/>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40" w:type="dxa"/>
            <w:vAlign w:val="bottom"/>
            <w:gridSpan w:val="2"/>
            <w:shd w:val="clear" w:color="auto" w:fill="808080"/>
          </w:tcPr>
          <w:p>
            <w:pPr>
              <w:spacing w:after="0"/>
              <w:rPr>
                <w:sz w:val="5"/>
                <w:szCs w:val="5"/>
                <w:color w:val="auto"/>
              </w:rPr>
            </w:pPr>
          </w:p>
        </w:tc>
        <w:tc>
          <w:tcPr>
            <w:tcW w:w="40" w:type="dxa"/>
            <w:vAlign w:val="bottom"/>
          </w:tcPr>
          <w:p>
            <w:pPr>
              <w:spacing w:after="0"/>
              <w:rPr>
                <w:sz w:val="5"/>
                <w:szCs w:val="5"/>
                <w:color w:val="auto"/>
              </w:rPr>
            </w:pPr>
          </w:p>
        </w:tc>
      </w:tr>
      <w:tr>
        <w:trPr>
          <w:trHeight w:val="442"/>
        </w:trPr>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2,889,449</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4,443,441</w:t>
            </w:r>
          </w:p>
        </w:tc>
        <w:tc>
          <w:tcPr>
            <w:tcW w:w="500" w:type="dxa"/>
            <w:vAlign w:val="bottom"/>
          </w:tcPr>
          <w:p>
            <w:pPr>
              <w:spacing w:after="0"/>
              <w:rPr>
                <w:sz w:val="24"/>
                <w:szCs w:val="2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(53,574)</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(1,063,479)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6,281,095</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175,973</w:t>
            </w:r>
          </w:p>
        </w:tc>
        <w:tc>
          <w:tcPr>
            <w:tcW w:w="500" w:type="dxa"/>
            <w:vAlign w:val="bottom"/>
          </w:tcPr>
          <w:p>
            <w:pPr>
              <w:spacing w:after="0"/>
              <w:rPr>
                <w:sz w:val="24"/>
                <w:szCs w:val="24"/>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175,973</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-1723390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-1448435</wp:posOffset>
            </wp:positionV>
            <wp:extent cx="72466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-736600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-410845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-136525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548640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
        <w:spacing w:after="0"/>
        <w:tabs>
          <w:tab w:leader="none" w:pos="1780" w:val="left"/>
          <w:tab w:leader="none" w:pos="2620" w:val="left"/>
          <w:tab w:leader="none" w:pos="4220" w:val="left"/>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17,407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23495</wp:posOffset>
            </wp:positionV>
            <wp:extent cx="4629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193,380</w:t>
      </w:r>
    </w:p>
    <w:p>
      <w:pPr>
        <w:spacing w:after="0" w:line="23" w:lineRule="exact"/>
        <w:rPr>
          <w:sz w:val="20"/>
          <w:szCs w:val="20"/>
          <w:color w:val="auto"/>
        </w:rPr>
      </w:pPr>
    </w:p>
    <w:p>
      <w:pPr>
        <w:ind w:left="560"/>
        <w:spacing w:after="0"/>
        <w:tabs>
          <w:tab w:leader="none" w:pos="1780" w:val="left"/>
          <w:tab w:leader="none" w:pos="2940" w:val="left"/>
          <w:tab w:leader="none" w:pos="3760" w:val="left"/>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(207,875)</w:t>
      </w:r>
      <w:r>
        <w:rPr>
          <w:sz w:val="20"/>
          <w:szCs w:val="20"/>
          <w:color w:val="auto"/>
        </w:rPr>
        <w:tab/>
      </w:r>
      <w:r>
        <w:rPr>
          <w:rFonts w:ascii="Arial" w:cs="Arial" w:eastAsia="Arial" w:hAnsi="Arial"/>
          <w:sz w:val="16"/>
          <w:szCs w:val="16"/>
          <w:color w:val="auto"/>
        </w:rPr>
        <w:t>(207,875)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280035</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18,811</w:t>
            </w:r>
          </w:p>
        </w:tc>
        <w:tc>
          <w:tcPr>
            <w:tcW w:w="5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(20,264)</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53,497</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33,233</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280</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(420)</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738</w:t>
            </w:r>
          </w:p>
        </w:tc>
        <w:tc>
          <w:tcPr>
            <w:tcW w:w="5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439"/>
        </w:trPr>
        <w:tc>
          <w:tcPr>
            <w:tcW w:w="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(65,734)</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(65,734)</w:t>
            </w:r>
          </w:p>
        </w:tc>
      </w:tr>
      <w:tr>
        <w:trPr>
          <w:trHeight w:val="235"/>
        </w:trPr>
        <w:tc>
          <w:tcPr>
            <w:tcW w:w="20" w:type="dxa"/>
            <w:vAlign w:val="bottom"/>
          </w:tcPr>
          <w:p>
            <w:pPr>
              <w:spacing w:after="0"/>
              <w:rPr>
                <w:sz w:val="20"/>
                <w:szCs w:val="20"/>
                <w:color w:val="auto"/>
              </w:rPr>
            </w:pP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2,887,623</w:t>
            </w:r>
          </w:p>
        </w:tc>
        <w:tc>
          <w:tcPr>
            <w:tcW w:w="500" w:type="dxa"/>
            <w:vAlign w:val="bottom"/>
          </w:tcPr>
          <w:p>
            <w:pPr>
              <w:spacing w:after="0"/>
              <w:rPr>
                <w:sz w:val="20"/>
                <w:szCs w:val="20"/>
                <w:color w:val="auto"/>
              </w:rPr>
            </w:pPr>
          </w:p>
        </w:tc>
        <w:tc>
          <w:tcPr>
            <w:tcW w:w="7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9"/>
              </w:rPr>
              <w:t>4,553,630</w:t>
            </w:r>
          </w:p>
        </w:tc>
        <w:tc>
          <w:tcPr>
            <w:tcW w:w="500" w:type="dxa"/>
            <w:vAlign w:val="bottom"/>
          </w:tcPr>
          <w:p>
            <w:pPr>
              <w:spacing w:after="0"/>
              <w:rPr>
                <w:sz w:val="20"/>
                <w:szCs w:val="20"/>
                <w:color w:val="auto"/>
              </w:rPr>
            </w:pPr>
          </w:p>
        </w:tc>
        <w:tc>
          <w:tcPr>
            <w:tcW w:w="6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2"/>
              </w:rPr>
              <w:t>(36,167)</w:t>
            </w:r>
          </w:p>
        </w:tc>
        <w:tc>
          <w:tcPr>
            <w:tcW w:w="500" w:type="dxa"/>
            <w:vAlign w:val="bottom"/>
          </w:tcPr>
          <w:p>
            <w:pPr>
              <w:spacing w:after="0"/>
              <w:rPr>
                <w:sz w:val="20"/>
                <w:szCs w:val="20"/>
                <w:color w:val="auto"/>
              </w:rPr>
            </w:pPr>
          </w:p>
        </w:tc>
        <w:tc>
          <w:tcPr>
            <w:tcW w:w="7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(1,216,839)</w:t>
            </w:r>
          </w:p>
        </w:tc>
        <w:tc>
          <w:tcPr>
            <w:tcW w:w="520" w:type="dxa"/>
            <w:vAlign w:val="bottom"/>
          </w:tcPr>
          <w:p>
            <w:pPr>
              <w:spacing w:after="0"/>
              <w:rPr>
                <w:sz w:val="20"/>
                <w:szCs w:val="20"/>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6,253,184</w:t>
            </w:r>
          </w:p>
        </w:tc>
        <w:tc>
          <w:tcPr>
            <w:tcW w:w="40" w:type="dxa"/>
            <w:vAlign w:val="bottom"/>
          </w:tcPr>
          <w:p>
            <w:pPr>
              <w:spacing w:after="0"/>
              <w:rPr>
                <w:sz w:val="20"/>
                <w:szCs w:val="20"/>
                <w:color w:val="auto"/>
              </w:rPr>
            </w:pPr>
          </w:p>
        </w:tc>
      </w:tr>
      <w:tr>
        <w:trPr>
          <w:trHeight w:val="65"/>
        </w:trPr>
        <w:tc>
          <w:tcPr>
            <w:tcW w:w="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-1167765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-893445</wp:posOffset>
            </wp:positionV>
            <wp:extent cx="72466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-181610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220" w:space="420"/>
            <w:col w:w="5780"/>
          </w:cols>
          <w:pgMar w:left="240" w:top="419" w:right="239" w:bottom="0" w:gutter="0" w:footer="0" w:header="0"/>
          <w:type w:val="continuous"/>
        </w:sectPr>
      </w:pPr>
    </w:p>
    <w:p>
      <w:pPr>
        <w:spacing w:after="0"/>
        <w:rPr>
          <w:sz w:val="20"/>
          <w:szCs w:val="20"/>
          <w:color w:val="auto"/>
        </w:rPr>
      </w:pPr>
      <w:r>
        <w:rPr>
          <w:rFonts w:ascii="Arial" w:cs="Arial" w:eastAsia="Arial" w:hAnsi="Arial"/>
          <w:sz w:val="18"/>
          <w:szCs w:val="18"/>
          <w:color w:val="auto"/>
        </w:rPr>
        <w:t>CONSOLIDATED SUMMARY OF CHANGES IN ALLOWANCE FOR CREDIT LOSSES (Unaudited)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2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86"/>
        </w:trPr>
        <w:tc>
          <w:tcPr>
            <w:tcW w:w="8660" w:type="dxa"/>
            <w:vAlign w:val="bottom"/>
            <w:vMerge w:val="continue"/>
          </w:tcPr>
          <w:p>
            <w:pPr>
              <w:spacing w:after="0"/>
              <w:rPr>
                <w:sz w:val="16"/>
                <w:szCs w:val="16"/>
                <w:color w:val="auto"/>
              </w:rPr>
            </w:pPr>
          </w:p>
        </w:tc>
        <w:tc>
          <w:tcPr>
            <w:tcW w:w="13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2007</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53"/>
        </w:trPr>
        <w:tc>
          <w:tcPr>
            <w:tcW w:w="866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ectPr>
          <w:pgSz w:w="11900" w:h="16838" w:orient="portrait"/>
          <w:cols w:equalWidth="0" w:num="1">
            <w:col w:w="11420"/>
          </w:cols>
          <w:pgMar w:left="240" w:top="419"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478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$649,948</w:t>
            </w: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637,663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4780" w:type="dxa"/>
            <w:vAlign w:val="bottom"/>
          </w:tcPr>
          <w:p>
            <w:pPr>
              <w:jc w:val="right"/>
              <w:ind w:right="310"/>
              <w:spacing w:after="0"/>
              <w:rPr>
                <w:sz w:val="20"/>
                <w:szCs w:val="20"/>
                <w:color w:val="auto"/>
              </w:rPr>
            </w:pPr>
            <w:r>
              <w:rPr>
                <w:rFonts w:ascii="Arial" w:cs="Arial" w:eastAsia="Arial" w:hAnsi="Arial"/>
                <w:sz w:val="18"/>
                <w:szCs w:val="18"/>
                <w:color w:val="auto"/>
              </w:rPr>
              <w:t>27,000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18,000</w:t>
            </w: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Net charge-offs</w:t>
            </w:r>
          </w:p>
        </w:tc>
        <w:tc>
          <w:tcPr>
            <w:tcW w:w="47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r>
    </w:tbl>
    <w:p>
      <w:pPr>
        <w:sectPr>
          <w:pgSz w:w="11900" w:h="16838" w:orient="portrait"/>
          <w:cols w:equalWidth="0" w:num="1">
            <w:col w:w="11420"/>
          </w:cols>
          <w:pgMar w:left="240" w:top="419" w:right="23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Charge-offs</w:t>
            </w:r>
          </w:p>
        </w:tc>
        <w:tc>
          <w:tcPr>
            <w:tcW w:w="7040" w:type="dxa"/>
            <w:vAlign w:val="bottom"/>
            <w:gridSpan w:val="3"/>
          </w:tcPr>
          <w:p>
            <w:pPr>
              <w:jc w:val="right"/>
              <w:ind w:right="720"/>
              <w:spacing w:after="0"/>
              <w:rPr>
                <w:sz w:val="20"/>
                <w:szCs w:val="20"/>
                <w:color w:val="auto"/>
              </w:rPr>
            </w:pPr>
            <w:r>
              <w:rPr>
                <w:rFonts w:ascii="Arial" w:cs="Arial" w:eastAsia="Arial" w:hAnsi="Arial"/>
                <w:sz w:val="18"/>
                <w:szCs w:val="18"/>
                <w:color w:val="auto"/>
              </w:rPr>
              <w:t>(24,507)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Recoveries</w:t>
            </w:r>
          </w:p>
        </w:tc>
        <w:tc>
          <w:tcPr>
            <w:tcW w:w="566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7,316</w:t>
            </w:r>
          </w:p>
        </w:tc>
        <w:tc>
          <w:tcPr>
            <w:tcW w:w="78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ind w:left="260"/>
              <w:spacing w:after="0"/>
              <w:rPr>
                <w:sz w:val="20"/>
                <w:szCs w:val="20"/>
                <w:color w:val="auto"/>
              </w:rPr>
            </w:pPr>
            <w:r>
              <w:rPr>
                <w:rFonts w:ascii="Arial" w:cs="Arial" w:eastAsia="Arial" w:hAnsi="Arial"/>
                <w:sz w:val="18"/>
                <w:szCs w:val="18"/>
                <w:color w:val="auto"/>
              </w:rPr>
              <w:t>Total net charge-offs</w:t>
            </w:r>
          </w:p>
        </w:tc>
        <w:tc>
          <w:tcPr>
            <w:tcW w:w="7040" w:type="dxa"/>
            <w:vAlign w:val="bottom"/>
            <w:gridSpan w:val="3"/>
          </w:tcPr>
          <w:p>
            <w:pPr>
              <w:jc w:val="right"/>
              <w:ind w:right="720"/>
              <w:spacing w:after="0"/>
              <w:rPr>
                <w:sz w:val="20"/>
                <w:szCs w:val="20"/>
                <w:color w:val="auto"/>
              </w:rPr>
            </w:pPr>
            <w:r>
              <w:rPr>
                <w:rFonts w:ascii="Arial" w:cs="Arial" w:eastAsia="Arial" w:hAnsi="Arial"/>
                <w:sz w:val="18"/>
                <w:szCs w:val="18"/>
                <w:color w:val="auto"/>
              </w:rPr>
              <w:t>(17,191)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(16,832)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6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$659,757</w:t>
            </w:r>
          </w:p>
        </w:tc>
        <w:tc>
          <w:tcPr>
            <w:tcW w:w="780" w:type="dxa"/>
            <w:vAlign w:val="bottom"/>
            <w:shd w:val="clear" w:color="auto" w:fill="EEEEEE"/>
          </w:tcPr>
          <w:p>
            <w:pPr>
              <w:spacing w:after="0"/>
              <w:rPr>
                <w:sz w:val="22"/>
                <w:szCs w:val="22"/>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638,831</w:t>
            </w:r>
          </w:p>
        </w:tc>
        <w:tc>
          <w:tcPr>
            <w:tcW w:w="1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660" w:type="dxa"/>
            <w:vAlign w:val="bottom"/>
            <w:tcBorders>
              <w:top w:val="single" w:sz="8" w:color="EEEEEE"/>
            </w:tcBorders>
          </w:tcPr>
          <w:p>
            <w:pPr>
              <w:spacing w:after="0"/>
              <w:rPr>
                <w:sz w:val="24"/>
                <w:szCs w:val="24"/>
                <w:color w:val="auto"/>
              </w:rPr>
            </w:pPr>
          </w:p>
        </w:tc>
        <w:tc>
          <w:tcPr>
            <w:tcW w:w="5660" w:type="dxa"/>
            <w:vAlign w:val="bottom"/>
            <w:tcBorders>
              <w:top w:val="single" w:sz="8" w:color="EEEEEE"/>
            </w:tcBorders>
          </w:tcPr>
          <w:p>
            <w:pPr>
              <w:jc w:val="right"/>
              <w:ind w:right="3430"/>
              <w:spacing w:after="0"/>
              <w:rPr>
                <w:sz w:val="20"/>
                <w:szCs w:val="20"/>
                <w:color w:val="auto"/>
              </w:rPr>
            </w:pPr>
            <w:r>
              <w:rPr>
                <w:rFonts w:ascii="Arial" w:cs="Arial" w:eastAsia="Arial" w:hAnsi="Arial"/>
                <w:sz w:val="18"/>
                <w:szCs w:val="18"/>
                <w:color w:val="auto"/>
              </w:rPr>
              <w:t>-6-</w:t>
            </w:r>
          </w:p>
        </w:tc>
        <w:tc>
          <w:tcPr>
            <w:tcW w:w="600" w:type="dxa"/>
            <w:vAlign w:val="bottom"/>
            <w:tcBorders>
              <w:top w:val="single" w:sz="8" w:color="808080"/>
            </w:tcBorders>
          </w:tcPr>
          <w:p>
            <w:pPr>
              <w:spacing w:after="0"/>
              <w:rPr>
                <w:sz w:val="24"/>
                <w:szCs w:val="24"/>
                <w:color w:val="auto"/>
              </w:rPr>
            </w:pPr>
          </w:p>
        </w:tc>
        <w:tc>
          <w:tcPr>
            <w:tcW w:w="780" w:type="dxa"/>
            <w:vAlign w:val="bottom"/>
            <w:tcBorders>
              <w:top w:val="single" w:sz="8" w:color="EEEEEE"/>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8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consolidated financial statements of M&amp;T Bank Corporation (“M&amp;T”) and subsidiaries (“the Company”) were compiled in accordance with the accounting policies set forth in note 1 of Notes to Financial Statements included in the Company’s 2006 Annual Report, except as described below. In the opinion of management, all adjustments necessary for a fair presentation have been made and were all of a normal recurring nature.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share follow:</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142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March 31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3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0" w:type="dxa"/>
            <w:vAlign w:val="bottom"/>
          </w:tcPr>
          <w:p>
            <w:pPr>
              <w:spacing w:after="0"/>
              <w:rPr>
                <w:sz w:val="4"/>
                <w:szCs w:val="4"/>
                <w:color w:val="auto"/>
              </w:rPr>
            </w:pPr>
          </w:p>
        </w:tc>
        <w:tc>
          <w:tcPr>
            <w:tcW w:w="7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Borders>
              <w:bottom w:val="single" w:sz="8" w:color="808080"/>
            </w:tcBorders>
            <w:gridSpan w:val="3"/>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2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0"/>
              </w:rPr>
              <w:t>(in thousands, except per share)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Income available to common stockholders</w:t>
            </w: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2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175,973</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202,917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shares outstanding (including common stock issuable)</w:t>
            </w: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109,694</w:t>
            </w: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111,693</w:t>
            </w: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20" w:type="dxa"/>
            <w:vAlign w:val="bottom"/>
            <w:gridSpan w:val="2"/>
          </w:tcPr>
          <w:p>
            <w:pPr>
              <w:ind w:left="58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20" w:type="dxa"/>
            <w:vAlign w:val="bottom"/>
            <w:gridSpan w:val="2"/>
          </w:tcPr>
          <w:p>
            <w:pPr>
              <w:jc w:val="right"/>
              <w:ind w:right="3770"/>
              <w:spacing w:after="0"/>
              <w:rPr>
                <w:sz w:val="20"/>
                <w:szCs w:val="20"/>
                <w:color w:val="auto"/>
              </w:rPr>
            </w:pPr>
            <w:r>
              <w:rPr>
                <w:rFonts w:ascii="Arial" w:cs="Arial" w:eastAsia="Arial" w:hAnsi="Arial"/>
                <w:sz w:val="18"/>
                <w:szCs w:val="18"/>
                <w:color w:val="auto"/>
                <w:w w:val="91"/>
              </w:rPr>
              <w:t>The computations of diluted earnings per share follow:</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5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142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March 31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3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0" w:type="dxa"/>
            <w:vAlign w:val="bottom"/>
          </w:tcPr>
          <w:p>
            <w:pPr>
              <w:spacing w:after="0"/>
              <w:rPr>
                <w:sz w:val="4"/>
                <w:szCs w:val="4"/>
                <w:color w:val="auto"/>
              </w:rPr>
            </w:pPr>
          </w:p>
        </w:tc>
        <w:tc>
          <w:tcPr>
            <w:tcW w:w="7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Borders>
              <w:bottom w:val="single" w:sz="8" w:color="808080"/>
            </w:tcBorders>
            <w:gridSpan w:val="3"/>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2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0"/>
              </w:rPr>
              <w:t>(in thousands, except per share)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175,973</w:t>
            </w: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202,917</w:t>
            </w: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20" w:type="dxa"/>
            <w:vAlign w:val="bottom"/>
            <w:gridSpan w:val="2"/>
          </w:tcPr>
          <w:p>
            <w:pPr>
              <w:ind w:left="580"/>
              <w:spacing w:after="0"/>
              <w:rPr>
                <w:sz w:val="20"/>
                <w:szCs w:val="20"/>
                <w:color w:val="auto"/>
              </w:rPr>
            </w:pPr>
            <w:r>
              <w:rPr>
                <w:rFonts w:ascii="Arial" w:cs="Arial" w:eastAsia="Arial" w:hAnsi="Arial"/>
                <w:sz w:val="18"/>
                <w:szCs w:val="18"/>
                <w:color w:val="auto"/>
              </w:rPr>
              <w:t>Weighted-average shares outstanding</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109,694</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111,693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Plus: incremental shares from assumed conversion of stock-based compensation awards</w:t>
            </w: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2,493</w:t>
            </w:r>
          </w:p>
        </w:tc>
        <w:tc>
          <w:tcPr>
            <w:tcW w:w="700" w:type="dxa"/>
            <w:vAlign w:val="bottom"/>
            <w:gridSpan w:val="3"/>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2,654</w:t>
            </w: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20" w:type="dxa"/>
            <w:vAlign w:val="bottom"/>
            <w:gridSpan w:val="2"/>
          </w:tcPr>
          <w:p>
            <w:pPr>
              <w:ind w:left="580"/>
              <w:spacing w:after="0"/>
              <w:rPr>
                <w:sz w:val="20"/>
                <w:szCs w:val="20"/>
                <w:color w:val="auto"/>
              </w:rPr>
            </w:pPr>
            <w:r>
              <w:rPr>
                <w:rFonts w:ascii="Arial" w:cs="Arial" w:eastAsia="Arial" w:hAnsi="Arial"/>
                <w:sz w:val="18"/>
                <w:szCs w:val="18"/>
                <w:color w:val="auto"/>
              </w:rPr>
              <w:t>Adjusted weighted-average shares outstanding</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112,187</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114,347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820" w:type="dxa"/>
            <w:vAlign w:val="bottom"/>
            <w:gridSpan w:val="2"/>
          </w:tcPr>
          <w:p>
            <w:pPr>
              <w:jc w:val="right"/>
              <w:ind w:right="1910"/>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7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gridSpan w:val="8"/>
          </w:tcPr>
          <w:p>
            <w:pPr>
              <w:jc w:val="center"/>
              <w:ind w:left="344"/>
              <w:spacing w:after="0"/>
              <w:rPr>
                <w:sz w:val="20"/>
                <w:szCs w:val="20"/>
                <w:color w:val="auto"/>
              </w:rPr>
            </w:pPr>
            <w:r>
              <w:rPr>
                <w:rFonts w:ascii="Arial" w:cs="Arial" w:eastAsia="Arial" w:hAnsi="Arial"/>
                <w:sz w:val="14"/>
                <w:szCs w:val="14"/>
                <w:b w:val="1"/>
                <w:bCs w:val="1"/>
                <w:color w:val="auto"/>
                <w:w w:val="93"/>
              </w:rPr>
              <w:t>Three months ended March 31, 2007</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Before-tax</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taxes</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Unrealized gains on investment securities:</w:t>
            </w:r>
          </w:p>
        </w:tc>
        <w:tc>
          <w:tcPr>
            <w:tcW w:w="5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Unrealized holding gains during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$ 27,815</w:t>
            </w:r>
          </w:p>
        </w:tc>
        <w:tc>
          <w:tcPr>
            <w:tcW w:w="320" w:type="dxa"/>
            <w:vAlign w:val="bottom"/>
          </w:tcPr>
          <w:p>
            <w:pPr>
              <w:spacing w:after="0"/>
              <w:rPr>
                <w:sz w:val="18"/>
                <w:szCs w:val="18"/>
                <w:color w:val="auto"/>
              </w:rPr>
            </w:pPr>
          </w:p>
        </w:tc>
        <w:tc>
          <w:tcPr>
            <w:tcW w:w="1680" w:type="dxa"/>
            <w:vAlign w:val="bottom"/>
            <w:gridSpan w:val="5"/>
          </w:tcPr>
          <w:p>
            <w:pPr>
              <w:jc w:val="right"/>
              <w:ind w:right="100"/>
              <w:spacing w:after="0"/>
              <w:rPr>
                <w:sz w:val="20"/>
                <w:szCs w:val="20"/>
                <w:color w:val="auto"/>
              </w:rPr>
            </w:pPr>
            <w:r>
              <w:rPr>
                <w:rFonts w:ascii="Arial" w:cs="Arial" w:eastAsia="Arial" w:hAnsi="Arial"/>
                <w:sz w:val="18"/>
                <w:szCs w:val="18"/>
                <w:color w:val="auto"/>
              </w:rPr>
              <w:t>(9,751)</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18,064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1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1,063</w:t>
            </w:r>
          </w:p>
        </w:tc>
        <w:tc>
          <w:tcPr>
            <w:tcW w:w="320" w:type="dxa"/>
            <w:vAlign w:val="bottom"/>
            <w:shd w:val="clear" w:color="auto" w:fill="EEEEEE"/>
          </w:tcPr>
          <w:p>
            <w:pPr>
              <w:spacing w:after="0"/>
              <w:rPr>
                <w:sz w:val="18"/>
                <w:szCs w:val="18"/>
                <w:color w:val="auto"/>
              </w:rPr>
            </w:pPr>
          </w:p>
        </w:tc>
        <w:tc>
          <w:tcPr>
            <w:tcW w:w="168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120"/>
              <w:spacing w:after="0"/>
              <w:rPr>
                <w:sz w:val="20"/>
                <w:szCs w:val="20"/>
                <w:color w:val="auto"/>
              </w:rPr>
            </w:pPr>
            <w:r>
              <w:rPr>
                <w:rFonts w:ascii="Arial" w:cs="Arial" w:eastAsia="Arial" w:hAnsi="Arial"/>
                <w:sz w:val="18"/>
                <w:szCs w:val="18"/>
                <w:color w:val="auto"/>
              </w:rPr>
              <w:t>Net unrealized gains</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26,752</w:t>
            </w:r>
          </w:p>
        </w:tc>
        <w:tc>
          <w:tcPr>
            <w:tcW w:w="320" w:type="dxa"/>
            <w:vAlign w:val="bottom"/>
          </w:tcPr>
          <w:p>
            <w:pPr>
              <w:spacing w:after="0"/>
              <w:rPr>
                <w:sz w:val="19"/>
                <w:szCs w:val="19"/>
                <w:color w:val="auto"/>
              </w:rPr>
            </w:pPr>
          </w:p>
        </w:tc>
        <w:tc>
          <w:tcPr>
            <w:tcW w:w="1040" w:type="dxa"/>
            <w:vAlign w:val="bottom"/>
            <w:gridSpan w:val="3"/>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0"/>
              </w:rPr>
              <w:t>(9,345)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17,407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gridSpan w:val="4"/>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gridSpan w:val="2"/>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gridSpan w:val="8"/>
          </w:tcPr>
          <w:p>
            <w:pPr>
              <w:jc w:val="center"/>
              <w:ind w:left="344"/>
              <w:spacing w:after="0"/>
              <w:rPr>
                <w:sz w:val="20"/>
                <w:szCs w:val="20"/>
                <w:color w:val="auto"/>
              </w:rPr>
            </w:pPr>
            <w:r>
              <w:rPr>
                <w:rFonts w:ascii="Arial" w:cs="Arial" w:eastAsia="Arial" w:hAnsi="Arial"/>
                <w:sz w:val="14"/>
                <w:szCs w:val="14"/>
                <w:b w:val="1"/>
                <w:bCs w:val="1"/>
                <w:color w:val="auto"/>
                <w:w w:val="93"/>
              </w:rPr>
              <w:t>Three months ended March 31, 2006</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gridSpan w:val="2"/>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gridSpan w:val="4"/>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Before-tax</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taxes</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Borders>
              <w:bottom w:val="single" w:sz="8" w:color="808080"/>
            </w:tcBorders>
            <w:gridSpan w:val="3"/>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Unrealized losses on investment securities:</w:t>
            </w:r>
          </w:p>
        </w:tc>
        <w:tc>
          <w:tcPr>
            <w:tcW w:w="5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Unrealized holding losses during period</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$(45,508)</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20,586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1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EEEEE"/>
          </w:tcPr>
          <w:p>
            <w:pPr>
              <w:spacing w:after="0"/>
              <w:rPr>
                <w:sz w:val="18"/>
                <w:szCs w:val="18"/>
                <w:color w:val="auto"/>
              </w:rPr>
            </w:pPr>
          </w:p>
        </w:tc>
        <w:tc>
          <w:tcPr>
            <w:tcW w:w="168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Net unrealized losses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(45,566)</w:t>
            </w:r>
          </w:p>
        </w:tc>
        <w:tc>
          <w:tcPr>
            <w:tcW w:w="320" w:type="dxa"/>
            <w:vAlign w:val="bottom"/>
          </w:tcPr>
          <w:p>
            <w:pPr>
              <w:spacing w:after="0"/>
              <w:rPr>
                <w:sz w:val="19"/>
                <w:szCs w:val="19"/>
                <w:color w:val="auto"/>
              </w:rPr>
            </w:pPr>
          </w:p>
        </w:tc>
        <w:tc>
          <w:tcPr>
            <w:tcW w:w="1040" w:type="dxa"/>
            <w:vAlign w:val="bottom"/>
            <w:gridSpan w:val="3"/>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20,609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7"/>
              </w:rPr>
              <w:t>(24,957)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Investment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Defined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benefit</w:t>
            </w:r>
          </w:p>
        </w:tc>
        <w:tc>
          <w:tcPr>
            <w:tcW w:w="8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7"/>
              </w:rPr>
              <w:t>securities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plans</w:t>
            </w: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Balance — January 1, 2007</w:t>
            </w:r>
          </w:p>
        </w:tc>
        <w:tc>
          <w:tcPr>
            <w:tcW w:w="1860" w:type="dxa"/>
            <w:vAlign w:val="bottom"/>
            <w:tcBorders>
              <w:right w:val="single" w:sz="8" w:color="EEEEEE"/>
            </w:tcBorders>
            <w:gridSpan w:val="2"/>
            <w:shd w:val="clear" w:color="auto" w:fill="EEEEEE"/>
          </w:tcPr>
          <w:p>
            <w:pPr>
              <w:ind w:left="17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9"/>
              </w:rPr>
              <w:t>(25,311)</w:t>
            </w:r>
          </w:p>
        </w:tc>
        <w:tc>
          <w:tcPr>
            <w:tcW w:w="10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(28,263)</w:t>
            </w:r>
          </w:p>
        </w:tc>
        <w:tc>
          <w:tcPr>
            <w:tcW w:w="3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(53,574)</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 gain during period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17,407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17,407</w:t>
            </w: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00" w:type="dxa"/>
            <w:vAlign w:val="bottom"/>
            <w:vMerge w:val="continue"/>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Balance — March 31, 2007</w:t>
            </w:r>
          </w:p>
        </w:tc>
        <w:tc>
          <w:tcPr>
            <w:tcW w:w="1860" w:type="dxa"/>
            <w:vAlign w:val="bottom"/>
            <w:tcBorders>
              <w:right w:val="single" w:sz="8" w:color="EEEEEE"/>
            </w:tcBorders>
            <w:gridSpan w:val="2"/>
            <w:shd w:val="clear" w:color="auto" w:fill="EEEEEE"/>
          </w:tcPr>
          <w:p>
            <w:pPr>
              <w:ind w:left="17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(7,904)</w:t>
            </w:r>
          </w:p>
        </w:tc>
        <w:tc>
          <w:tcPr>
            <w:tcW w:w="10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(28,263)</w:t>
            </w:r>
          </w:p>
        </w:tc>
        <w:tc>
          <w:tcPr>
            <w:tcW w:w="3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(36,167)</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00" w:type="dxa"/>
            <w:vAlign w:val="bottom"/>
          </w:tcPr>
          <w:p>
            <w:pPr>
              <w:spacing w:after="0"/>
              <w:rPr>
                <w:sz w:val="3"/>
                <w:szCs w:val="3"/>
                <w:color w:val="auto"/>
              </w:rPr>
            </w:pPr>
          </w:p>
        </w:tc>
        <w:tc>
          <w:tcPr>
            <w:tcW w:w="2800" w:type="dxa"/>
            <w:vAlign w:val="bottom"/>
            <w:tcBorders>
              <w:top w:val="single" w:sz="8" w:color="EEEEEE"/>
            </w:tcBorders>
          </w:tcPr>
          <w:p>
            <w:pPr>
              <w:spacing w:after="0"/>
              <w:rPr>
                <w:sz w:val="3"/>
                <w:szCs w:val="3"/>
                <w:color w:val="auto"/>
              </w:rPr>
            </w:pPr>
          </w:p>
        </w:tc>
        <w:tc>
          <w:tcPr>
            <w:tcW w:w="1860" w:type="dxa"/>
            <w:vAlign w:val="bottom"/>
            <w:tcBorders>
              <w:top w:val="single" w:sz="8" w:color="EEEEEE"/>
              <w:right w:val="single" w:sz="8" w:color="808080"/>
            </w:tcBorders>
            <w:gridSpan w:val="2"/>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60" w:type="dxa"/>
            <w:vAlign w:val="bottom"/>
            <w:tcBorders>
              <w:top w:val="single" w:sz="8" w:color="EEEEEE"/>
              <w:left w:val="single" w:sz="8" w:color="808080"/>
            </w:tcBorders>
          </w:tcPr>
          <w:p>
            <w:pPr>
              <w:spacing w:after="0"/>
              <w:rPr>
                <w:sz w:val="3"/>
                <w:szCs w:val="3"/>
                <w:color w:val="auto"/>
              </w:rPr>
            </w:pPr>
          </w:p>
        </w:tc>
        <w:tc>
          <w:tcPr>
            <w:tcW w:w="420" w:type="dxa"/>
            <w:vAlign w:val="bottom"/>
            <w:tcBorders>
              <w:top w:val="single" w:sz="8" w:color="EEEEEE"/>
              <w:right w:val="single" w:sz="8" w:color="808080"/>
            </w:tcBorders>
            <w:gridSpan w:val="2"/>
          </w:tcPr>
          <w:p>
            <w:pPr>
              <w:spacing w:after="0"/>
              <w:rPr>
                <w:sz w:val="3"/>
                <w:szCs w:val="3"/>
                <w:color w:val="auto"/>
              </w:rPr>
            </w:pPr>
          </w:p>
        </w:tc>
        <w:tc>
          <w:tcPr>
            <w:tcW w:w="54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EEEEEE"/>
              <w:left w:val="single" w:sz="8" w:color="808080"/>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80" w:type="dxa"/>
            <w:vAlign w:val="bottom"/>
            <w:tcBorders>
              <w:top w:val="single" w:sz="8" w:color="EEEEEE"/>
              <w:right w:val="single" w:sz="8" w:color="808080"/>
            </w:tcBorders>
          </w:tcPr>
          <w:p>
            <w:pPr>
              <w:spacing w:after="0"/>
              <w:rPr>
                <w:sz w:val="3"/>
                <w:szCs w:val="3"/>
                <w:color w:val="auto"/>
              </w:rPr>
            </w:pPr>
          </w:p>
        </w:tc>
        <w:tc>
          <w:tcPr>
            <w:tcW w:w="640" w:type="dxa"/>
            <w:vAlign w:val="bottom"/>
            <w:tcBorders>
              <w:top w:val="single" w:sz="8" w:color="808080"/>
            </w:tcBorders>
            <w:shd w:val="clear" w:color="auto" w:fill="808080"/>
          </w:tcPr>
          <w:p>
            <w:pPr>
              <w:spacing w:after="0"/>
              <w:rPr>
                <w:sz w:val="3"/>
                <w:szCs w:val="3"/>
                <w:color w:val="auto"/>
              </w:rPr>
            </w:pPr>
          </w:p>
        </w:tc>
        <w:tc>
          <w:tcPr>
            <w:tcW w:w="60" w:type="dxa"/>
            <w:vAlign w:val="bottom"/>
            <w:tcBorders>
              <w:top w:val="single" w:sz="8" w:color="EEEEEE"/>
              <w:left w:val="single" w:sz="8" w:color="808080"/>
            </w:tcBorders>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Balance — January 1, 2006</w:t>
            </w:r>
          </w:p>
        </w:tc>
        <w:tc>
          <w:tcPr>
            <w:tcW w:w="1860" w:type="dxa"/>
            <w:vAlign w:val="bottom"/>
            <w:gridSpan w:val="2"/>
          </w:tcPr>
          <w:p>
            <w:pPr>
              <w:ind w:left="176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(48,576)</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(49,354)</w:t>
            </w:r>
          </w:p>
        </w:tc>
        <w:tc>
          <w:tcPr>
            <w:tcW w:w="3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(97,930)</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Net loss during period</w:t>
            </w:r>
          </w:p>
        </w:tc>
        <w:tc>
          <w:tcPr>
            <w:tcW w:w="17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9"/>
              </w:rPr>
              <w:t>(24,957)</w:t>
            </w:r>
          </w:p>
        </w:tc>
        <w:tc>
          <w:tcPr>
            <w:tcW w:w="34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(24,957)</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800" w:type="dxa"/>
            <w:vAlign w:val="bottom"/>
            <w:gridSpan w:val="2"/>
          </w:tcPr>
          <w:p>
            <w:pPr>
              <w:ind w:left="2000"/>
              <w:spacing w:after="0"/>
              <w:rPr>
                <w:sz w:val="20"/>
                <w:szCs w:val="20"/>
                <w:color w:val="auto"/>
              </w:rPr>
            </w:pPr>
            <w:r>
              <w:rPr>
                <w:rFonts w:ascii="Arial" w:cs="Arial" w:eastAsia="Arial" w:hAnsi="Arial"/>
                <w:sz w:val="18"/>
                <w:szCs w:val="18"/>
                <w:color w:val="auto"/>
              </w:rPr>
              <w:t>Balance — March 31, 2006</w:t>
            </w:r>
          </w:p>
        </w:tc>
        <w:tc>
          <w:tcPr>
            <w:tcW w:w="1860" w:type="dxa"/>
            <w:vAlign w:val="bottom"/>
            <w:gridSpan w:val="2"/>
          </w:tcPr>
          <w:p>
            <w:pPr>
              <w:ind w:left="176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(73,533)</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(49,354)</w:t>
            </w:r>
          </w:p>
        </w:tc>
        <w:tc>
          <w:tcPr>
            <w:tcW w:w="3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(122,887)</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760" w:type="dxa"/>
            <w:vAlign w:val="bottom"/>
            <w:vMerge w:val="restart"/>
          </w:tcPr>
          <w:p>
            <w:pPr>
              <w:jc w:val="right"/>
              <w:ind w:right="662"/>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0" w:type="dxa"/>
            <w:vAlign w:val="bottom"/>
            <w:tcBorders>
              <w:left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Borders>
              <w:left w:val="single" w:sz="8" w:color="808080"/>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M&amp;T Capital Trust I (“Trust I”), M&amp;T Capital Trust II (“Trust II”), and M&amp;T Capital Trust III (“Trust III”) have issued fixed rate preferred capital securities aggregating $310 million. First Maryland Capital I (“Trust IV”) and First Maryland Capital II (“Trust V”) have issued floating rate preferred capital securities aggregating $300 million. The distribution rates on the preferred capital securities of Trust IV and Trust V adjust quarterly based on changes in the three-month London Interbank Offered Rate (“LIBOR”) and were 6.36% and 6.21%, respectively, at March 31, 2007 and 6.37% and 6.22%, respectively, at December 31, 2006. Trust I, Trust II, Trust III, Trust IV and Trust V are referred to herein collectively as the “Trusts.”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Other than the following payment terms (and the redemption terms described below), the preferred capital securities issued by the Trusts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are substantially identical in all material respects:</w:t>
      </w:r>
    </w:p>
    <w:p>
      <w:pPr>
        <w:spacing w:after="0" w:line="37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Trust</w:t>
            </w:r>
          </w:p>
        </w:tc>
        <w:tc>
          <w:tcPr>
            <w:tcW w:w="2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260" w:type="dxa"/>
            <w:vAlign w:val="bottom"/>
          </w:tcPr>
          <w:p>
            <w:pPr>
              <w:spacing w:after="0"/>
              <w:rPr>
                <w:sz w:val="14"/>
                <w:szCs w:val="14"/>
                <w:color w:val="auto"/>
              </w:rPr>
            </w:pPr>
          </w:p>
        </w:tc>
        <w:tc>
          <w:tcPr>
            <w:tcW w:w="5200" w:type="dxa"/>
            <w:vAlign w:val="bottom"/>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0" w:type="dxa"/>
            <w:vAlign w:val="bottom"/>
          </w:tcPr>
          <w:p>
            <w:pPr>
              <w:spacing w:after="0"/>
              <w:rPr>
                <w:sz w:val="1"/>
                <w:szCs w:val="1"/>
                <w:color w:val="auto"/>
              </w:rPr>
            </w:pPr>
          </w:p>
        </w:tc>
      </w:tr>
      <w:tr>
        <w:trPr>
          <w:trHeight w:val="186"/>
        </w:trPr>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rate</w:t>
            </w:r>
          </w:p>
        </w:tc>
        <w:tc>
          <w:tcPr>
            <w:tcW w:w="260" w:type="dxa"/>
            <w:vAlign w:val="bottom"/>
          </w:tcPr>
          <w:p>
            <w:pPr>
              <w:spacing w:after="0"/>
              <w:rPr>
                <w:sz w:val="16"/>
                <w:szCs w:val="16"/>
                <w:color w:val="auto"/>
              </w:rPr>
            </w:pPr>
          </w:p>
        </w:tc>
        <w:tc>
          <w:tcPr>
            <w:tcW w:w="5200" w:type="dxa"/>
            <w:vAlign w:val="bottom"/>
          </w:tcPr>
          <w:p>
            <w:pPr>
              <w:jc w:val="center"/>
              <w:spacing w:after="0"/>
              <w:rPr>
                <w:sz w:val="20"/>
                <w:szCs w:val="20"/>
                <w:color w:val="auto"/>
              </w:rPr>
            </w:pPr>
            <w:r>
              <w:rPr>
                <w:rFonts w:ascii="Arial" w:cs="Arial" w:eastAsia="Arial" w:hAnsi="Arial"/>
                <w:sz w:val="14"/>
                <w:szCs w:val="14"/>
                <w:b w:val="1"/>
                <w:bCs w:val="1"/>
                <w:color w:val="auto"/>
                <w:w w:val="87"/>
              </w:rPr>
              <w:t>dates</w:t>
            </w:r>
          </w:p>
        </w:tc>
        <w:tc>
          <w:tcPr>
            <w:tcW w:w="0" w:type="dxa"/>
            <w:vAlign w:val="bottom"/>
          </w:tcPr>
          <w:p>
            <w:pPr>
              <w:spacing w:after="0"/>
              <w:rPr>
                <w:sz w:val="1"/>
                <w:szCs w:val="1"/>
                <w:color w:val="auto"/>
              </w:rPr>
            </w:pPr>
          </w:p>
        </w:tc>
      </w:tr>
      <w:tr>
        <w:trPr>
          <w:trHeight w:val="53"/>
        </w:trPr>
        <w:tc>
          <w:tcPr>
            <w:tcW w:w="9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Trust I</w:t>
            </w:r>
          </w:p>
        </w:tc>
        <w:tc>
          <w:tcPr>
            <w:tcW w:w="21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8.234%</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Trust II</w:t>
            </w:r>
          </w:p>
        </w:tc>
        <w:tc>
          <w:tcPr>
            <w:tcW w:w="21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8.277%</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June 1 and December 1</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Trust III</w:t>
            </w:r>
          </w:p>
        </w:tc>
        <w:tc>
          <w:tcPr>
            <w:tcW w:w="21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9.25%</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Trust IV</w:t>
            </w:r>
          </w:p>
        </w:tc>
        <w:tc>
          <w:tcPr>
            <w:tcW w:w="2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LIBOR plus 1.00%</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January 15, April 15, July 15 and October 15</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Trust V</w:t>
            </w:r>
          </w:p>
        </w:tc>
        <w:tc>
          <w:tcPr>
            <w:tcW w:w="2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LIBOR plus .85%</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February 1, May 1, August 1 and November 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Trust</w:t>
            </w:r>
          </w:p>
        </w:tc>
        <w:tc>
          <w:tcPr>
            <w:tcW w:w="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42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Arial" w:cs="Arial" w:eastAsia="Arial" w:hAnsi="Arial"/>
                <w:sz w:val="14"/>
                <w:szCs w:val="14"/>
                <w:b w:val="1"/>
                <w:bCs w:val="1"/>
                <w:color w:val="auto"/>
                <w:w w:val="98"/>
              </w:rPr>
              <w:t>Common</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b w:val="1"/>
                <w:bCs w:val="1"/>
                <w:color w:val="auto"/>
              </w:rPr>
              <w:t>Junior Subordinated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420" w:type="dxa"/>
            <w:vAlign w:val="bottom"/>
          </w:tcPr>
          <w:p>
            <w:pPr>
              <w:spacing w:after="0"/>
              <w:rPr>
                <w:sz w:val="16"/>
                <w:szCs w:val="16"/>
                <w:color w:val="auto"/>
              </w:rPr>
            </w:pPr>
          </w:p>
        </w:tc>
        <w:tc>
          <w:tcPr>
            <w:tcW w:w="1060" w:type="dxa"/>
            <w:vAlign w:val="bottom"/>
          </w:tcPr>
          <w:p>
            <w:pPr>
              <w:ind w:left="420"/>
              <w:spacing w:after="0"/>
              <w:rPr>
                <w:sz w:val="20"/>
                <w:szCs w:val="20"/>
                <w:color w:val="auto"/>
              </w:rPr>
            </w:pPr>
            <w:r>
              <w:rPr>
                <w:rFonts w:ascii="Arial" w:cs="Arial" w:eastAsia="Arial" w:hAnsi="Arial"/>
                <w:sz w:val="14"/>
                <w:szCs w:val="14"/>
                <w:b w:val="1"/>
                <w:bCs w:val="1"/>
                <w:color w:val="auto"/>
                <w:w w:val="92"/>
              </w:rPr>
              <w:t>Securities</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tcPr>
          <w:p>
            <w:pPr>
              <w:ind w:left="1440"/>
              <w:spacing w:after="0"/>
              <w:rPr>
                <w:sz w:val="20"/>
                <w:szCs w:val="20"/>
                <w:color w:val="auto"/>
              </w:rPr>
            </w:pPr>
            <w:r>
              <w:rPr>
                <w:rFonts w:ascii="Arial" w:cs="Arial" w:eastAsia="Arial" w:hAnsi="Arial"/>
                <w:sz w:val="14"/>
                <w:szCs w:val="14"/>
                <w:b w:val="1"/>
                <w:bCs w:val="1"/>
                <w:color w:val="auto"/>
              </w:rPr>
              <w:t>Debentures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358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Trust I</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rPr>
              <w:t>$150 million</w:t>
            </w:r>
          </w:p>
        </w:tc>
        <w:tc>
          <w:tcPr>
            <w:tcW w:w="4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$4.64 million</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4"/>
              </w:rPr>
              <w:t>$154.64 million aggregate liquidation amount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8"/>
              </w:rPr>
              <w:t>8.234% Junior Subordinated Debentures due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February 1, 2027.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Trust II</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rPr>
              <w:t>$100 million</w:t>
            </w:r>
          </w:p>
        </w:tc>
        <w:tc>
          <w:tcPr>
            <w:tcW w:w="4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$3.09 million</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4"/>
              </w:rPr>
              <w:t>$103.09 million aggregate liquidation amount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8"/>
              </w:rPr>
              <w:t>8.277% Junior Subordinated Debentures due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June 1, 2027.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Trust III</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rPr>
              <w:t>$60 million</w:t>
            </w:r>
          </w:p>
        </w:tc>
        <w:tc>
          <w:tcPr>
            <w:tcW w:w="4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3"/>
              </w:rPr>
              <w:t>$1.856 million</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4"/>
              </w:rPr>
              <w:t>$61.856 million aggregate liquidation amount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9.25% Junior Subordinated Debentures due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February 1, 2027.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-9-</w:t>
            </w:r>
          </w:p>
        </w:tc>
        <w:tc>
          <w:tcPr>
            <w:tcW w:w="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3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Trust</w:t>
            </w:r>
          </w:p>
        </w:tc>
        <w:tc>
          <w:tcPr>
            <w:tcW w:w="4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4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Common</w:t>
            </w:r>
          </w:p>
        </w:tc>
        <w:tc>
          <w:tcPr>
            <w:tcW w:w="420" w:type="dxa"/>
            <w:vAlign w:val="bottom"/>
          </w:tcPr>
          <w:p>
            <w:pPr>
              <w:spacing w:after="0"/>
              <w:rPr>
                <w:sz w:val="14"/>
                <w:szCs w:val="14"/>
                <w:color w:val="auto"/>
              </w:rPr>
            </w:pPr>
          </w:p>
        </w:tc>
        <w:tc>
          <w:tcPr>
            <w:tcW w:w="3400" w:type="dxa"/>
            <w:vAlign w:val="bottom"/>
          </w:tcPr>
          <w:p>
            <w:pPr>
              <w:ind w:left="1060"/>
              <w:spacing w:after="0"/>
              <w:rPr>
                <w:sz w:val="20"/>
                <w:szCs w:val="20"/>
                <w:color w:val="auto"/>
              </w:rPr>
            </w:pPr>
            <w:r>
              <w:rPr>
                <w:rFonts w:ascii="Arial" w:cs="Arial" w:eastAsia="Arial" w:hAnsi="Arial"/>
                <w:sz w:val="14"/>
                <w:szCs w:val="14"/>
                <w:b w:val="1"/>
                <w:bCs w:val="1"/>
                <w:color w:val="auto"/>
              </w:rPr>
              <w:t>Junior Subordinated</w:t>
            </w:r>
          </w:p>
        </w:tc>
        <w:tc>
          <w:tcPr>
            <w:tcW w:w="0" w:type="dxa"/>
            <w:vAlign w:val="bottom"/>
          </w:tcPr>
          <w:p>
            <w:pPr>
              <w:spacing w:after="0"/>
              <w:rPr>
                <w:sz w:val="1"/>
                <w:szCs w:val="1"/>
                <w:color w:val="auto"/>
              </w:rPr>
            </w:pPr>
          </w:p>
        </w:tc>
      </w:tr>
      <w:tr>
        <w:trPr>
          <w:trHeight w:val="186"/>
        </w:trPr>
        <w:tc>
          <w:tcPr>
            <w:tcW w:w="11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420" w:type="dxa"/>
            <w:vAlign w:val="bottom"/>
          </w:tcPr>
          <w:p>
            <w:pPr>
              <w:spacing w:after="0"/>
              <w:rPr>
                <w:sz w:val="16"/>
                <w:szCs w:val="16"/>
                <w:color w:val="auto"/>
              </w:rPr>
            </w:pP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Securities</w:t>
            </w:r>
          </w:p>
        </w:tc>
        <w:tc>
          <w:tcPr>
            <w:tcW w:w="420" w:type="dxa"/>
            <w:vAlign w:val="bottom"/>
          </w:tcPr>
          <w:p>
            <w:pPr>
              <w:spacing w:after="0"/>
              <w:rPr>
                <w:sz w:val="16"/>
                <w:szCs w:val="16"/>
                <w:color w:val="auto"/>
              </w:rPr>
            </w:pPr>
          </w:p>
        </w:tc>
        <w:tc>
          <w:tcPr>
            <w:tcW w:w="3400" w:type="dxa"/>
            <w:vAlign w:val="bottom"/>
          </w:tcPr>
          <w:p>
            <w:pPr>
              <w:ind w:left="1340"/>
              <w:spacing w:after="0"/>
              <w:rPr>
                <w:sz w:val="20"/>
                <w:szCs w:val="20"/>
                <w:color w:val="auto"/>
              </w:rPr>
            </w:pPr>
            <w:r>
              <w:rPr>
                <w:rFonts w:ascii="Arial" w:cs="Arial" w:eastAsia="Arial" w:hAnsi="Arial"/>
                <w:sz w:val="14"/>
                <w:szCs w:val="14"/>
                <w:b w:val="1"/>
                <w:bCs w:val="1"/>
                <w:color w:val="auto"/>
              </w:rPr>
              <w:t>Debentures</w:t>
            </w:r>
          </w:p>
        </w:tc>
        <w:tc>
          <w:tcPr>
            <w:tcW w:w="0" w:type="dxa"/>
            <w:vAlign w:val="bottom"/>
          </w:tcPr>
          <w:p>
            <w:pPr>
              <w:spacing w:after="0"/>
              <w:rPr>
                <w:sz w:val="1"/>
                <w:szCs w:val="1"/>
                <w:color w:val="auto"/>
              </w:rPr>
            </w:pPr>
          </w:p>
        </w:tc>
      </w:tr>
      <w:tr>
        <w:trPr>
          <w:trHeight w:val="53"/>
        </w:trPr>
        <w:tc>
          <w:tcPr>
            <w:tcW w:w="112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4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3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Trust IV</w:t>
            </w:r>
          </w:p>
        </w:tc>
        <w:tc>
          <w:tcPr>
            <w:tcW w:w="1720" w:type="dxa"/>
            <w:vAlign w:val="bottom"/>
            <w:gridSpan w:val="2"/>
          </w:tcPr>
          <w:p>
            <w:pPr>
              <w:ind w:left="440"/>
              <w:spacing w:after="0"/>
              <w:rPr>
                <w:sz w:val="20"/>
                <w:szCs w:val="20"/>
                <w:color w:val="auto"/>
              </w:rPr>
            </w:pPr>
            <w:r>
              <w:rPr>
                <w:rFonts w:ascii="Arial" w:cs="Arial" w:eastAsia="Arial" w:hAnsi="Arial"/>
                <w:sz w:val="18"/>
                <w:szCs w:val="18"/>
                <w:color w:val="auto"/>
              </w:rPr>
              <w:t>$150 million</w:t>
            </w:r>
          </w:p>
        </w:tc>
        <w:tc>
          <w:tcPr>
            <w:tcW w:w="1880" w:type="dxa"/>
            <w:vAlign w:val="bottom"/>
            <w:gridSpan w:val="2"/>
          </w:tcPr>
          <w:p>
            <w:pPr>
              <w:ind w:left="420"/>
              <w:spacing w:after="0"/>
              <w:rPr>
                <w:sz w:val="20"/>
                <w:szCs w:val="20"/>
                <w:color w:val="auto"/>
              </w:rPr>
            </w:pPr>
            <w:r>
              <w:rPr>
                <w:rFonts w:ascii="Arial" w:cs="Arial" w:eastAsia="Arial" w:hAnsi="Arial"/>
                <w:sz w:val="18"/>
                <w:szCs w:val="18"/>
                <w:color w:val="auto"/>
              </w:rPr>
              <w:t>$4.64 million</w:t>
            </w:r>
          </w:p>
        </w:tc>
        <w:tc>
          <w:tcPr>
            <w:tcW w:w="42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4"/>
              </w:rPr>
              <w:t>$154.64 million aggregate liquidation amount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of Floating Rate Junior Subordinated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Debentures due January 15, 2027.</w:t>
            </w: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Trust V</w:t>
            </w:r>
          </w:p>
        </w:tc>
        <w:tc>
          <w:tcPr>
            <w:tcW w:w="1720" w:type="dxa"/>
            <w:vAlign w:val="bottom"/>
            <w:gridSpan w:val="2"/>
          </w:tcPr>
          <w:p>
            <w:pPr>
              <w:ind w:left="440"/>
              <w:spacing w:after="0"/>
              <w:rPr>
                <w:sz w:val="20"/>
                <w:szCs w:val="20"/>
                <w:color w:val="auto"/>
              </w:rPr>
            </w:pPr>
            <w:r>
              <w:rPr>
                <w:rFonts w:ascii="Arial" w:cs="Arial" w:eastAsia="Arial" w:hAnsi="Arial"/>
                <w:sz w:val="18"/>
                <w:szCs w:val="18"/>
                <w:color w:val="auto"/>
              </w:rPr>
              <w:t>$150 million</w:t>
            </w:r>
          </w:p>
        </w:tc>
        <w:tc>
          <w:tcPr>
            <w:tcW w:w="1880" w:type="dxa"/>
            <w:vAlign w:val="bottom"/>
            <w:gridSpan w:val="2"/>
          </w:tcPr>
          <w:p>
            <w:pPr>
              <w:ind w:left="420"/>
              <w:spacing w:after="0"/>
              <w:rPr>
                <w:sz w:val="20"/>
                <w:szCs w:val="20"/>
                <w:color w:val="auto"/>
              </w:rPr>
            </w:pPr>
            <w:r>
              <w:rPr>
                <w:rFonts w:ascii="Arial" w:cs="Arial" w:eastAsia="Arial" w:hAnsi="Arial"/>
                <w:sz w:val="18"/>
                <w:szCs w:val="18"/>
                <w:color w:val="auto"/>
              </w:rPr>
              <w:t>$4.64 million</w:t>
            </w:r>
          </w:p>
        </w:tc>
        <w:tc>
          <w:tcPr>
            <w:tcW w:w="42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4"/>
              </w:rPr>
              <w:t>$154.64 million aggregate liquidation amount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of Floating Rate Junior Subordinated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Debentures due February 1, 2027.</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of Trust III, Trust IV and Trust V at March 31, 2007 and December 31, 2006 include the unamortized portions of purchase accounting adjustments to reflect estimated fair value as of the date of M&amp;T’s acquisition of the common securities of each respective trust. The interest rates payable on the Junior Subordinated Debentures of Trust IV and Trust V were 6.36% and 6.21%, respectively, at March 31, 2007 and 6.37% and 6.22%, respectively, at December 31, 2006.</w:t>
      </w:r>
    </w:p>
    <w:p>
      <w:pPr>
        <w:spacing w:after="0" w:line="13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and Trust III) or twenty quarterly periods (in the case of Trust IV and Trust V), in which case payment of distributions on the respective Capital Securities will be deferred for comparable periods. During an extended interest period, M&amp;T may not pay dividends or distributions on, or repurchase, redeem or acquire any shares of its capital stock.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(“Events”) set forth in the indentures relating to the Capital Securities, and in whole or in part at any time after the stated optional redemption dates (January 15, 2007 in the case of Trust IV, February 1, 2007 in the case of Trust I, Trust III and Trust V, and June 1, 2007 in the case of Trust II) contemporaneously with the optional redemption of the related Junior Subordinated Debentures in whole or in part. The Junior Subordinated Debentures are redeemable prior to their stated maturity dates at M&amp;T’s option (i) on or after the stated optional redemption dates, in whole at any time or in part from time to time, or (ii) in whole, but not in part, at any time within 90 days following the occurrence and during the continuation of one or more of the Events, in each case subject to possible regulatory approval. The redemption price of the Capital Securities and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8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related Junior Subordinated Debentures upon early redemption will be expressed as a percentage of the liquidation amount plus accumulated but unpaid distributions. In the case of Trust I, such percentage adjusts annually and ranges from 104.117% at February 1, 2007 to 100.412% for the annual period ending January 31, 2017, after which the percentage is 100%. In the case of Trust II, such percentage adjusts annually and ranges from 104.139% at June 1, 2007 to 100.414% for the annual period ending May 31, 2017, after which the percentage is 100%, subject to a make-whole amount if the early redemption occurs prior to June 1, 2007. In the case of Trust III, such percentage adjusts annually and ranges from 104.625% at February 1, 2007 to 100.463% for the annual period ending January 31, 2017, after which the percentage is 100%. In the case of Trust IV and Trust V, the redemption price upon early redemption will be equal to 100% of the principal amount to be redeemed plus any accrued but unpaid distributions to the redemption date.</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w:t>
      </w:r>
    </w:p>
    <w:p>
      <w:pPr>
        <w:ind w:right="40" w:firstLine="8"/>
        <w:spacing w:after="0" w:line="288"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of M&amp;T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 July 15, 2029 that are payable to Allfirst Asset Trust. The interest rates payable on such debentures were 6.79% at March 31, 2007 and 6.80% at December 31, 2006.</w:t>
      </w:r>
    </w:p>
    <w:p>
      <w:pPr>
        <w:spacing w:after="0" w:line="14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8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Trust III, Trust IV, Trust V and Allfirst Asset Trust, the junior subordinated debentures associated with preferred capital securities had financial statement carrying values as follows:</w:t>
      </w:r>
    </w:p>
    <w:p>
      <w:pPr>
        <w:spacing w:after="0" w:line="3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0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86"/>
        </w:trPr>
        <w:tc>
          <w:tcPr>
            <w:tcW w:w="3360" w:type="dxa"/>
            <w:vAlign w:val="bottom"/>
          </w:tcPr>
          <w:p>
            <w:pPr>
              <w:spacing w:after="0"/>
              <w:rPr>
                <w:sz w:val="16"/>
                <w:szCs w:val="16"/>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6"/>
                <w:szCs w:val="16"/>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6"/>
        </w:trPr>
        <w:tc>
          <w:tcPr>
            <w:tcW w:w="336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r>
      <w:tr>
        <w:trPr>
          <w:trHeight w:val="210"/>
        </w:trPr>
        <w:tc>
          <w:tcPr>
            <w:tcW w:w="3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r>
      <w:tr>
        <w:trPr>
          <w:trHeight w:val="216"/>
        </w:trPr>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Trust I</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$154,640</w:t>
            </w:r>
          </w:p>
        </w:tc>
        <w:tc>
          <w:tcPr>
            <w:tcW w:w="120" w:type="dxa"/>
            <w:vAlign w:val="bottom"/>
            <w:tcBorders>
              <w:left w:val="single" w:sz="8" w:color="EEEEEE"/>
            </w:tcBorders>
            <w:shd w:val="clear" w:color="auto" w:fill="EEEEEE"/>
          </w:tcPr>
          <w:p>
            <w:pPr>
              <w:spacing w:after="0"/>
              <w:rPr>
                <w:sz w:val="18"/>
                <w:szCs w:val="18"/>
                <w:color w:val="auto"/>
              </w:rPr>
            </w:pPr>
          </w:p>
        </w:tc>
        <w:tc>
          <w:tcPr>
            <w:tcW w:w="17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154,640</w:t>
            </w:r>
          </w:p>
        </w:tc>
        <w:tc>
          <w:tcPr>
            <w:tcW w:w="54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Trust II</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103,093</w:t>
            </w:r>
          </w:p>
        </w:tc>
        <w:tc>
          <w:tcPr>
            <w:tcW w:w="1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103,093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Trust III</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68,303</w:t>
            </w:r>
          </w:p>
        </w:tc>
        <w:tc>
          <w:tcPr>
            <w:tcW w:w="120" w:type="dxa"/>
            <w:vAlign w:val="bottom"/>
            <w:tcBorders>
              <w:left w:val="single" w:sz="8" w:color="EEEEEE"/>
            </w:tcBorders>
            <w:shd w:val="clear" w:color="auto" w:fill="EEEEEE"/>
          </w:tcPr>
          <w:p>
            <w:pPr>
              <w:spacing w:after="0"/>
              <w:rPr>
                <w:sz w:val="18"/>
                <w:szCs w:val="18"/>
                <w:color w:val="auto"/>
              </w:rPr>
            </w:pPr>
          </w:p>
        </w:tc>
        <w:tc>
          <w:tcPr>
            <w:tcW w:w="17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68,384</w:t>
            </w:r>
          </w:p>
        </w:tc>
        <w:tc>
          <w:tcPr>
            <w:tcW w:w="54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Trust IV</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143,789</w:t>
            </w:r>
          </w:p>
        </w:tc>
        <w:tc>
          <w:tcPr>
            <w:tcW w:w="1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143,652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Trust V</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141,488</w:t>
            </w:r>
          </w:p>
        </w:tc>
        <w:tc>
          <w:tcPr>
            <w:tcW w:w="120" w:type="dxa"/>
            <w:vAlign w:val="bottom"/>
            <w:tcBorders>
              <w:left w:val="single" w:sz="8" w:color="EEEEEE"/>
            </w:tcBorders>
            <w:shd w:val="clear" w:color="auto" w:fill="EEEEEE"/>
          </w:tcPr>
          <w:p>
            <w:pPr>
              <w:spacing w:after="0"/>
              <w:rPr>
                <w:sz w:val="18"/>
                <w:szCs w:val="18"/>
                <w:color w:val="auto"/>
              </w:rPr>
            </w:pPr>
          </w:p>
        </w:tc>
        <w:tc>
          <w:tcPr>
            <w:tcW w:w="17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141,322</w:t>
            </w:r>
          </w:p>
        </w:tc>
        <w:tc>
          <w:tcPr>
            <w:tcW w:w="54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Allfirst Asset Trust</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101,835</w:t>
            </w:r>
          </w:p>
        </w:tc>
        <w:tc>
          <w:tcPr>
            <w:tcW w:w="12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101,796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3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33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$713,148</w:t>
            </w:r>
          </w:p>
        </w:tc>
        <w:tc>
          <w:tcPr>
            <w:tcW w:w="120" w:type="dxa"/>
            <w:vAlign w:val="bottom"/>
            <w:tcBorders>
              <w:left w:val="single" w:sz="8" w:color="EEEEEE"/>
            </w:tcBorders>
            <w:shd w:val="clear" w:color="auto" w:fill="EEEEEE"/>
          </w:tcPr>
          <w:p>
            <w:pPr>
              <w:spacing w:after="0"/>
              <w:rPr>
                <w:sz w:val="19"/>
                <w:szCs w:val="19"/>
                <w:color w:val="auto"/>
              </w:rPr>
            </w:pPr>
          </w:p>
        </w:tc>
        <w:tc>
          <w:tcPr>
            <w:tcW w:w="17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712,887</w:t>
            </w:r>
          </w:p>
        </w:tc>
        <w:tc>
          <w:tcPr>
            <w:tcW w:w="5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r>
      <w:tr>
        <w:trPr>
          <w:trHeight w:val="66"/>
        </w:trPr>
        <w:tc>
          <w:tcPr>
            <w:tcW w:w="33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units. Certain strategic business units have been combined for segment information reporting purposes where the nature of the products and services, the type of customer and the distribution of those products and services are similar. The reportable segments are Commercial Banking, Commercial Real Estate, Discretionary Portfolio, Residential Mortgage Banking and Retail Banking.</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21 to the Company’s consolidated financial statements as of and for the year ended December 31, 2006. The management accounting policies and processes utilized in compiling segment financial information are highly subjective and, unlike financial accounting, are not based on authoritative guidance similar to generally accepted accounting principles. As a result, the financial information of the reported segments is not necessarily comparable with similar information reported by other financial institutions. As also described in note 21 to the Company’s 2006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has, however, assigned such intangible assets to business units for purposes of</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testing for impairment. Information about the Company’s segments is presented in the following table:</w:t>
      </w:r>
    </w:p>
    <w:p>
      <w:pPr>
        <w:spacing w:after="0" w:line="39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12"/>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center"/>
              <w:ind w:left="513"/>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6"/>
          </w:tcPr>
          <w:p>
            <w:pPr>
              <w:ind w:left="56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Inter-</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5"/>
          </w:tcPr>
          <w:p>
            <w:pPr>
              <w:jc w:val="center"/>
              <w:ind w:right="248"/>
              <w:spacing w:after="0"/>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4"/>
          </w:tcPr>
          <w:p>
            <w:pPr>
              <w:ind w:left="140"/>
              <w:spacing w:after="0"/>
              <w:rPr>
                <w:sz w:val="20"/>
                <w:szCs w:val="20"/>
                <w:color w:val="auto"/>
              </w:rPr>
            </w:pPr>
            <w:r>
              <w:rPr>
                <w:rFonts w:ascii="Arial" w:cs="Arial" w:eastAsia="Arial" w:hAnsi="Arial"/>
                <w:sz w:val="14"/>
                <w:szCs w:val="14"/>
                <w:b w:val="1"/>
                <w:bCs w:val="1"/>
                <w:color w:val="auto"/>
              </w:rPr>
              <w:t>Inter-</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segment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5"/>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revenues(a)</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5"/>
          </w:tcPr>
          <w:p>
            <w:pPr>
              <w:jc w:val="center"/>
              <w:ind w:right="248"/>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revenues(a)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10"/>
          </w:tcPr>
          <w:p>
            <w:pPr>
              <w:ind w:left="1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Commercial Banking</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$141,880</w:t>
            </w:r>
          </w:p>
        </w:tc>
        <w:tc>
          <w:tcPr>
            <w:tcW w:w="3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360" w:type="dxa"/>
            <w:vAlign w:val="bottom"/>
            <w:shd w:val="clear" w:color="auto" w:fill="EEEEEE"/>
          </w:tcPr>
          <w:p>
            <w:pPr>
              <w:spacing w:after="0"/>
              <w:rPr>
                <w:sz w:val="18"/>
                <w:szCs w:val="18"/>
                <w:color w:val="auto"/>
              </w:rPr>
            </w:pP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57,029</w:t>
            </w:r>
          </w:p>
        </w:tc>
        <w:tc>
          <w:tcPr>
            <w:tcW w:w="320" w:type="dxa"/>
            <w:vAlign w:val="bottom"/>
            <w:shd w:val="clear" w:color="auto" w:fill="EEEEEE"/>
          </w:tcPr>
          <w:p>
            <w:pPr>
              <w:spacing w:after="0"/>
              <w:rPr>
                <w:sz w:val="18"/>
                <w:szCs w:val="18"/>
                <w:color w:val="auto"/>
              </w:rPr>
            </w:pPr>
          </w:p>
        </w:tc>
        <w:tc>
          <w:tcPr>
            <w:tcW w:w="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134,321</w:t>
            </w:r>
          </w:p>
        </w:tc>
        <w:tc>
          <w:tcPr>
            <w:tcW w:w="420" w:type="dxa"/>
            <w:vAlign w:val="bottom"/>
            <w:tcBorders>
              <w:left w:val="single" w:sz="8" w:color="EEEEEE"/>
            </w:tcBorders>
            <w:shd w:val="clear" w:color="auto" w:fill="EEEEEE"/>
          </w:tcPr>
          <w:p>
            <w:pPr>
              <w:spacing w:after="0"/>
              <w:rPr>
                <w:sz w:val="18"/>
                <w:szCs w:val="18"/>
                <w:color w:val="auto"/>
              </w:rPr>
            </w:pPr>
          </w:p>
        </w:tc>
        <w:tc>
          <w:tcPr>
            <w:tcW w:w="10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148</w:t>
            </w:r>
          </w:p>
        </w:tc>
        <w:tc>
          <w:tcPr>
            <w:tcW w:w="3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56,094</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65,144</w:t>
            </w:r>
          </w:p>
        </w:tc>
        <w:tc>
          <w:tcPr>
            <w:tcW w:w="3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31,737</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68,489</w:t>
            </w:r>
          </w:p>
        </w:tc>
        <w:tc>
          <w:tcPr>
            <w:tcW w:w="42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33,867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Discretionary Portfolio</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29,276</w:t>
            </w:r>
          </w:p>
        </w:tc>
        <w:tc>
          <w:tcPr>
            <w:tcW w:w="3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(2,346)</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18,938</w:t>
            </w:r>
          </w:p>
        </w:tc>
        <w:tc>
          <w:tcPr>
            <w:tcW w:w="320" w:type="dxa"/>
            <w:vAlign w:val="bottom"/>
            <w:shd w:val="clear" w:color="auto" w:fill="EEEEEE"/>
          </w:tcPr>
          <w:p>
            <w:pPr>
              <w:spacing w:after="0"/>
              <w:rPr>
                <w:sz w:val="18"/>
                <w:szCs w:val="18"/>
                <w:color w:val="auto"/>
              </w:rPr>
            </w:pPr>
          </w:p>
        </w:tc>
        <w:tc>
          <w:tcPr>
            <w:tcW w:w="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37,355</w:t>
            </w:r>
          </w:p>
        </w:tc>
        <w:tc>
          <w:tcPr>
            <w:tcW w:w="420" w:type="dxa"/>
            <w:vAlign w:val="bottom"/>
            <w:tcBorders>
              <w:left w:val="single" w:sz="8" w:color="EEEEEE"/>
            </w:tcBorders>
            <w:shd w:val="clear" w:color="auto" w:fill="EEEEEE"/>
          </w:tcPr>
          <w:p>
            <w:pPr>
              <w:spacing w:after="0"/>
              <w:rPr>
                <w:sz w:val="18"/>
                <w:szCs w:val="18"/>
                <w:color w:val="auto"/>
              </w:rPr>
            </w:pPr>
          </w:p>
        </w:tc>
        <w:tc>
          <w:tcPr>
            <w:tcW w:w="10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930</w:t>
            </w:r>
          </w:p>
        </w:tc>
        <w:tc>
          <w:tcPr>
            <w:tcW w:w="3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22,295</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Residential Mortgage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Pr>
          <w:p>
            <w:pPr>
              <w:ind w:left="100"/>
              <w:spacing w:after="0"/>
              <w:rPr>
                <w:sz w:val="20"/>
                <w:szCs w:val="20"/>
                <w:color w:val="auto"/>
              </w:rPr>
            </w:pPr>
            <w:r>
              <w:rPr>
                <w:rFonts w:ascii="Arial" w:cs="Arial" w:eastAsia="Arial" w:hAnsi="Arial"/>
                <w:sz w:val="18"/>
                <w:szCs w:val="18"/>
                <w:color w:val="auto"/>
              </w:rPr>
              <w:t>Banking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45,668</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10,891</w:t>
            </w:r>
          </w:p>
        </w:tc>
        <w:tc>
          <w:tcPr>
            <w:tcW w:w="360" w:type="dxa"/>
            <w:vAlign w:val="bottom"/>
          </w:tcPr>
          <w:p>
            <w:pPr>
              <w:spacing w:after="0"/>
              <w:rPr>
                <w:sz w:val="20"/>
                <w:szCs w:val="20"/>
                <w:color w:val="auto"/>
              </w:rPr>
            </w:pPr>
          </w:p>
        </w:tc>
        <w:tc>
          <w:tcPr>
            <w:tcW w:w="1460" w:type="dxa"/>
            <w:vAlign w:val="bottom"/>
            <w:gridSpan w:val="6"/>
          </w:tcPr>
          <w:p>
            <w:pPr>
              <w:jc w:val="right"/>
              <w:ind w:right="280"/>
              <w:spacing w:after="0"/>
              <w:rPr>
                <w:sz w:val="20"/>
                <w:szCs w:val="20"/>
                <w:color w:val="auto"/>
              </w:rPr>
            </w:pPr>
            <w:r>
              <w:rPr>
                <w:rFonts w:ascii="Arial" w:cs="Arial" w:eastAsia="Arial" w:hAnsi="Arial"/>
                <w:sz w:val="18"/>
                <w:szCs w:val="18"/>
                <w:color w:val="auto"/>
              </w:rPr>
              <w:t>(2,523)</w:t>
            </w:r>
          </w:p>
        </w:tc>
        <w:tc>
          <w:tcPr>
            <w:tcW w:w="40" w:type="dxa"/>
            <w:vAlign w:val="bottom"/>
          </w:tcPr>
          <w:p>
            <w:pPr>
              <w:spacing w:after="0"/>
              <w:rPr>
                <w:sz w:val="20"/>
                <w:szCs w:val="20"/>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69,089</w:t>
            </w:r>
          </w:p>
        </w:tc>
        <w:tc>
          <w:tcPr>
            <w:tcW w:w="420" w:type="dxa"/>
            <w:vAlign w:val="bottom"/>
          </w:tcPr>
          <w:p>
            <w:pPr>
              <w:spacing w:after="0"/>
              <w:rPr>
                <w:sz w:val="20"/>
                <w:szCs w:val="20"/>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15,166</w:t>
            </w:r>
          </w:p>
        </w:tc>
        <w:tc>
          <w:tcPr>
            <w:tcW w:w="3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15,391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Retail Banking</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373,829</w:t>
            </w:r>
          </w:p>
        </w:tc>
        <w:tc>
          <w:tcPr>
            <w:tcW w:w="3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3,028</w:t>
            </w:r>
          </w:p>
        </w:tc>
        <w:tc>
          <w:tcPr>
            <w:tcW w:w="360" w:type="dxa"/>
            <w:vAlign w:val="bottom"/>
            <w:shd w:val="clear" w:color="auto" w:fill="EEEEEE"/>
          </w:tcPr>
          <w:p>
            <w:pPr>
              <w:spacing w:after="0"/>
              <w:rPr>
                <w:sz w:val="18"/>
                <w:szCs w:val="18"/>
                <w:color w:val="auto"/>
              </w:rPr>
            </w:pP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107,382</w:t>
            </w:r>
          </w:p>
        </w:tc>
        <w:tc>
          <w:tcPr>
            <w:tcW w:w="320" w:type="dxa"/>
            <w:vAlign w:val="bottom"/>
            <w:shd w:val="clear" w:color="auto" w:fill="EEEEEE"/>
          </w:tcPr>
          <w:p>
            <w:pPr>
              <w:spacing w:after="0"/>
              <w:rPr>
                <w:sz w:val="18"/>
                <w:szCs w:val="18"/>
                <w:color w:val="auto"/>
              </w:rPr>
            </w:pPr>
          </w:p>
        </w:tc>
        <w:tc>
          <w:tcPr>
            <w:tcW w:w="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345,899</w:t>
            </w:r>
          </w:p>
        </w:tc>
        <w:tc>
          <w:tcPr>
            <w:tcW w:w="420" w:type="dxa"/>
            <w:vAlign w:val="bottom"/>
            <w:tcBorders>
              <w:left w:val="single" w:sz="8" w:color="EEEEEE"/>
            </w:tcBorders>
            <w:shd w:val="clear" w:color="auto" w:fill="EEEEEE"/>
          </w:tcPr>
          <w:p>
            <w:pPr>
              <w:spacing w:after="0"/>
              <w:rPr>
                <w:sz w:val="18"/>
                <w:szCs w:val="18"/>
                <w:color w:val="auto"/>
              </w:rPr>
            </w:pPr>
          </w:p>
        </w:tc>
        <w:tc>
          <w:tcPr>
            <w:tcW w:w="10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2,853</w:t>
            </w:r>
          </w:p>
        </w:tc>
        <w:tc>
          <w:tcPr>
            <w:tcW w:w="3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92,554</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31,113</w:t>
            </w:r>
          </w:p>
        </w:tc>
        <w:tc>
          <w:tcPr>
            <w:tcW w:w="360" w:type="dxa"/>
            <w:vAlign w:val="bottom"/>
          </w:tcPr>
          <w:p>
            <w:pPr>
              <w:spacing w:after="0"/>
              <w:rPr>
                <w:sz w:val="19"/>
                <w:szCs w:val="19"/>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(11,849)</w:t>
            </w:r>
          </w:p>
        </w:tc>
        <w:tc>
          <w:tcPr>
            <w:tcW w:w="1460" w:type="dxa"/>
            <w:vAlign w:val="bottom"/>
            <w:gridSpan w:val="6"/>
          </w:tcPr>
          <w:p>
            <w:pPr>
              <w:jc w:val="right"/>
              <w:ind w:right="280"/>
              <w:spacing w:after="0"/>
              <w:rPr>
                <w:sz w:val="20"/>
                <w:szCs w:val="20"/>
                <w:color w:val="auto"/>
              </w:rPr>
            </w:pPr>
            <w:r>
              <w:rPr>
                <w:rFonts w:ascii="Arial" w:cs="Arial" w:eastAsia="Arial" w:hAnsi="Arial"/>
                <w:sz w:val="18"/>
                <w:szCs w:val="18"/>
                <w:color w:val="auto"/>
              </w:rPr>
              <w:t>(36,590)</w:t>
            </w:r>
          </w:p>
        </w:tc>
        <w:tc>
          <w:tcPr>
            <w:tcW w:w="40" w:type="dxa"/>
            <w:vAlign w:val="bottom"/>
          </w:tcPr>
          <w:p>
            <w:pPr>
              <w:spacing w:after="0"/>
              <w:rPr>
                <w:sz w:val="19"/>
                <w:szCs w:val="19"/>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44,804</w:t>
            </w:r>
          </w:p>
        </w:tc>
        <w:tc>
          <w:tcPr>
            <w:tcW w:w="420" w:type="dxa"/>
            <w:vAlign w:val="bottom"/>
          </w:tcPr>
          <w:p>
            <w:pPr>
              <w:spacing w:after="0"/>
              <w:rPr>
                <w:sz w:val="19"/>
                <w:szCs w:val="19"/>
                <w:color w:val="auto"/>
              </w:rPr>
            </w:pPr>
          </w:p>
        </w:tc>
        <w:tc>
          <w:tcPr>
            <w:tcW w:w="1460" w:type="dxa"/>
            <w:vAlign w:val="bottom"/>
            <w:gridSpan w:val="7"/>
          </w:tcPr>
          <w:p>
            <w:pPr>
              <w:jc w:val="right"/>
              <w:ind w:right="320"/>
              <w:spacing w:after="0"/>
              <w:rPr>
                <w:sz w:val="20"/>
                <w:szCs w:val="20"/>
                <w:color w:val="auto"/>
              </w:rPr>
            </w:pPr>
            <w:r>
              <w:rPr>
                <w:rFonts w:ascii="Arial" w:cs="Arial" w:eastAsia="Arial" w:hAnsi="Arial"/>
                <w:sz w:val="18"/>
                <w:szCs w:val="18"/>
                <w:color w:val="auto"/>
              </w:rPr>
              <w:t>(19,329)</w:t>
            </w: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(17,284)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808080"/>
          </w:tcPr>
          <w:p>
            <w:pPr>
              <w:spacing w:after="0"/>
              <w:rPr>
                <w:sz w:val="2"/>
                <w:szCs w:val="2"/>
                <w:color w:val="auto"/>
              </w:rPr>
            </w:pPr>
          </w:p>
        </w:tc>
        <w:tc>
          <w:tcPr>
            <w:tcW w:w="80" w:type="dxa"/>
            <w:vAlign w:val="bottom"/>
            <w:shd w:val="clear" w:color="auto" w:fill="808080"/>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80" w:type="dxa"/>
            <w:vAlign w:val="bottom"/>
            <w:tcBorders>
              <w:left w:val="single" w:sz="8" w:color="808080"/>
            </w:tcBorders>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120" w:type="dxa"/>
            <w:vAlign w:val="bottom"/>
            <w:shd w:val="clear" w:color="auto" w:fill="808080"/>
          </w:tcPr>
          <w:p>
            <w:pPr>
              <w:spacing w:after="0"/>
              <w:rPr>
                <w:sz w:val="2"/>
                <w:szCs w:val="2"/>
                <w:color w:val="auto"/>
              </w:rPr>
            </w:pPr>
          </w:p>
        </w:tc>
        <w:tc>
          <w:tcPr>
            <w:tcW w:w="2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2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$686,910</w:t>
            </w:r>
          </w:p>
        </w:tc>
        <w:tc>
          <w:tcPr>
            <w:tcW w:w="3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175,973</w:t>
            </w:r>
          </w:p>
        </w:tc>
        <w:tc>
          <w:tcPr>
            <w:tcW w:w="320" w:type="dxa"/>
            <w:vAlign w:val="bottom"/>
            <w:shd w:val="clear" w:color="auto" w:fill="EEEEEE"/>
          </w:tcPr>
          <w:p>
            <w:pPr>
              <w:spacing w:after="0"/>
              <w:rPr>
                <w:sz w:val="19"/>
                <w:szCs w:val="19"/>
                <w:color w:val="auto"/>
              </w:rPr>
            </w:pPr>
          </w:p>
        </w:tc>
        <w:tc>
          <w:tcPr>
            <w:tcW w:w="40" w:type="dxa"/>
            <w:vAlign w:val="bottom"/>
            <w:tcBorders>
              <w:left w:val="single" w:sz="8" w:color="EEEEEE"/>
            </w:tcBorders>
            <w:shd w:val="clear" w:color="auto" w:fill="EEEEEE"/>
          </w:tcPr>
          <w:p>
            <w:pPr>
              <w:spacing w:after="0"/>
              <w:rPr>
                <w:sz w:val="19"/>
                <w:szCs w:val="19"/>
                <w:color w:val="auto"/>
              </w:rPr>
            </w:pPr>
          </w:p>
        </w:tc>
        <w:tc>
          <w:tcPr>
            <w:tcW w:w="11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699,957</w:t>
            </w:r>
          </w:p>
        </w:tc>
        <w:tc>
          <w:tcPr>
            <w:tcW w:w="420" w:type="dxa"/>
            <w:vAlign w:val="bottom"/>
            <w:tcBorders>
              <w:left w:val="single" w:sz="8" w:color="EEEEEE"/>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202,917</w:t>
            </w:r>
          </w:p>
        </w:tc>
        <w:tc>
          <w:tcPr>
            <w:tcW w:w="24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 w:type="dxa"/>
            <w:vAlign w:val="bottom"/>
            <w:tcBorders>
              <w:left w:val="single" w:sz="8" w:color="808080"/>
            </w:tcBorders>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8"/>
              </w:rPr>
              <w:t>Average total 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gridSpan w:val="2"/>
          </w:tcPr>
          <w:p>
            <w:pPr>
              <w:spacing w:after="0"/>
              <w:rPr>
                <w:sz w:val="5"/>
                <w:szCs w:val="5"/>
                <w:color w:val="auto"/>
              </w:rPr>
            </w:pPr>
          </w:p>
        </w:tc>
        <w:tc>
          <w:tcPr>
            <w:tcW w:w="80" w:type="dxa"/>
            <w:vAlign w:val="bottom"/>
            <w:tcBorders>
              <w:bottom w:val="single" w:sz="8" w:color="808080"/>
            </w:tcBorders>
            <w:gridSpan w:val="2"/>
          </w:tcPr>
          <w:p>
            <w:pPr>
              <w:spacing w:after="0"/>
              <w:rPr>
                <w:sz w:val="5"/>
                <w:szCs w:val="5"/>
                <w:color w:val="auto"/>
              </w:rPr>
            </w:pPr>
          </w:p>
        </w:tc>
        <w:tc>
          <w:tcPr>
            <w:tcW w:w="420" w:type="dxa"/>
            <w:vAlign w:val="bottom"/>
            <w:tcBorders>
              <w:bottom w:val="single" w:sz="8" w:color="808080"/>
            </w:tcBorders>
            <w:gridSpan w:val="2"/>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gridSpan w:val="2"/>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gridSpan w:val="3"/>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66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10"/>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92"/>
              </w:rPr>
              <w:t>Year ended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8"/>
          </w:tcPr>
          <w:p>
            <w:pPr>
              <w:spacing w:after="0"/>
              <w:rPr>
                <w:sz w:val="20"/>
                <w:szCs w:val="20"/>
                <w:color w:val="auto"/>
              </w:rPr>
            </w:pPr>
            <w:r>
              <w:rPr>
                <w:rFonts w:ascii="Arial" w:cs="Arial" w:eastAsia="Arial" w:hAnsi="Arial"/>
                <w:sz w:val="14"/>
                <w:szCs w:val="14"/>
                <w:b w:val="1"/>
                <w:bCs w:val="1"/>
                <w:color w:val="auto"/>
              </w:rPr>
              <w:t>March 31</w:t>
            </w:r>
          </w:p>
        </w:tc>
        <w:tc>
          <w:tcPr>
            <w:tcW w:w="1460" w:type="dxa"/>
            <w:vAlign w:val="bottom"/>
            <w:gridSpan w:val="7"/>
          </w:tcPr>
          <w:p>
            <w:pPr>
              <w:jc w:val="center"/>
              <w:ind w:right="620"/>
              <w:spacing w:after="0"/>
              <w:rPr>
                <w:sz w:val="20"/>
                <w:szCs w:val="20"/>
                <w:color w:val="auto"/>
              </w:rPr>
            </w:pPr>
            <w:r>
              <w:rPr>
                <w:rFonts w:ascii="Arial" w:cs="Arial" w:eastAsia="Arial" w:hAnsi="Arial"/>
                <w:sz w:val="14"/>
                <w:szCs w:val="14"/>
                <w:b w:val="1"/>
                <w:bCs w:val="1"/>
                <w:color w:val="auto"/>
                <w:w w:val="91"/>
              </w:rPr>
              <w:t>December 31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gridSpan w:val="3"/>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gridSpan w:val="2"/>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gridSpan w:val="2"/>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gridSpan w:val="3"/>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9"/>
                <w:szCs w:val="19"/>
                <w:color w:val="auto"/>
              </w:rPr>
            </w:pPr>
          </w:p>
        </w:tc>
        <w:tc>
          <w:tcPr>
            <w:tcW w:w="104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4"/>
          </w:tcPr>
          <w:p>
            <w:pPr>
              <w:jc w:val="center"/>
              <w:ind w:left="34"/>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shd w:val="clear" w:color="auto" w:fill="EEEEEE"/>
          </w:tcPr>
          <w:p>
            <w:pPr>
              <w:ind w:left="20"/>
              <w:spacing w:after="0"/>
              <w:rPr>
                <w:sz w:val="20"/>
                <w:szCs w:val="20"/>
                <w:color w:val="auto"/>
              </w:rPr>
            </w:pPr>
            <w:r>
              <w:rPr>
                <w:rFonts w:ascii="Arial" w:cs="Arial" w:eastAsia="Arial" w:hAnsi="Arial"/>
                <w:sz w:val="18"/>
                <w:szCs w:val="18"/>
                <w:color w:val="auto"/>
              </w:rPr>
              <w:t>Commercial Banking</w:t>
            </w: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$13,236</w:t>
            </w:r>
          </w:p>
        </w:tc>
        <w:tc>
          <w:tcPr>
            <w:tcW w:w="1120" w:type="dxa"/>
            <w:vAlign w:val="bottom"/>
            <w:gridSpan w:val="6"/>
            <w:shd w:val="clear" w:color="auto" w:fill="EEEEEE"/>
          </w:tcPr>
          <w:p>
            <w:pPr>
              <w:jc w:val="right"/>
              <w:ind w:right="60"/>
              <w:spacing w:after="0"/>
              <w:rPr>
                <w:sz w:val="20"/>
                <w:szCs w:val="20"/>
                <w:color w:val="auto"/>
              </w:rPr>
            </w:pPr>
            <w:r>
              <w:rPr>
                <w:rFonts w:ascii="Arial" w:cs="Arial" w:eastAsia="Arial" w:hAnsi="Arial"/>
                <w:sz w:val="18"/>
                <w:szCs w:val="18"/>
                <w:color w:val="auto"/>
              </w:rPr>
              <w:t>12,222</w:t>
            </w:r>
          </w:p>
        </w:tc>
        <w:tc>
          <w:tcPr>
            <w:tcW w:w="420" w:type="dxa"/>
            <w:vAlign w:val="bottom"/>
            <w:tcBorders>
              <w:left w:val="single" w:sz="8" w:color="EEEEEE"/>
            </w:tcBorders>
            <w:shd w:val="clear" w:color="auto" w:fill="EEEEEE"/>
          </w:tcPr>
          <w:p>
            <w:pPr>
              <w:spacing w:after="0"/>
              <w:rPr>
                <w:sz w:val="18"/>
                <w:szCs w:val="18"/>
                <w:color w:val="auto"/>
              </w:rPr>
            </w:pPr>
          </w:p>
        </w:tc>
        <w:tc>
          <w:tcPr>
            <w:tcW w:w="80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12,688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7"/>
          </w:tcPr>
          <w:p>
            <w:pPr>
              <w:jc w:val="right"/>
              <w:spacing w:after="0"/>
              <w:rPr>
                <w:sz w:val="20"/>
                <w:szCs w:val="20"/>
                <w:color w:val="auto"/>
              </w:rPr>
            </w:pPr>
            <w:r>
              <w:rPr>
                <w:rFonts w:ascii="Arial" w:cs="Arial" w:eastAsia="Arial" w:hAnsi="Arial"/>
                <w:sz w:val="18"/>
                <w:szCs w:val="18"/>
                <w:color w:val="auto"/>
              </w:rPr>
              <w:t>8,608</w:t>
            </w:r>
          </w:p>
        </w:tc>
        <w:tc>
          <w:tcPr>
            <w:tcW w:w="1120" w:type="dxa"/>
            <w:vAlign w:val="bottom"/>
            <w:gridSpan w:val="6"/>
          </w:tcPr>
          <w:p>
            <w:pPr>
              <w:jc w:val="right"/>
              <w:ind w:right="60"/>
              <w:spacing w:after="0"/>
              <w:rPr>
                <w:sz w:val="20"/>
                <w:szCs w:val="20"/>
                <w:color w:val="auto"/>
              </w:rPr>
            </w:pPr>
            <w:r>
              <w:rPr>
                <w:rFonts w:ascii="Arial" w:cs="Arial" w:eastAsia="Arial" w:hAnsi="Arial"/>
                <w:sz w:val="18"/>
                <w:szCs w:val="18"/>
                <w:color w:val="auto"/>
              </w:rPr>
              <w:t>8,374</w:t>
            </w:r>
          </w:p>
        </w:tc>
        <w:tc>
          <w:tcPr>
            <w:tcW w:w="420" w:type="dxa"/>
            <w:vAlign w:val="bottom"/>
          </w:tcPr>
          <w:p>
            <w:pPr>
              <w:spacing w:after="0"/>
              <w:rPr>
                <w:sz w:val="18"/>
                <w:szCs w:val="18"/>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8"/>
                <w:szCs w:val="18"/>
                <w:color w:val="auto"/>
              </w:rPr>
              <w:t>8,448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shd w:val="clear" w:color="auto" w:fill="EEEEEE"/>
          </w:tcPr>
          <w:p>
            <w:pPr>
              <w:ind w:left="20"/>
              <w:spacing w:after="0"/>
              <w:rPr>
                <w:sz w:val="20"/>
                <w:szCs w:val="20"/>
                <w:color w:val="auto"/>
              </w:rPr>
            </w:pPr>
            <w:r>
              <w:rPr>
                <w:rFonts w:ascii="Arial" w:cs="Arial" w:eastAsia="Arial" w:hAnsi="Arial"/>
                <w:sz w:val="18"/>
                <w:szCs w:val="18"/>
                <w:color w:val="auto"/>
              </w:rPr>
              <w:t>Discretionary Portfolio</w:t>
            </w: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11,997</w:t>
            </w:r>
          </w:p>
        </w:tc>
        <w:tc>
          <w:tcPr>
            <w:tcW w:w="1120" w:type="dxa"/>
            <w:vAlign w:val="bottom"/>
            <w:gridSpan w:val="6"/>
            <w:shd w:val="clear" w:color="auto" w:fill="EEEEEE"/>
          </w:tcPr>
          <w:p>
            <w:pPr>
              <w:jc w:val="right"/>
              <w:ind w:right="60"/>
              <w:spacing w:after="0"/>
              <w:rPr>
                <w:sz w:val="20"/>
                <w:szCs w:val="20"/>
                <w:color w:val="auto"/>
              </w:rPr>
            </w:pPr>
            <w:r>
              <w:rPr>
                <w:rFonts w:ascii="Arial" w:cs="Arial" w:eastAsia="Arial" w:hAnsi="Arial"/>
                <w:sz w:val="18"/>
                <w:szCs w:val="18"/>
                <w:color w:val="auto"/>
              </w:rPr>
              <w:t>12,112</w:t>
            </w:r>
          </w:p>
        </w:tc>
        <w:tc>
          <w:tcPr>
            <w:tcW w:w="420" w:type="dxa"/>
            <w:vAlign w:val="bottom"/>
            <w:tcBorders>
              <w:left w:val="single" w:sz="8" w:color="EEEEEE"/>
            </w:tcBorders>
            <w:shd w:val="clear" w:color="auto" w:fill="EEEEEE"/>
          </w:tcPr>
          <w:p>
            <w:pPr>
              <w:spacing w:after="0"/>
              <w:rPr>
                <w:sz w:val="18"/>
                <w:szCs w:val="18"/>
                <w:color w:val="auto"/>
              </w:rPr>
            </w:pPr>
          </w:p>
        </w:tc>
        <w:tc>
          <w:tcPr>
            <w:tcW w:w="80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12,136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w w:val="96"/>
              </w:rPr>
              <w:t>Residential Mortgage Banking</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7"/>
          </w:tcPr>
          <w:p>
            <w:pPr>
              <w:jc w:val="right"/>
              <w:spacing w:after="0"/>
              <w:rPr>
                <w:sz w:val="20"/>
                <w:szCs w:val="20"/>
                <w:color w:val="auto"/>
              </w:rPr>
            </w:pPr>
            <w:r>
              <w:rPr>
                <w:rFonts w:ascii="Arial" w:cs="Arial" w:eastAsia="Arial" w:hAnsi="Arial"/>
                <w:sz w:val="18"/>
                <w:szCs w:val="18"/>
                <w:color w:val="auto"/>
              </w:rPr>
              <w:t>3,592</w:t>
            </w:r>
          </w:p>
        </w:tc>
        <w:tc>
          <w:tcPr>
            <w:tcW w:w="1120" w:type="dxa"/>
            <w:vAlign w:val="bottom"/>
            <w:gridSpan w:val="6"/>
          </w:tcPr>
          <w:p>
            <w:pPr>
              <w:jc w:val="right"/>
              <w:ind w:right="60"/>
              <w:spacing w:after="0"/>
              <w:rPr>
                <w:sz w:val="20"/>
                <w:szCs w:val="20"/>
                <w:color w:val="auto"/>
              </w:rPr>
            </w:pPr>
            <w:r>
              <w:rPr>
                <w:rFonts w:ascii="Arial" w:cs="Arial" w:eastAsia="Arial" w:hAnsi="Arial"/>
                <w:sz w:val="18"/>
                <w:szCs w:val="18"/>
                <w:color w:val="auto"/>
              </w:rPr>
              <w:t>3,240</w:t>
            </w:r>
          </w:p>
        </w:tc>
        <w:tc>
          <w:tcPr>
            <w:tcW w:w="420" w:type="dxa"/>
            <w:vAlign w:val="bottom"/>
          </w:tcPr>
          <w:p>
            <w:pPr>
              <w:spacing w:after="0"/>
              <w:rPr>
                <w:sz w:val="18"/>
                <w:szCs w:val="18"/>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8"/>
                <w:szCs w:val="18"/>
                <w:color w:val="auto"/>
              </w:rPr>
              <w:t>3,462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shd w:val="clear" w:color="auto" w:fill="EEEEEE"/>
          </w:tcPr>
          <w:p>
            <w:pPr>
              <w:ind w:left="20"/>
              <w:spacing w:after="0"/>
              <w:rPr>
                <w:sz w:val="20"/>
                <w:szCs w:val="20"/>
                <w:color w:val="auto"/>
              </w:rPr>
            </w:pPr>
            <w:r>
              <w:rPr>
                <w:rFonts w:ascii="Arial" w:cs="Arial" w:eastAsia="Arial" w:hAnsi="Arial"/>
                <w:sz w:val="18"/>
                <w:szCs w:val="18"/>
                <w:color w:val="auto"/>
              </w:rPr>
              <w:t>Retail Banking</w:t>
            </w: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14,243</w:t>
            </w:r>
          </w:p>
        </w:tc>
        <w:tc>
          <w:tcPr>
            <w:tcW w:w="1120" w:type="dxa"/>
            <w:vAlign w:val="bottom"/>
            <w:gridSpan w:val="6"/>
            <w:shd w:val="clear" w:color="auto" w:fill="EEEEEE"/>
          </w:tcPr>
          <w:p>
            <w:pPr>
              <w:jc w:val="right"/>
              <w:ind w:right="60"/>
              <w:spacing w:after="0"/>
              <w:rPr>
                <w:sz w:val="20"/>
                <w:szCs w:val="20"/>
                <w:color w:val="auto"/>
              </w:rPr>
            </w:pPr>
            <w:r>
              <w:rPr>
                <w:rFonts w:ascii="Arial" w:cs="Arial" w:eastAsia="Arial" w:hAnsi="Arial"/>
                <w:sz w:val="18"/>
                <w:szCs w:val="18"/>
                <w:color w:val="auto"/>
              </w:rPr>
              <w:t>14,207</w:t>
            </w:r>
          </w:p>
        </w:tc>
        <w:tc>
          <w:tcPr>
            <w:tcW w:w="420" w:type="dxa"/>
            <w:vAlign w:val="bottom"/>
            <w:tcBorders>
              <w:left w:val="single" w:sz="8" w:color="EEEEEE"/>
            </w:tcBorders>
            <w:shd w:val="clear" w:color="auto" w:fill="EEEEEE"/>
          </w:tcPr>
          <w:p>
            <w:pPr>
              <w:spacing w:after="0"/>
              <w:rPr>
                <w:sz w:val="18"/>
                <w:szCs w:val="18"/>
                <w:color w:val="auto"/>
              </w:rPr>
            </w:pPr>
          </w:p>
        </w:tc>
        <w:tc>
          <w:tcPr>
            <w:tcW w:w="80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14,107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4"/>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5,531</w:t>
            </w:r>
          </w:p>
        </w:tc>
        <w:tc>
          <w:tcPr>
            <w:tcW w:w="1120" w:type="dxa"/>
            <w:vAlign w:val="bottom"/>
            <w:gridSpan w:val="6"/>
          </w:tcPr>
          <w:p>
            <w:pPr>
              <w:jc w:val="right"/>
              <w:ind w:right="60"/>
              <w:spacing w:after="0"/>
              <w:rPr>
                <w:sz w:val="20"/>
                <w:szCs w:val="20"/>
                <w:color w:val="auto"/>
              </w:rPr>
            </w:pPr>
            <w:r>
              <w:rPr>
                <w:rFonts w:ascii="Arial" w:cs="Arial" w:eastAsia="Arial" w:hAnsi="Arial"/>
                <w:sz w:val="18"/>
                <w:szCs w:val="18"/>
                <w:color w:val="auto"/>
              </w:rPr>
              <w:t>4,951</w:t>
            </w:r>
          </w:p>
        </w:tc>
        <w:tc>
          <w:tcPr>
            <w:tcW w:w="420" w:type="dxa"/>
            <w:vAlign w:val="bottom"/>
          </w:tcPr>
          <w:p>
            <w:pPr>
              <w:spacing w:after="0"/>
              <w:rPr>
                <w:sz w:val="19"/>
                <w:szCs w:val="19"/>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8"/>
                <w:szCs w:val="18"/>
                <w:color w:val="auto"/>
              </w:rPr>
              <w:t>4,998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808080"/>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shd w:val="clear" w:color="auto" w:fill="EEEEEE"/>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$57,207</w:t>
            </w:r>
          </w:p>
        </w:tc>
        <w:tc>
          <w:tcPr>
            <w:tcW w:w="1120" w:type="dxa"/>
            <w:vAlign w:val="bottom"/>
            <w:gridSpan w:val="6"/>
            <w:shd w:val="clear" w:color="auto" w:fill="EEEEEE"/>
          </w:tcPr>
          <w:p>
            <w:pPr>
              <w:jc w:val="right"/>
              <w:ind w:right="60"/>
              <w:spacing w:after="0"/>
              <w:rPr>
                <w:sz w:val="20"/>
                <w:szCs w:val="20"/>
                <w:color w:val="auto"/>
              </w:rPr>
            </w:pPr>
            <w:r>
              <w:rPr>
                <w:rFonts w:ascii="Arial" w:cs="Arial" w:eastAsia="Arial" w:hAnsi="Arial"/>
                <w:sz w:val="18"/>
                <w:szCs w:val="18"/>
                <w:color w:val="auto"/>
              </w:rPr>
              <w:t>55,106</w:t>
            </w:r>
          </w:p>
        </w:tc>
        <w:tc>
          <w:tcPr>
            <w:tcW w:w="420" w:type="dxa"/>
            <w:vAlign w:val="bottom"/>
            <w:tcBorders>
              <w:left w:val="single" w:sz="8" w:color="EEEEEE"/>
            </w:tcBorders>
            <w:shd w:val="clear" w:color="auto" w:fill="EEEEEE"/>
          </w:tcPr>
          <w:p>
            <w:pPr>
              <w:spacing w:after="0"/>
              <w:rPr>
                <w:sz w:val="19"/>
                <w:szCs w:val="19"/>
                <w:color w:val="auto"/>
              </w:rPr>
            </w:pPr>
          </w:p>
        </w:tc>
        <w:tc>
          <w:tcPr>
            <w:tcW w:w="80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55,839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 w:type="dxa"/>
            <w:vAlign w:val="bottom"/>
            <w:tcBorders>
              <w:lef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 w:type="dxa"/>
            <w:vAlign w:val="bottom"/>
            <w:tcBorders>
              <w:left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20" w:hanging="312"/>
        <w:spacing w:after="0" w:line="302"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methodology. Segments are charged a cost to fund any assets (e.g. loans) and are paid a funding credit for any funds provided (e.g. deposits). The taxable-equivalent adjustment aggregated $5,123,000 and $4,731,000 for the three-month periods ended March 31, 2007 and 2006, respectively,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229" w:lineRule="exact"/>
        <w:rPr>
          <w:sz w:val="20"/>
          <w:szCs w:val="20"/>
          <w:color w:val="auto"/>
        </w:rPr>
      </w:pPr>
    </w:p>
    <w:p>
      <w:pPr>
        <w:ind w:left="220" w:right="780"/>
        <w:spacing w:after="0" w:line="277" w:lineRule="auto"/>
        <w:rPr>
          <w:sz w:val="20"/>
          <w:szCs w:val="20"/>
          <w:color w:val="auto"/>
        </w:rPr>
      </w:pPr>
      <w:r>
        <w:rPr>
          <w:rFonts w:ascii="Arial" w:cs="Arial" w:eastAsia="Arial" w:hAnsi="Arial"/>
          <w:sz w:val="18"/>
          <w:szCs w:val="18"/>
          <w:color w:val="auto"/>
        </w:rPr>
        <w:t>is eliminated in “All Other” total revenues. Intersegment revenues are included in total revenues of the reportable segments. The elimination of intersegment revenues is included in the determination of “All Other” total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325"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13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18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Commitments to extend credit</w:t>
            </w: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Home equity lines of credit</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$5,532,886</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5,450,382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Commercial real estate loans to be sold</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26,646</w:t>
            </w:r>
          </w:p>
        </w:tc>
        <w:tc>
          <w:tcPr>
            <w:tcW w:w="130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65,784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Other commercial real estate and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2,737,171</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3,008,353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Residential real estate loans to be sold</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495,491</w:t>
            </w:r>
          </w:p>
        </w:tc>
        <w:tc>
          <w:tcPr>
            <w:tcW w:w="130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679,591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Other residential real estate</w:t>
            </w:r>
          </w:p>
        </w:tc>
        <w:tc>
          <w:tcPr>
            <w:tcW w:w="880" w:type="dxa"/>
            <w:vAlign w:val="bottom"/>
          </w:tcPr>
          <w:p>
            <w:pPr>
              <w:jc w:val="right"/>
              <w:spacing w:after="0"/>
              <w:rPr>
                <w:sz w:val="20"/>
                <w:szCs w:val="20"/>
                <w:color w:val="auto"/>
              </w:rPr>
            </w:pPr>
            <w:r>
              <w:rPr>
                <w:rFonts w:ascii="Arial" w:cs="Arial" w:eastAsia="Arial" w:hAnsi="Arial"/>
                <w:sz w:val="18"/>
                <w:szCs w:val="18"/>
                <w:color w:val="auto"/>
              </w:rPr>
              <w:t>534,027</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493,122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Commercial and other</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7,010,324</w:t>
            </w:r>
          </w:p>
        </w:tc>
        <w:tc>
          <w:tcPr>
            <w:tcW w:w="130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7,344,263</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3,573,660</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3,622,860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Commercial letters of credit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26,416</w:t>
            </w:r>
          </w:p>
        </w:tc>
        <w:tc>
          <w:tcPr>
            <w:tcW w:w="130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30,209</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1,186,171</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1,036,117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Commitments to sell real estate loans</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1,038,302</w:t>
            </w:r>
          </w:p>
        </w:tc>
        <w:tc>
          <w:tcPr>
            <w:tcW w:w="130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1,932,306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Mortgage Association Delegated Underwriting and Servicing program. The Company’s maximum credit risk for recourse associated with loans sold under this program totaled $986 million and $939 million at March 31, 2007 and December 31, 2006, respectively.</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in accordance with Statement of Financial Accounting Standards (“SFAS”) No. 133, “Accounting for Derivative Instruments and Hedging Activities,” as amended, and along with commitments to originate real estate loans to be held for sale are generally recorded in the consolidated balance sheet at estimated fair market value. However, in estimating that fair value for commitments to originate loans for sale, value ascribable to cash flows that will be realized in connection with loan servicing activities has not been included. Value ascribable to that portion of cash flows is recognized at the time the underlying mortgage loans are sold.</w:t>
      </w:r>
    </w:p>
    <w:p>
      <w:pPr>
        <w:spacing w:after="0" w:line="15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from 2007 through 2013 and $6 million per year from 2014 through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98"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Pension</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96"/>
              </w:rPr>
              <w:t>Other</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benefits</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89"/>
              </w:rPr>
              <w:t>benefits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7"/>
                <w:szCs w:val="17"/>
                <w:color w:val="auto"/>
              </w:rPr>
            </w:pPr>
          </w:p>
        </w:tc>
        <w:tc>
          <w:tcPr>
            <w:tcW w:w="2360" w:type="dxa"/>
            <w:vAlign w:val="bottom"/>
            <w:gridSpan w:val="7"/>
          </w:tcPr>
          <w:p>
            <w:pPr>
              <w:jc w:val="center"/>
              <w:ind w:left="308"/>
              <w:spacing w:after="0"/>
              <w:rPr>
                <w:sz w:val="20"/>
                <w:szCs w:val="20"/>
                <w:color w:val="auto"/>
              </w:rPr>
            </w:pPr>
            <w:r>
              <w:rPr>
                <w:rFonts w:ascii="Arial" w:cs="Arial" w:eastAsia="Arial" w:hAnsi="Arial"/>
                <w:sz w:val="14"/>
                <w:szCs w:val="14"/>
                <w:b w:val="1"/>
                <w:bCs w:val="1"/>
                <w:color w:val="auto"/>
                <w:w w:val="93"/>
              </w:rPr>
              <w:t>Three months ended March 31</w:t>
            </w:r>
          </w:p>
        </w:tc>
        <w:tc>
          <w:tcPr>
            <w:tcW w:w="1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080" w:type="dxa"/>
            <w:vAlign w:val="bottom"/>
            <w:gridSpan w:val="4"/>
            <w:vMerge w:val="continue"/>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2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5,475</w:t>
            </w:r>
          </w:p>
        </w:tc>
        <w:tc>
          <w:tcPr>
            <w:tcW w:w="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5,575</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118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9,375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9,175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850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11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9"/>
              </w:rPr>
              <w:t>(10,025)</w:t>
            </w:r>
          </w:p>
        </w:tc>
        <w:tc>
          <w:tcPr>
            <w:tcW w:w="5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(9,625)</w:t>
            </w: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(1,775)</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actuarial loss</w:t>
            </w:r>
          </w:p>
        </w:tc>
        <w:tc>
          <w:tcPr>
            <w:tcW w:w="11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7"/>
              </w:rPr>
              <w:t>2,250</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660" w:type="dxa"/>
            <w:vAlign w:val="bottom"/>
            <w:gridSpan w:val="3"/>
            <w:shd w:val="clear" w:color="auto" w:fill="EEEEEE"/>
          </w:tcPr>
          <w:p>
            <w:pPr>
              <w:spacing w:after="0"/>
              <w:rPr>
                <w:sz w:val="18"/>
                <w:szCs w:val="18"/>
                <w:color w:val="auto"/>
              </w:rPr>
            </w:pP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180" w:type="dxa"/>
            <w:vAlign w:val="bottom"/>
            <w:tcBorders>
              <w:left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920" w:type="dxa"/>
            <w:vAlign w:val="bottom"/>
            <w:gridSpan w:val="2"/>
          </w:tcPr>
          <w:p>
            <w:pPr>
              <w:ind w:left="1140"/>
              <w:spacing w:after="0"/>
              <w:rPr>
                <w:sz w:val="20"/>
                <w:szCs w:val="20"/>
                <w:color w:val="auto"/>
              </w:rPr>
            </w:pPr>
            <w:r>
              <w:rPr>
                <w:rFonts w:ascii="Arial" w:cs="Arial" w:eastAsia="Arial" w:hAnsi="Arial"/>
                <w:sz w:val="18"/>
                <w:szCs w:val="18"/>
                <w:color w:val="auto"/>
              </w:rPr>
              <w:t>Net periodic benefit cost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4,375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5,600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1,175</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1,075</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140" w:type="dxa"/>
            <w:vAlign w:val="bottom"/>
            <w:vMerge w:val="restart"/>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 continued</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$9,169,000 and $7,831,000 for the three months ended March 31, 2007 and 2006,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January 1, 2007, the Company adopted Financial Accounting Standards Board Interpretation (“FIN”) No. 48, “Accounting for Uncertainty in Income Taxes.” FIN No. 48 prescribes the accounting method to be applied to measure uncertainty in income taxes recognized under Statement of Financial Accounting Standards No. 109, “Accounting for Income Taxes.” FIN No. 48 established a recognition threshold and measurement attribute for the financial statement recognition and measurement of an uncertain tax position taken or expected to be taken in a tax return.</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The Company’s federal income tax returns for 2004 through 2006 are subject to examination by the Internal Revenue Service. The Company also files income tax returns in over thirty state and local jurisdictions. Substantially all material state and local tax matters have been concluded for years through 1998. Some tax returns for years after 1998 are presently under examination. As of January 1, 2007, the Company had accrued approximately $67 million, net of available benefits of approximately $36 million, for various unrecognized tax benefits in various federal, state and local tax jurisdictions within which the Company operates. If recognized, those benefits would affect the Company’s effective tax rate. If any tax return examination by federal, state or local tax authorities is concluded during the next twelve months, it is possible that the amount of the accrued liability for uncertain tax positions could change. It is not possible to estimate the amount of any such changes. The Company recognizes interest and penalties related to unrecognized tax benefits in income taxes in the Consolidated Statement of Income. Included in the accrual noted herein was $9 million for such item. The adoption of FIN No. 48 did not result in any change to the Company’s liability for uncertain tax positions as of January 1, 2007.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 of deposits and banking offices</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June 30, 2006, M&amp;T Bank, M&amp;T’s principal banking subsidiary, acquired 21 banking offices in Buffalo and Rochester, New York from Citibank, N.A. in a cash transaction. The offices had approximately $269 million in loans, mostly to consumers, small businesses and middle market customers, and approximately $1.0 billion of deposits. The transaction did not have a significant effect on the Company’s results of operations during 2006 or in the first quarter of 2007. There were no significant acquisition-related expenses associated with the transaction in the first quarter of either 2007 or 2006.</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income for M&amp;T Bank Corporation (“M&amp;T”) in the first quarter of 2007 was $176 million or $1.57 of diluted earnings per common share, representing decreases of 13% and 11%, respectively, from $203 million or $1.77 of diluted earnings per common share in the year-earlier quarter. During the fourth quarter of 2006, net income was $213 million or $1.88 of diluted earnings per common share. Basic earnings per common share were $1.60 in the initial quarter of 2007, compared with $1.82 and $1.93 in the first and fourth quarters of 2006, respectively.</w:t>
      </w:r>
    </w:p>
    <w:p>
      <w:pPr>
        <w:spacing w:after="0" w:line="146"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recent quarter was 1.25%, compared with 1.49% in the first quarter of 2006 and 1.50% in 2006’s final quarter. The annualized rate of return on average common stockholders’ equity was 11.38% in the initial quarter of 2007, compared with 13.97% and 13.55% in the first and fourth quarters of 2006, respectively.</w:t>
      </w:r>
    </w:p>
    <w:p>
      <w:pPr>
        <w:spacing w:after="0" w:line="139" w:lineRule="exact"/>
        <w:rPr>
          <w:sz w:val="20"/>
          <w:szCs w:val="20"/>
          <w:color w:val="auto"/>
        </w:rPr>
      </w:pPr>
    </w:p>
    <w:p>
      <w:pPr>
        <w:ind w:right="100" w:firstLine="222"/>
        <w:spacing w:after="0" w:line="287" w:lineRule="auto"/>
        <w:rPr>
          <w:sz w:val="20"/>
          <w:szCs w:val="20"/>
          <w:color w:val="auto"/>
        </w:rPr>
      </w:pPr>
      <w:r>
        <w:rPr>
          <w:rFonts w:ascii="Arial" w:cs="Arial" w:eastAsia="Arial" w:hAnsi="Arial"/>
          <w:sz w:val="16"/>
          <w:szCs w:val="16"/>
          <w:color w:val="auto"/>
        </w:rPr>
        <w:t>The Company’s financial results for the first quarter of 2007 were adversely impacted by changing market conditions in the residential mortgage lending sector. Well-publicized problems in the subprime residential mortgage lending market had a negative effect on the rest of the residential mortgage marketplace, specifically with regard to alternative (“Alt-A”) residential mortgage loans that the Company actively originates for sale in the secondary market. Alt-A loans originated by the Company typically include some form of limited documentation requirements, as compared with more traditional residential mortgage loans. Unfavorable market conditions and lack of market liquidity impacted the Company’s willingness to sell Alt-A loans in the first quarter. During March 2007, an auction of such loans received fewer bids than normal and the pricing of those bids was lower than expected. As a result, $883 million of Alt-A loans previously held for sale (including $808 million of first mortgage loans and $75 million of second mortgage loans) were transferred in March to the Company’s held-for-investment residential mortgage loan portfolio. In accordance with generally accepted accounting principles (“GAAP”), loans held for sale must be recorded at the lower of cost or market value. Accordingly, prior to reclassifying the Alt-A mortgage loans to held for investment, the carrying value of such loans was reduced by $12 million in the first quarter of 2007, which resulted in an after-tax reduction of net income of $7 million, or $.07 per diluted share. The loans were reclassified to the held-for-investment portfolio because management of the Company believes that the value of the Alt-A residential mortgage loans it holds is greater than the amount implied by the few bidders presently active in the market.</w:t>
      </w:r>
    </w:p>
    <w:p>
      <w:pPr>
        <w:spacing w:after="0" w:line="128"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addition, the Company is contractually obligated to repurchase previously sold Alt-A loans that do not ultimately meet investor sale criteria, including instances when mortgagors fail to make timely payments during the first 90 days subsequent to the sale date. As a result, during the first quarter of 2007, the Company accrued $6 million to provide for declines in market value of previously sold Alt-A mortgage loans that the Company may be required to repurchase. That loss reduced the Company’s net income by $4 million or $.03 per diluted share.</w:t>
      </w:r>
    </w:p>
    <w:p>
      <w:pPr>
        <w:spacing w:after="0" w:line="146"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Company has initiated changes in its origination and sales practices as they relate to Alt-A lending that will likely result in lower originations of Alt-A mortgage loans in future quarters.</w:t>
      </w:r>
    </w:p>
    <w:p>
      <w:pPr>
        <w:spacing w:after="0" w:line="143"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On February 5, 2007, M&amp;T invested $300 million to acquire a minority interest in Bayview Lending Group LLC (“BLG”), a Florida-based privately-held commercial mortgage lender that specializes in originating, securitizing and servicing small balance commercial real estate loans in the United States, and to a lesser extent, in Canada and the United Kingdom. The investment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will be accounted for using the equity method of accounting. BLG was a going-concern when M&amp;T made its investment, but started out with a minimal amount of loans in its portfolio. As a result, BLG is expected to incur modest operating losses until a sufficiently significant volume of loans are originated and securitized. M&amp;T’s pro-rata portion of BLG’s operating results did not have a significant impact on M&amp;T’s results of operations in the first quarter of 2007.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8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a result of business combinations and other acquisitions, the Company had intangible assets consisting of goodwill and core deposit and other intangible assets totaling $3.1 billion at March 31, 2007, $3.0 billion at March 31, 2006 and $3.2 billion at December 31, 2006. Included in such intangible assets at each of those dates was goodwill of $2.9 billion. Amortization of core deposit and other intangible assets, after tax effect, was $11 million ($.10 per diluted share) during each of the first quarter of 2007 and the fourth quarter of 2006, and $8 million ($.07 per diluted share) in the first quarter of 2006.</w:t>
      </w:r>
    </w:p>
    <w:p>
      <w:pPr>
        <w:spacing w:after="0" w:line="114"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Since 1998, M&amp;T has consistently provided supplemental reporting of its results on a “net operating” or “tangible” basis, in which M&amp;T excludes the after-tax effect of amortization of core deposit and other intangible assets (and the related goodwill, core deposit intangible and other intangible asset balances, net of applicable deferred tax amounts, when calculating certain performance ratios) and expenses associated with integrating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31"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Net operating income declined 11% to $187 million in the initial quarter of 2007 from $211 million in the year-earlier quarter. Diluted net operating earnings per share for the first quarter of 2007 were $1.67, down 9% from $1.84 in the similar 2006 quarter. Net operating income and diluted net operating earnings per share were $225 million and $1.98, respectively, in the fourth quarter of 2006.</w:t>
      </w:r>
    </w:p>
    <w:p>
      <w:pPr>
        <w:spacing w:after="0" w:line="141"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Net operating income in the recent quarter represented an annualized rate of return on average tangible assets of 1.40%, compared with 1.64% and 1.67% in the first and fourth quarters of 2006, respectively. Net operating income expressed as an annualized return on average tangible common equity was 24.11% in the first quarter of 2007, compared with 29.31% in the year-earlier quarter and 28.71% in the final quarter of 2006.</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results with non-GAAP results are provided in table 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Taxable-equivalent net interest income increased to $456 million in the first quarter of 2007 from $452 million in the corresponding 2006 quarter, but was down from $472 million in the fourth quarter of 2006. The improvement in the recent quarter as compared with the first quarter of 2006 reflects a $1.6 billion, or 3%, increase in average earning assets that was largely offset by a nine basis point (hundredths of one percent) narrowing of the Company’s net interest margin, or taxable-equivalent net interest income expressed as an annualized percentage of average earning assets. The recent quarter’s decline in taxable-equivalent net interest income as compared with 2006’s final quarter resulted from a similar nine basis point narrowing of the net interest margin that was only partially offset by an increase in the average balance of earning assets.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15"/>
        <w:spacing w:after="0" w:line="267" w:lineRule="auto"/>
        <w:rPr>
          <w:sz w:val="20"/>
          <w:szCs w:val="20"/>
          <w:color w:val="auto"/>
        </w:rPr>
      </w:pPr>
      <w:r>
        <w:rPr>
          <w:rFonts w:ascii="Arial" w:cs="Arial" w:eastAsia="Arial" w:hAnsi="Arial"/>
          <w:sz w:val="17"/>
          <w:szCs w:val="17"/>
          <w:color w:val="auto"/>
        </w:rPr>
        <w:t>Average loans and leases rose $2.6 billion, or 6%, to $43.1 billion in the recently completed quarter from $40.5 billion in the first quarter of 2006, and were up $639 million from the $42.5 billion average in the fourth quarter of 2006. Contributing to the growth in average loans in the recent quarter as compared with the first quarter of 2006 were higher average outstanding balances of commercial loans, commercial real estate loans and residential real estate loans. Average commercial loans and leases rose $718 million or 7% to $11.8 billion in the initial 2007 quarter from $11.0 billion in the year-earlier quarter. Commercial real estate loans averaged $15.5 billion in the recent quarter, up $796 million or 5% from $14.7 billion in the first quarter of 2006, due largely to a rise in construction loans to developers of residential real estate properties. The Company’s residential real estate loan portfolio averaged $5.9 billion in 2007’s first quarter, up $1.3 billion or 29% from $4.6 billion in the corresponding quarter of 2006. Included in that portfolio were loans held for sale, which averaged $1.8 billion in the recently completed quarter, compared with $1.3 billion in the first quarter of 2006. Excluding such loans, average residential real estate loans rose $897 million from 2006’s initial quarter to the first quarter of 2007. That increase was largely the result of the Company’s decision to retain higher levels of residential real estate loans in light of modest loan growth in other loan types and the lack of availability of investment securities to acquire that met the Company’s desired characteristics and provided suitable returns. As already noted, during March 2007 the Company transferred $883 million of Alt-A loans previously held for sale to its held-for–investment portfolio. That transfer increased the recent quarter’s average balances of residential real estate loans held for investment by approximately $90 million. Partially offsetting the loan growth described above was a decline in average consumer loans and leases of $283 million, or 3%, in the recent quarter as compared with the year-earlier period due to lower average automobile loan and lease balances outstanding, reflecting the Company’s decision to allow such balances to decline rather than matching interest rates offered by competitors. However, during late 2006 the interest rate environment relating to the Company’s automobile lending business improved and outstanding balances of such loans have increased slightly since September 30, 2006.</w:t>
      </w:r>
    </w:p>
    <w:p>
      <w:pPr>
        <w:spacing w:after="0" w:line="166"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Company experienced growth of 2% in average commercial loan balances in the recent quarter as compared with the fourth quarter of 2006, while average commercial real estate loans were relatively unchanged. In dollar amount, average commercial loans increased $230 million. Average residential real estate loans in the recent quarter rose $401 million, or 7%, from 2006’s fourth quarter, while average consumer loans outstanding were up slightly from the final 2006 quarter, as higher automobile loans were largely offset by lower average outstanding balances of home equity lines of credit. The accompanying table summarizes quarterly changes in the major components of the loan and lease portfolio.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0"/>
              </w:rPr>
              <w:t>Percent increase</w:t>
            </w: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(decrease) from</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1st Qtr.</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7"/>
              </w:rPr>
              <w:t>1st Qtr.</w:t>
            </w:r>
          </w:p>
        </w:tc>
        <w:tc>
          <w:tcPr>
            <w:tcW w:w="320" w:type="dxa"/>
            <w:vAlign w:val="bottom"/>
          </w:tcPr>
          <w:p>
            <w:pPr>
              <w:spacing w:after="0"/>
              <w:rPr>
                <w:sz w:val="16"/>
                <w:szCs w:val="16"/>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4th Qtr.</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2007</w:t>
            </w:r>
          </w:p>
        </w:tc>
        <w:tc>
          <w:tcPr>
            <w:tcW w:w="12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Commercial, financial, etc.</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$11,753</w:t>
            </w: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15,474</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Real estate – consumer</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5,939</w:t>
            </w: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EEEEEE"/>
          </w:tcPr>
          <w:p>
            <w:pPr>
              <w:spacing w:after="0"/>
              <w:rPr>
                <w:sz w:val="18"/>
                <w:szCs w:val="18"/>
                <w:color w:val="auto"/>
              </w:rPr>
            </w:pPr>
          </w:p>
        </w:tc>
        <w:tc>
          <w:tcPr>
            <w:tcW w:w="8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Consumer</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Automobile</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2,781</w:t>
            </w:r>
          </w:p>
        </w:tc>
        <w:tc>
          <w:tcPr>
            <w:tcW w:w="124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(12)</w:t>
            </w:r>
          </w:p>
        </w:tc>
        <w:tc>
          <w:tcPr>
            <w:tcW w:w="8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Home equity lines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4,191</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(2)</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Home equity loans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1,165</w:t>
            </w:r>
          </w:p>
        </w:tc>
        <w:tc>
          <w:tcPr>
            <w:tcW w:w="124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(3)</w:t>
            </w:r>
          </w:p>
        </w:tc>
        <w:tc>
          <w:tcPr>
            <w:tcW w:w="8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1,811</w:t>
            </w:r>
          </w:p>
        </w:tc>
        <w:tc>
          <w:tcPr>
            <w:tcW w:w="860" w:type="dxa"/>
            <w:vAlign w:val="bottom"/>
            <w:gridSpan w:val="3"/>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consumer</w:t>
            </w: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9,948</w:t>
            </w:r>
          </w:p>
        </w:tc>
        <w:tc>
          <w:tcPr>
            <w:tcW w:w="860" w:type="dxa"/>
            <w:vAlign w:val="bottom"/>
            <w:tcBorders>
              <w:right w:val="single" w:sz="8" w:color="EEEEEE"/>
            </w:tcBorders>
            <w:gridSpan w:val="3"/>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8"/>
              </w:rPr>
              <w:t>—</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43,114</w:t>
            </w:r>
          </w:p>
        </w:tc>
        <w:tc>
          <w:tcPr>
            <w:tcW w:w="860" w:type="dxa"/>
            <w:vAlign w:val="bottom"/>
            <w:gridSpan w:val="3"/>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00" w:type="dxa"/>
            <w:vAlign w:val="bottom"/>
            <w:gridSpan w:val="2"/>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40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-19-</w:t>
            </w:r>
          </w:p>
        </w:tc>
        <w:tc>
          <w:tcPr>
            <w:tcW w:w="160" w:type="dxa"/>
            <w:vAlign w:val="bottom"/>
            <w:tcBorders>
              <w:right w:val="single" w:sz="8" w:color="808080"/>
            </w:tcBorders>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1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-457835</wp:posOffset>
            </wp:positionV>
            <wp:extent cx="12446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4460"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Average balances of investment securities aggregated $7.2 billion during the first quarter of 2007, compared with $8.4 billion in the year-earlier quarter and $7.6 billion in the fourth quarter of 2006. The declines in such securities from both the first and fourth quarters of 2006 reflect net paydowns of mortgage-backed securities and collateralized mortgage obligations. The Company has allowed the investment securities portfolio to decline as the opportunity to purchase securities at favorable spreads, that is, the difference between the yield earned on a security and the rate paid on funds used to purchase it, has been limited. 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or credit risk associated with a particular security, or as a result of restructuring its investment securities portfolio following completion of a business combination. The Company regularly reviews its investment securities for declines in value below amortized cost that might be other than temporary. As of March 31, 2007 and December 31, 2006, the Company concluded that such declines were temporary in nature.</w:t>
      </w:r>
    </w:p>
    <w:p>
      <w:pPr>
        <w:spacing w:after="0" w:line="153"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Other earning assets include deposits at banks, trading account assets, federal funds sold and agreements to resell securities. Those other earning assets in the aggregate averaged $365 million in the recently completed quarter, compared with $139 million and $205 million in the first and fourth quarters of 2006, respectively. The increase in such assets in the recent quarter resulted from purchases of investment securities under agreements to resell. The weighted-average term to maturity of such agreements, which averaged $281 million during 2007’s initial quarter and aggregated $400 million at March 31, 2007, was approximately 4 years. Those resell agreements are accounted for similar to collateralized loans, with changes in the market value of the collateral monitored by the Company to ensure sufficient coverage. Similar agreements averaged $100 million during the fourth quarter of 2006, while there were no such agreements outstanding during the initial quarter of 2006.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141" w:lineRule="exact"/>
        <w:rPr>
          <w:sz w:val="20"/>
          <w:szCs w:val="20"/>
          <w:color w:val="auto"/>
        </w:rPr>
      </w:pPr>
    </w:p>
    <w:p>
      <w:pPr>
        <w:ind w:right="500" w:firstLine="215"/>
        <w:spacing w:after="0" w:line="277" w:lineRule="auto"/>
        <w:rPr>
          <w:sz w:val="20"/>
          <w:szCs w:val="20"/>
          <w:color w:val="auto"/>
        </w:rPr>
      </w:pPr>
      <w:r>
        <w:rPr>
          <w:rFonts w:ascii="Arial" w:cs="Arial" w:eastAsia="Arial" w:hAnsi="Arial"/>
          <w:sz w:val="18"/>
          <w:szCs w:val="18"/>
          <w:color w:val="auto"/>
        </w:rPr>
        <w:t>As a result of the changes described herein, average earning assets increased 3% to $50.7 billion in the first quarter of 2007 from $49.1 billion in the similar 2006 quarter. Average earning assets aggregated $50.2 billion in the fourth quarter of 2006.</w:t>
      </w:r>
    </w:p>
    <w:p>
      <w:pPr>
        <w:spacing w:after="0" w:line="130"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most significant source of funding for the Company is core deposits which are comprised of noninterest-bearing deposits,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 subsidiary of M&amp;T, are also included in core deposits. Core deposits averaged $28.6 billion in the first quarter of 2007, compared with $27.8 billion in the corresponding quarter of 2006 and $28.7 billion in 2006’s final quarter. A June 30, 2006 acquisition of branch offices in upstate New York added approximately $900 million of core deposits on that date. The increase in average balances of time deposits less than $100,000 in the current quarter as compared with the similar 2006 period largely reflects customer response to higher interest rates being offered on those products, resulting in a shift of funds from savings and noninterest-bearing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deposit accounts to time deposits. The following table provides an analysis of quarterly changes in the components of average core deposits.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9"/>
              </w:rPr>
              <w:t>Percent increase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(decrease) from</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1st Qtr.</w:t>
            </w:r>
          </w:p>
        </w:tc>
        <w:tc>
          <w:tcPr>
            <w:tcW w:w="4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1st Qtr.</w:t>
            </w:r>
          </w:p>
        </w:tc>
        <w:tc>
          <w:tcPr>
            <w:tcW w:w="32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4th Qtr.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NOW accounts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437</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7</w:t>
            </w:r>
          </w:p>
        </w:tc>
        <w:tc>
          <w:tcPr>
            <w:tcW w:w="84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Savings deposits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14,649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Time deposits less than $100,000</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6,047</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9</w:t>
            </w:r>
          </w:p>
        </w:tc>
        <w:tc>
          <w:tcPr>
            <w:tcW w:w="8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7,422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28,555</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w:t>
            </w:r>
          </w:p>
        </w:tc>
        <w:tc>
          <w:tcPr>
            <w:tcW w:w="84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-38100</wp:posOffset>
            </wp:positionV>
            <wp:extent cx="10731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-38100</wp:posOffset>
            </wp:positionV>
            <wp:extent cx="10731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7315" cy="38735"/>
                    </a:xfrm>
                    <a:prstGeom prst="rect">
                      <a:avLst/>
                    </a:prstGeom>
                    <a:noFill/>
                  </pic:spPr>
                </pic:pic>
              </a:graphicData>
            </a:graphic>
          </wp:anchor>
        </w:drawing>
      </w:r>
    </w:p>
    <w:p>
      <w:pPr>
        <w:spacing w:after="0" w:line="151" w:lineRule="exact"/>
        <w:rPr>
          <w:sz w:val="20"/>
          <w:szCs w:val="20"/>
          <w:color w:val="auto"/>
        </w:rPr>
      </w:pPr>
    </w:p>
    <w:p>
      <w:pPr>
        <w:ind w:firstLine="215"/>
        <w:spacing w:after="0" w:line="287" w:lineRule="auto"/>
        <w:rPr>
          <w:sz w:val="20"/>
          <w:szCs w:val="20"/>
          <w:color w:val="auto"/>
        </w:rPr>
      </w:pPr>
      <w:r>
        <w:rPr>
          <w:rFonts w:ascii="Arial" w:cs="Arial" w:eastAsia="Arial" w:hAnsi="Arial"/>
          <w:sz w:val="16"/>
          <w:szCs w:val="16"/>
          <w:color w:val="auto"/>
        </w:rPr>
        <w:t>Additional sources of funding for the Company include domestic time deposits of $100,000 or more, deposits originated through the Company’s offshore branch office, and brokered deposits. Domestic time deposits over $100,000, excluding brokered certificates of deposit, averaged $2.9 billion during the quarter ended March 31, 2007, compared with $2.6 billion in the first quarter of 2006 and $3.0 billion in 2006’s fourth quarter. Offshore branch deposits, primarily comprised of accounts with balances of $100,000 or more, averaged $3.7 billion, $3.4 billion and $3.8 billion for the quarters ended March 31, 2007, March 31, 2006 and December 31, 2006, respectively. Brokered time deposits averaged $2.8 billion during the recently completed quarter, compared with $3.7 billion and $3.0 billion in the first and fourth quarters of 2006, respectively.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$325 million of brokered time deposits. The Company also had brokered money-market deposit accounts which averaged $84 million during the first quarter of 2007, compared with $66 million in the year-earlier quarter and $75 million in the fourth quarter of 2006. Offshore branch deposits and brokered deposits have been used by the Company as alternatives to short-term borrowings. Additional amounts of offshore branch deposits or brokered deposits may be solicited in the future depending on market conditions, including demand by customers and other investors for such deposits, and the cost of funds available from alternative sources at the time.</w:t>
      </w:r>
    </w:p>
    <w:p>
      <w:pPr>
        <w:spacing w:after="0" w:line="142"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also uses borrowings from banks, securities dealers, various Federal Home Loan Banks (“FHLBs”), and others as sources of funding. Short-term borrowings averaged $4.9 billion in the initial 2007 quarter, compared with $4.6 billion in the year-earlier quarter and $4.8 billion in the final 2006 quarter. Included in short-term borrowings were unsecured federal funds borrowings which generally mature daily and averaged $4.1 billion in the recent quarter, compared with $3.8 billion and $4.0 billion in the first and fourth quarters of 2006, respectively. Overnight federal funds borrowings represent the largest component of short-term borrowings and are obtained daily from a wide variety of banks and other financial institutions. Also included in short-term borrowings is a $500 million revolving asset-backed structured borrowing secured by automobile loans that were transferred to M&amp;T Auto Receivables I, LLC, a special purpose subsidiary of M&amp;T Bank, the principal bank subsidiary of M&amp;T. The special purpose subsidiary, the loans and the borrowings are included in the consolidated financial statements of the Company.</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Long-term borrowings averaged $7.3 billion in the first quarter of 2007, compared with $6.3 billion in the similar 2006 quarter and $6.2 billion in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2006. Included in average long-term borrowings were amounts borrowed from the FHLBs of $3.5 billion in the initial quarter of 2007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 billion and $3.4 billion in the first and fourth quarters of 2006, respectively, and subordinated capital notes of $1.7 billion in the most recent quarter, $1.2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in the first quarter of 2006 and $1.4 billion in 2006’s final quarter. M&amp;T Bank issued $500 million of subordinated notes in December 2006, in part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maintain appropriate regulatory capital ratios. Junior subordinated debentures associated with trust preferred securities that were included in average long-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borrowings were $713 million in each of the first quarter of 2007 and the fourth quarter of 2006, and $712 million in 2006’s first quarter. Information regarding trust preferred securities and the related junior subordinated debentures is provided in note 4 of Notes to Financial Statements. Also included in long-term borrowings were agreements to repurchase securities, which averaged $1.4 billion during the first quarter of 2007, $284 million in the corresponding 2006 quarter and $612 million in the fourth quarter of 2006.</w:t>
      </w:r>
    </w:p>
    <w:p>
      <w:pPr>
        <w:spacing w:after="0" w:line="16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Changes in the composition of the Company’s earning assets and interest-bearing liabilities as described herein, as well as changes in interest rates and spreads, can impact net interest income. Net interest spread, or the difference between the taxable-equivalent yield on earning assets and the rate paid on interest-bearing liabilities, was 3.03% in the first quarter of 2007 and 3.18% in the year-earlier quarter. The yield on earning assets during the recent quarter was 6.93%, up 47 basis points from 6.46% in the first quarter of 2006, while the rate paid on interest-bearing liabilities increased 62 basis points to 3.90% from 3.28%. In the fourth quarter of 2006, the net interest spread was 3.09%, the yield on earning assets was 6.92% and the rate paid on interest-bearing liabilities was 3.83%. During the first half of 2006, the Federal Reserve raised its benchmark overnight federal funds target rate four times, each increase representing a 25 basis point increment over the previously effective target rate. Those interest rate increases resulted in a more rapid rise in rates paid on interest-bearing liabilities, most notably short-term borrowings, than in the yields on earning assets and contributed to a general flattening of the yield curve. The decline in the Company’s net interest spread during the recent quarter as compared with the first quarter of 2006 resulted from several factors, including lower fees from customer prepayments of commercial real estate loans, higher rates paid on consumer deposits and the impact of funding the Company’s investment in BLG. The decline in net interest spread from the final quarter of 2006 to the recent quarter was due, in part, to lower commercial real estate loan prepayment fees, higher rates paid on deposits, the impact of two less days in the recent quarter and the funding of the BLG investment.</w:t>
      </w:r>
    </w:p>
    <w:p>
      <w:pPr>
        <w:spacing w:after="0" w:line="12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$8.0 billion in 2007’s initial quarter, compared with $8.2 billion and $8.4 billion in the first and fourth quarters of 2006, respectively. Goodwill and core deposit and other intangible assets averaged $3.1 billion during the quarter ended March 31, 2007, $3.0 billion in the first quarter of 2006 and $3.2 billion in 2006’s final quarter. The cash surrender value of bank owned life insurance averaged $1.1 billion in each of the first quarter of 2007 and the fourth quarter of 2006, and $1.0 billion in the first quarter of 2006. Increases in the cash surrender value of bank owned life insurance and benefits received are not included in interest income, but rather are recorded in “other revenues from operations.”</w:t>
      </w:r>
    </w:p>
    <w:p>
      <w:pPr>
        <w:spacing w:after="0" w:line="149"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contribution of net interest-free funds to net interest margin was .61% in the recent quarter, compared with .55% in the year-earlier quarter and .64% in 2006’s fourth quarter. The increase in the contribution to net interest margin ascribed to net interest-free funds in the recent quarter and 2006’s fourth quarter as compared with the first quarter of 2006 resulted largely from the impact of higher interest rates on interest-bearing liabilities used to value such contribution.</w:t>
      </w:r>
    </w:p>
    <w:p>
      <w:pPr>
        <w:spacing w:after="0" w:line="160" w:lineRule="exact"/>
        <w:rPr>
          <w:sz w:val="20"/>
          <w:szCs w:val="20"/>
          <w:color w:val="auto"/>
        </w:rPr>
      </w:pPr>
    </w:p>
    <w:p>
      <w:pPr>
        <w:jc w:val="both"/>
        <w:ind w:right="220" w:firstLine="225"/>
        <w:spacing w:after="0" w:line="259"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3.64% in the first quarter of 2007, down from 3.73% in each of the first and fourth quarters of 2006.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approximately $1.0 billion as of March 31, 2007 and December 31, 2006, and $717 million as of March 31, 2006. Under the terms of these swap agreements, the Company receives payments based on the outstanding notional amount of the swap agreements at fixed rates of interest and makes payments at variable rates.</w:t>
      </w:r>
    </w:p>
    <w:p>
      <w:pPr>
        <w:spacing w:after="0" w:line="162" w:lineRule="exact"/>
        <w:rPr>
          <w:sz w:val="20"/>
          <w:szCs w:val="20"/>
          <w:color w:val="auto"/>
        </w:rPr>
      </w:pPr>
    </w:p>
    <w:p>
      <w:pPr>
        <w:ind w:right="20" w:firstLine="215"/>
        <w:spacing w:after="0" w:line="283" w:lineRule="auto"/>
        <w:rPr>
          <w:sz w:val="20"/>
          <w:szCs w:val="20"/>
          <w:color w:val="auto"/>
        </w:rPr>
      </w:pPr>
      <w:r>
        <w:rPr>
          <w:rFonts w:ascii="Arial" w:cs="Arial" w:eastAsia="Arial" w:hAnsi="Arial"/>
          <w:sz w:val="16"/>
          <w:szCs w:val="16"/>
          <w:color w:val="auto"/>
        </w:rPr>
        <w:t>As of March 31, 2007, all of the Company’s interest rate swap agreements entered into for risk management purposes had been designated as fair value hedges. 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March 31, 2007 and 2006 and the quarter ended December 31, 2006 were not material to the Company’s results of operations. The estimated aggregate fair value of interest rate swap agreements designated as fair value hedges represented losses of approximately $12 million and</w:t>
      </w:r>
    </w:p>
    <w:p>
      <w:pPr>
        <w:spacing w:after="0" w:line="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$13 million at March 31, 2007 and 2006, respectively, and $15 million at December 31, 2006. The fair values of such swap agreements were substantially offset by changes in the fair values of the hedged items. The changes in the fair values of the interest rate swap agreements and the hedged items result from the effects of changing interest rates.</w:t>
      </w:r>
    </w:p>
    <w:p>
      <w:pPr>
        <w:spacing w:after="0" w:line="150"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5.63% and 6.20%, respectively, at March 31, 2007. The average notional amounts of interest rate swap agreements entered into for interest rate risk management purposes, the related effect on net interest income and margin, and the weighted-average rates paid or received on those swap agreements are presented in the accompanying table.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7"/>
          </w:tcPr>
          <w:p>
            <w:pPr>
              <w:jc w:val="right"/>
              <w:ind w:right="154"/>
              <w:spacing w:after="0"/>
              <w:rPr>
                <w:sz w:val="20"/>
                <w:szCs w:val="20"/>
                <w:color w:val="auto"/>
              </w:rPr>
            </w:pPr>
            <w:r>
              <w:rPr>
                <w:rFonts w:ascii="Arial" w:cs="Arial" w:eastAsia="Arial" w:hAnsi="Arial"/>
                <w:sz w:val="14"/>
                <w:szCs w:val="14"/>
                <w:b w:val="1"/>
                <w:bCs w:val="1"/>
                <w:color w:val="auto"/>
                <w:w w:val="97"/>
              </w:rPr>
              <w:t>Three months ended March 31</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Rate*</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expense</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1,355</w:t>
            </w: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3480" w:type="dxa"/>
            <w:vAlign w:val="bottom"/>
          </w:tcPr>
          <w:p>
            <w:pPr>
              <w:ind w:left="260"/>
              <w:spacing w:after="0"/>
              <w:rPr>
                <w:sz w:val="20"/>
                <w:szCs w:val="20"/>
                <w:color w:val="auto"/>
              </w:rPr>
            </w:pPr>
            <w:r>
              <w:rPr>
                <w:rFonts w:ascii="Arial" w:cs="Arial" w:eastAsia="Arial" w:hAnsi="Arial"/>
                <w:sz w:val="18"/>
                <w:szCs w:val="18"/>
                <w:color w:val="auto"/>
              </w:rPr>
              <w:t>Net interest income/margin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(1,355)</w:t>
            </w:r>
          </w:p>
        </w:tc>
        <w:tc>
          <w:tcPr>
            <w:tcW w:w="140" w:type="dxa"/>
            <w:vAlign w:val="bottom"/>
          </w:tcPr>
          <w:p>
            <w:pPr>
              <w:spacing w:after="0"/>
              <w:rPr>
                <w:sz w:val="24"/>
                <w:szCs w:val="2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Average notional amount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996,297</w:t>
            </w: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688,630</w:t>
            </w:r>
          </w:p>
        </w:tc>
        <w:tc>
          <w:tcPr>
            <w:tcW w:w="38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480" w:type="dxa"/>
            <w:vAlign w:val="bottom"/>
            <w:shd w:val="clear" w:color="auto" w:fill="EEEEEE"/>
          </w:tcPr>
          <w:p>
            <w:pPr>
              <w:spacing w:after="0"/>
              <w:rPr>
                <w:sz w:val="3"/>
                <w:szCs w:val="3"/>
                <w:color w:val="auto"/>
              </w:rPr>
            </w:pPr>
          </w:p>
        </w:tc>
        <w:tc>
          <w:tcPr>
            <w:tcW w:w="34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600" w:type="dxa"/>
            <w:vAlign w:val="bottom"/>
            <w:tcBorders>
              <w:bottom w:val="single" w:sz="8" w:color="808080"/>
            </w:tcBorders>
            <w:shd w:val="clear" w:color="auto" w:fill="808080"/>
          </w:tcPr>
          <w:p>
            <w:pPr>
              <w:spacing w:after="0"/>
              <w:rPr>
                <w:sz w:val="3"/>
                <w:szCs w:val="3"/>
                <w:color w:val="auto"/>
              </w:rPr>
            </w:pPr>
          </w:p>
        </w:tc>
        <w:tc>
          <w:tcPr>
            <w:tcW w:w="380" w:type="dxa"/>
            <w:vAlign w:val="bottom"/>
            <w:tcBorders>
              <w:left w:val="single" w:sz="8" w:color="EEEEEE"/>
            </w:tcBorders>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3500" w:type="dxa"/>
            <w:vAlign w:val="bottom"/>
            <w:gridSpan w:val="2"/>
          </w:tcPr>
          <w:p>
            <w:pPr>
              <w:spacing w:after="0"/>
              <w:rPr>
                <w:sz w:val="20"/>
                <w:szCs w:val="20"/>
                <w:color w:val="auto"/>
              </w:rPr>
            </w:pPr>
            <w:r>
              <w:rPr>
                <w:rFonts w:ascii="Arial" w:cs="Arial" w:eastAsia="Arial" w:hAnsi="Arial"/>
                <w:sz w:val="18"/>
                <w:szCs w:val="18"/>
                <w:color w:val="auto"/>
              </w:rPr>
              <w:t>Rate received **</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5.71%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5"/>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Rate paid **</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spacing w:after="0"/>
              <w:rPr>
                <w:sz w:val="18"/>
                <w:szCs w:val="18"/>
                <w:color w:val="auto"/>
              </w:rPr>
            </w:pPr>
          </w:p>
        </w:tc>
        <w:tc>
          <w:tcPr>
            <w:tcW w:w="5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0"/>
              </w:rPr>
              <w:t>6.26%</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tcBorders>
              <w:left w:val="single" w:sz="8" w:color="EEEEEE"/>
            </w:tcBorders>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4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32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40" w:type="dxa"/>
            <w:vAlign w:val="bottom"/>
            <w:tcBorders>
              <w:top w:val="single" w:sz="8" w:color="808080"/>
            </w:tcBorders>
            <w:shd w:val="clear" w:color="auto" w:fill="808080"/>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Computed as an annualized percentage of average earning assets or interest-bearing liabilities</w:t>
      </w:r>
      <w:r>
        <w:rPr>
          <w:rFonts w:ascii="Arial" w:cs="Arial" w:eastAsia="Arial" w:hAnsi="Arial"/>
          <w:sz w:val="18"/>
          <w:szCs w:val="18"/>
          <w:color w:val="auto"/>
        </w:rPr>
        <w:t>.</w:t>
      </w:r>
    </w:p>
    <w:p>
      <w:pPr>
        <w:spacing w:after="0" w:line="225" w:lineRule="exact"/>
        <w:rPr>
          <w:sz w:val="20"/>
          <w:szCs w:val="20"/>
          <w:color w:val="auto"/>
        </w:rPr>
      </w:pPr>
    </w:p>
    <w:p>
      <w:pPr>
        <w:ind w:left="5560" w:right="3840" w:hanging="5552"/>
        <w:spacing w:after="0" w:line="528" w:lineRule="auto"/>
        <w:tabs>
          <w:tab w:leader="none" w:pos="301"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Weighted-average rate paid or received on interest rate swap agreements in effect during the period. </w:t>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for other corporate purposes. Liquidity risk arises whenever the maturities of financial instruments included in assets and liabilities differ. M&amp;T’s banking subsidiaries have access to additional funding sources through borrowings from the Federal Home Loan Bank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 In December 2006, M&amp;T Bank issued $500 million of subordinated notes. The notes bear a fixed rate of interest of 5.629% for ten years and a floating rate thereafter, at a rate equal to the three-month London Interbank Offered Rate plus .64%. The notes are redeemable at the Company’s option after the fixed-rate period ends, subject to prior regulatory approval. As an additional source of funding, the Company maintains a $500 million revolving asset-backed structured borrowing which is collateralized by automobile loans and related assets that have been transferred to a special purpose subsidiary of M&amp;T Bank. That subsidiary, the loans and the borrowing are included in the Company’s consolidated financial statements. As existing loans of the subsidiary pay down, monthly proceeds, after payment of certain fees and debt service costs, are used to obtain additional automobile loans from M&amp;T Bank or other subsidiaries to replenish the collateral and maintain the existing borrowing base.</w:t>
      </w:r>
    </w:p>
    <w:p>
      <w:pPr>
        <w:spacing w:after="0" w:line="148" w:lineRule="exact"/>
        <w:rPr>
          <w:sz w:val="20"/>
          <w:szCs w:val="20"/>
          <w:color w:val="auto"/>
        </w:rPr>
      </w:pPr>
    </w:p>
    <w:p>
      <w:pPr>
        <w:ind w:right="80" w:firstLine="222"/>
        <w:spacing w:after="0" w:line="254" w:lineRule="auto"/>
        <w:rPr>
          <w:sz w:val="20"/>
          <w:szCs w:val="20"/>
          <w:color w:val="auto"/>
        </w:rPr>
      </w:pPr>
      <w:r>
        <w:rPr>
          <w:rFonts w:ascii="Arial" w:cs="Arial" w:eastAsia="Arial" w:hAnsi="Arial"/>
          <w:sz w:val="18"/>
          <w:szCs w:val="18"/>
          <w:color w:val="auto"/>
        </w:rPr>
        <w:t>The Company has informal and sometimes reciprocal sources of funding available through various arrangements for unsecured short-term borrowings from a wide group of banks and other financial institutions. Short-term federal funds borrowings aggregated $3.3 billion at March 31, 2007, $2.3 billion at December 31, 2006 and $3.6 billion at March 31, 2006. In general, those borrowings were unsecured and matured on the following business day. As already noted, offshore branch deposits and brokered certificates of deposit have been used by the Company as an alternative to short-term borrowings. Offshore branch deposits also generally mature on the next business day and totaled $4.8 billion, $3.2 billion and $5.4 billion at March 31, 2007, March 31, 2006 and December 31, 2006, respectively. Brokered certificates of deposit have longer maturity terms. At March 31, 2007, brokered time deposits totaled $2.3 billion and the weighted-average remaining term to maturity of such deposits was 11 months. Certain of these brokered time deposits have provisions that allow for early redemption.</w:t>
      </w:r>
    </w:p>
    <w:p>
      <w:pPr>
        <w:spacing w:after="0" w:line="152"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2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$26 million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March 31, 2007, $61 million at March 31, 2006 and $6 million at December 31, 2006. The total amount of VRDBs outstanding backed by M&amp;T Bank letters of credit was $1.7 billion at March 31, 2007, March 31, 2006 and December 31, 2006. M&amp;T Bank also serves as remarketing agent for most of those bonds.</w:t>
      </w:r>
    </w:p>
    <w:p>
      <w:pPr>
        <w:spacing w:after="0" w:line="154"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In the normal course of business, the Company enters into contractual obligations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about these commitments is provided in note 6 of Notes to Financial Statements.</w:t>
      </w:r>
    </w:p>
    <w:p>
      <w:pPr>
        <w:spacing w:after="0" w:line="153"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M&amp;T’s primary source of funds to pay for operating expenses, shareholder dividends and common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at March 31, 2007 approximately $147 million was available for payment of dividends to M&amp;T from banking subsidiaries without prior regulatory approval. These historic sources of cash flow have been augmented in the past by the issuance of trust preferred securities.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March 31, 2007 or at December 31, 2006.</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Management closely monitors the Company’s liquidity position for compliance with internal policies and believes that available sources of liquidity 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adequate to meet funding needs in the normal course of business. Management does not anticipate engaging in any activities, either currently or in the long-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for which adequate funding would not be available and would therefore result in a significant strain on liquidity at either M&amp;T or its subsidiary banks.</w:t>
      </w:r>
    </w:p>
    <w:p>
      <w:pPr>
        <w:spacing w:after="0" w:line="20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53" w:lineRule="exact"/>
        <w:rPr>
          <w:sz w:val="20"/>
          <w:szCs w:val="20"/>
          <w:color w:val="auto"/>
        </w:rPr>
      </w:pPr>
    </w:p>
    <w:p>
      <w:pPr>
        <w:jc w:val="both"/>
        <w:ind w:right="280" w:firstLine="222"/>
        <w:spacing w:after="0" w:line="342" w:lineRule="auto"/>
        <w:rPr>
          <w:sz w:val="20"/>
          <w:szCs w:val="20"/>
          <w:color w:val="auto"/>
        </w:rPr>
      </w:pPr>
      <w:r>
        <w:rPr>
          <w:rFonts w:ascii="Arial" w:cs="Arial" w:eastAsia="Arial" w:hAnsi="Arial"/>
          <w:sz w:val="16"/>
          <w:szCs w:val="16"/>
          <w:color w:val="auto"/>
        </w:rPr>
        <w:t>The accompanying table as of March 31, 2007 and December 31, 2006 displays the estimated impact on net interest income from non-trading financial instruments in the base scenario described above resulting from parallel changes in interest rates across repricing categories during the first modeling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rPr>
              <w:t>Calculated increase(decrease)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3"/>
          </w:tcPr>
          <w:p>
            <w:pPr>
              <w:jc w:val="right"/>
              <w:ind w:right="808"/>
              <w:spacing w:after="0"/>
              <w:rPr>
                <w:sz w:val="20"/>
                <w:szCs w:val="20"/>
                <w:color w:val="auto"/>
              </w:rPr>
            </w:pPr>
            <w:r>
              <w:rPr>
                <w:rFonts w:ascii="Arial" w:cs="Arial" w:eastAsia="Arial" w:hAnsi="Arial"/>
                <w:sz w:val="14"/>
                <w:szCs w:val="14"/>
                <w:b w:val="1"/>
                <w:bCs w:val="1"/>
                <w:color w:val="auto"/>
              </w:rPr>
              <w:t>in projected net interest income</w:t>
            </w:r>
          </w:p>
        </w:tc>
        <w:tc>
          <w:tcPr>
            <w:tcW w:w="0" w:type="dxa"/>
            <w:vAlign w:val="bottom"/>
          </w:tcPr>
          <w:p>
            <w:pPr>
              <w:spacing w:after="0"/>
              <w:rPr>
                <w:sz w:val="1"/>
                <w:szCs w:val="1"/>
                <w:color w:val="auto"/>
              </w:rPr>
            </w:pPr>
          </w:p>
        </w:tc>
      </w:tr>
      <w:tr>
        <w:trPr>
          <w:trHeight w:val="66"/>
        </w:trPr>
        <w:tc>
          <w:tcPr>
            <w:tcW w:w="236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Changes in interest rates</w:t>
            </w:r>
          </w:p>
        </w:tc>
        <w:tc>
          <w:tcPr>
            <w:tcW w:w="1740" w:type="dxa"/>
            <w:vAlign w:val="bottom"/>
          </w:tcPr>
          <w:p>
            <w:pPr>
              <w:jc w:val="right"/>
              <w:ind w:right="318"/>
              <w:spacing w:after="0"/>
              <w:rPr>
                <w:sz w:val="20"/>
                <w:szCs w:val="20"/>
                <w:color w:val="auto"/>
              </w:rPr>
            </w:pPr>
            <w:r>
              <w:rPr>
                <w:rFonts w:ascii="Arial" w:cs="Arial" w:eastAsia="Arial" w:hAnsi="Arial"/>
                <w:sz w:val="14"/>
                <w:szCs w:val="14"/>
                <w:b w:val="1"/>
                <w:bCs w:val="1"/>
                <w:color w:val="auto"/>
              </w:rPr>
              <w:t>March 31, 2007</w:t>
            </w:r>
          </w:p>
        </w:tc>
        <w:tc>
          <w:tcPr>
            <w:tcW w:w="220" w:type="dxa"/>
            <w:vAlign w:val="bottom"/>
          </w:tcPr>
          <w:p>
            <w:pPr>
              <w:spacing w:after="0"/>
              <w:rPr>
                <w:sz w:val="19"/>
                <w:szCs w:val="19"/>
                <w:color w:val="auto"/>
              </w:rPr>
            </w:pPr>
          </w:p>
        </w:tc>
        <w:tc>
          <w:tcPr>
            <w:tcW w:w="174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+200 basis points</w:t>
            </w:r>
          </w:p>
        </w:tc>
        <w:tc>
          <w:tcPr>
            <w:tcW w:w="1740" w:type="dxa"/>
            <w:vAlign w:val="bottom"/>
            <w:shd w:val="clear" w:color="auto" w:fill="EEEEEE"/>
          </w:tcPr>
          <w:p>
            <w:pPr>
              <w:jc w:val="right"/>
              <w:ind w:right="498"/>
              <w:spacing w:after="0"/>
              <w:rPr>
                <w:sz w:val="20"/>
                <w:szCs w:val="20"/>
                <w:color w:val="auto"/>
              </w:rPr>
            </w:pPr>
            <w:r>
              <w:rPr>
                <w:rFonts w:ascii="Arial" w:cs="Arial" w:eastAsia="Arial" w:hAnsi="Arial"/>
                <w:sz w:val="18"/>
                <w:szCs w:val="18"/>
                <w:color w:val="auto"/>
              </w:rPr>
              <w:t>$ 13,627</w:t>
            </w:r>
          </w:p>
        </w:tc>
        <w:tc>
          <w:tcPr>
            <w:tcW w:w="1960" w:type="dxa"/>
            <w:vAlign w:val="bottom"/>
            <w:gridSpan w:val="2"/>
            <w:shd w:val="clear" w:color="auto" w:fill="EEEEEE"/>
          </w:tcPr>
          <w:p>
            <w:pPr>
              <w:jc w:val="right"/>
              <w:ind w:right="548"/>
              <w:spacing w:after="0"/>
              <w:rPr>
                <w:sz w:val="20"/>
                <w:szCs w:val="20"/>
                <w:color w:val="auto"/>
              </w:rPr>
            </w:pPr>
            <w:r>
              <w:rPr>
                <w:rFonts w:ascii="Arial" w:cs="Arial" w:eastAsia="Arial" w:hAnsi="Arial"/>
                <w:sz w:val="18"/>
                <w:szCs w:val="18"/>
                <w:color w:val="auto"/>
              </w:rPr>
              <w:t>15,098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1740" w:type="dxa"/>
            <w:vAlign w:val="bottom"/>
          </w:tcPr>
          <w:p>
            <w:pPr>
              <w:jc w:val="right"/>
              <w:ind w:right="498"/>
              <w:spacing w:after="0"/>
              <w:rPr>
                <w:sz w:val="20"/>
                <w:szCs w:val="20"/>
                <w:color w:val="auto"/>
              </w:rPr>
            </w:pPr>
            <w:r>
              <w:rPr>
                <w:rFonts w:ascii="Arial" w:cs="Arial" w:eastAsia="Arial" w:hAnsi="Arial"/>
                <w:sz w:val="18"/>
                <w:szCs w:val="18"/>
                <w:color w:val="auto"/>
              </w:rPr>
              <w:t>15,035</w:t>
            </w:r>
          </w:p>
        </w:tc>
        <w:tc>
          <w:tcPr>
            <w:tcW w:w="1960" w:type="dxa"/>
            <w:vAlign w:val="bottom"/>
            <w:gridSpan w:val="2"/>
          </w:tcPr>
          <w:p>
            <w:pPr>
              <w:jc w:val="right"/>
              <w:ind w:right="548"/>
              <w:spacing w:after="0"/>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-100 basis points</w:t>
            </w:r>
          </w:p>
        </w:tc>
        <w:tc>
          <w:tcPr>
            <w:tcW w:w="174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(7,030)</w:t>
            </w:r>
          </w:p>
        </w:tc>
        <w:tc>
          <w:tcPr>
            <w:tcW w:w="1960" w:type="dxa"/>
            <w:vAlign w:val="bottom"/>
            <w:gridSpan w:val="2"/>
            <w:shd w:val="clear" w:color="auto" w:fill="EEEEEE"/>
          </w:tcPr>
          <w:p>
            <w:pPr>
              <w:jc w:val="right"/>
              <w:ind w:right="488"/>
              <w:spacing w:after="0"/>
              <w:rPr>
                <w:sz w:val="20"/>
                <w:szCs w:val="20"/>
                <w:color w:val="auto"/>
              </w:rPr>
            </w:pPr>
            <w:r>
              <w:rPr>
                <w:rFonts w:ascii="Arial" w:cs="Arial" w:eastAsia="Arial" w:hAnsi="Arial"/>
                <w:sz w:val="18"/>
                <w:szCs w:val="18"/>
                <w:color w:val="auto"/>
              </w:rPr>
              <w:t>(12,759)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-200 basis points</w:t>
            </w:r>
          </w:p>
        </w:tc>
        <w:tc>
          <w:tcPr>
            <w:tcW w:w="1740" w:type="dxa"/>
            <w:vAlign w:val="bottom"/>
          </w:tcPr>
          <w:p>
            <w:pPr>
              <w:jc w:val="right"/>
              <w:ind w:right="438"/>
              <w:spacing w:after="0"/>
              <w:rPr>
                <w:sz w:val="20"/>
                <w:szCs w:val="20"/>
                <w:color w:val="auto"/>
              </w:rPr>
            </w:pPr>
            <w:r>
              <w:rPr>
                <w:rFonts w:ascii="Arial" w:cs="Arial" w:eastAsia="Arial" w:hAnsi="Arial"/>
                <w:sz w:val="18"/>
                <w:szCs w:val="18"/>
                <w:color w:val="auto"/>
              </w:rPr>
              <w:t>(21,428)</w:t>
            </w:r>
          </w:p>
        </w:tc>
        <w:tc>
          <w:tcPr>
            <w:tcW w:w="1960" w:type="dxa"/>
            <w:vAlign w:val="bottom"/>
            <w:gridSpan w:val="2"/>
          </w:tcPr>
          <w:p>
            <w:pPr>
              <w:jc w:val="right"/>
              <w:ind w:right="488"/>
              <w:spacing w:after="0"/>
              <w:rPr>
                <w:sz w:val="20"/>
                <w:szCs w:val="20"/>
                <w:color w:val="auto"/>
              </w:rPr>
            </w:pPr>
            <w:r>
              <w:rPr>
                <w:rFonts w:ascii="Arial" w:cs="Arial" w:eastAsia="Arial" w:hAnsi="Arial"/>
                <w:sz w:val="18"/>
                <w:szCs w:val="18"/>
                <w:color w:val="auto"/>
              </w:rPr>
              <w:t>(26,546)</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and changes in such amounts are not considered significant to the Company’s past or projected net interest income.</w:t>
      </w:r>
    </w:p>
    <w:p>
      <w:pPr>
        <w:spacing w:after="0" w:line="129"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have included forward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futures contracts related to foreign currencies and mortgage-backed securities, U.S. Treasury and other government securities, mortgage-backed securities, mutual funds and interest rate contracts, such as swap agreements.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66" w:lineRule="exact"/>
        <w:rPr>
          <w:sz w:val="20"/>
          <w:szCs w:val="20"/>
          <w:color w:val="auto"/>
        </w:rPr>
      </w:pPr>
    </w:p>
    <w:p>
      <w:pPr>
        <w:ind w:right="60" w:firstLine="222"/>
        <w:spacing w:after="0" w:line="283" w:lineRule="auto"/>
        <w:rPr>
          <w:sz w:val="20"/>
          <w:szCs w:val="20"/>
          <w:color w:val="auto"/>
        </w:rPr>
      </w:pPr>
      <w:r>
        <w:rPr>
          <w:rFonts w:ascii="Arial" w:cs="Arial" w:eastAsia="Arial" w:hAnsi="Arial"/>
          <w:sz w:val="16"/>
          <w:szCs w:val="16"/>
          <w:color w:val="auto"/>
        </w:rPr>
        <w:t>The notional amounts of interest rate contracts entered into for trading purposes totaled $8.1 billion at March 31, 2007, compared with $6.8 billion at March 31, 2006 and $7.6 billion at December 31, 2006. The notional amounts of foreign currency and other option and futures contracts entered into for trading purposes were $678 million at March 31, 2007, compared with $1.2 billion and $613 million at March 31, 2006 and December 31, 2006, respectively. 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were $154 million and $61 million, respectively, at March 31, 2007, $201 million and $82 million, respectively, at March 31, 2006, and $137 million and $65 million, respectively, at December 31, 2006. Included in trading account assets were assets related to deferred compensation plans totaling $45 million at each of March 31, 2007 and December 31, 2006, and $43 million at March 31, 2006. Changes in the fair values of such assets are recorded as trading account and foreign exchange gains in the consolidated statement of income. Included in other liabilities in the consolidated balance sheet at March 31, 2007 and December 31, 2006 were</w:t>
      </w:r>
    </w:p>
    <w:p>
      <w:pPr>
        <w:spacing w:after="0" w:line="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$49 million of liabilities related to deferred compensation plans, compared with $48 million at March 31, 2006. Changes in the balances of such liabilities due to the valuation of allocated investment options to which the liabilities are indexed are recorded in “other costs of operations” in the consolidated statement of income.</w:t>
      </w:r>
    </w:p>
    <w:p>
      <w:pPr>
        <w:spacing w:after="0" w:line="150"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first quarter of 2007 was $27 million, compared with $18 million in the year-earlier quarter and $28 million in the fourth quarter of 2006. Net loan charge-offs were $17 million in each of the first quarters of 2007 and 2006, compared with $24 million during the final quarter of 2006. Net charge-offs as an annualized percentage of average loans and leases were .16% in the first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quarter of 2007, compared with .17% and .23% in the first and fourth quarters of 2006, respectively. A summary of net charge-offs by loan type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First Quarter</w:t>
            </w:r>
          </w:p>
        </w:tc>
        <w:tc>
          <w:tcPr>
            <w:tcW w:w="240" w:type="dxa"/>
            <w:vAlign w:val="bottom"/>
          </w:tcPr>
          <w:p>
            <w:pPr>
              <w:spacing w:after="0"/>
              <w:rPr>
                <w:sz w:val="14"/>
                <w:szCs w:val="14"/>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First Quarter</w:t>
            </w:r>
          </w:p>
        </w:tc>
        <w:tc>
          <w:tcPr>
            <w:tcW w:w="240" w:type="dxa"/>
            <w:vAlign w:val="bottom"/>
          </w:tcPr>
          <w:p>
            <w:pPr>
              <w:spacing w:after="0"/>
              <w:rPr>
                <w:sz w:val="14"/>
                <w:szCs w:val="14"/>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6"/>
                <w:szCs w:val="16"/>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Commercial, financial, etc.</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4,533</w:t>
            </w:r>
          </w:p>
        </w:tc>
        <w:tc>
          <w:tcPr>
            <w:tcW w:w="36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6,085</w:t>
            </w:r>
          </w:p>
        </w:tc>
        <w:tc>
          <w:tcPr>
            <w:tcW w:w="34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10,242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Real estate:</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Commercial</w:t>
            </w:r>
          </w:p>
        </w:tc>
        <w:tc>
          <w:tcPr>
            <w:tcW w:w="4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671</w:t>
            </w:r>
          </w:p>
        </w:tc>
        <w:tc>
          <w:tcPr>
            <w:tcW w:w="36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1,369</w:t>
            </w:r>
          </w:p>
        </w:tc>
        <w:tc>
          <w:tcPr>
            <w:tcW w:w="3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571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Consumer</w:t>
            </w:r>
          </w:p>
        </w:tc>
        <w:tc>
          <w:tcPr>
            <w:tcW w:w="4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10,618</w:t>
            </w:r>
          </w:p>
        </w:tc>
        <w:tc>
          <w:tcPr>
            <w:tcW w:w="36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10,188</w:t>
            </w:r>
          </w:p>
        </w:tc>
        <w:tc>
          <w:tcPr>
            <w:tcW w:w="34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13,337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17,191</w:t>
            </w:r>
          </w:p>
        </w:tc>
        <w:tc>
          <w:tcPr>
            <w:tcW w:w="36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16,832</w:t>
            </w:r>
          </w:p>
        </w:tc>
        <w:tc>
          <w:tcPr>
            <w:tcW w:w="34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24,371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Loans classified as nonperforming, which consist of nonaccrual and restructured loans, rose to $273 million or .63% of total loans and leases outstanding at March 31, 2007 from $143 million or .35% a year earlier and $224 million or .52% at December 31, 2006. The increase from the end of 2006’s first quarter was due in part to the addition of $40 million of loans to automobile dealers, the majority of which were classified as commercial loans. Also contributing to that increase as well as the rise from the 2006 year-end nonperforming loan total was the first quarter 2007 addition of commercial loans and commercial real estate loans to two relationships totaling $40 million. The first relationship totaling $22 million represents loans to a manufacturer of residential heating equipment. The second relationship for $18 million involves loans to a commercial real estate project in New York City in which the principal owner passed away unexpectedly.</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Accruing loans past due 90 days or more totaled $118 million or .27% of total loans and leases at March 31, 2007, compared with $109 million or .27% 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March 31, 2006 and $111 million or .26% at December 31, 2006. Those loans included $71 million, $86 million and $77 million at March 31, 2007,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2006 and December 31, 2006, respectively, of loans guaranteed by government-related entities. Such guaranteed loans included one-to-four family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residential mortgage loans serviced by the Company that were repurchased to reduce associated servicing costs, including a requirement to advance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interest payments that had not been received from individual mortgagors. The outstanding principal balances of the repurchased loans are fully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guaranteed by government-related entities and totaled $61 million and $66 million as of March 31, 2007 and 2006, respectively, and $65 million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2006. Loans past due 90 days or more and accruing interest that were guaranteed by government-related entities also included foreign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commercial and industrial loans supported by the Export-Import Bank of the United States that totaled $10 million at March 31, 2007, $20 million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2006 and $11 million at December 31, 2006.</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Commercial loans and leases classified as nonperforming aggregated $113 million at March 31, 2007, $38 million at March 31, 2006 and $79 million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The increase in such loans from March 31, 2006 was, in part, due to the previously noted loans to automobile dealers, which added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million to this category. Continued slowing of domestic automobile sales has resulted in a difficult operating environment for certain automobile dealers,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leading to deteriorating financial results. Also contributing to the year-over-year increase, as well as comprising the majority of the rise in nonperforming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 loans from December 31, 2006 was the recent quarter’s addition of outstanding commercial loans to the two previously described relationships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totaling $25 million.</w:t>
      </w:r>
    </w:p>
    <w:p>
      <w:pPr>
        <w:spacing w:after="0" w:line="17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Nonperforming commercial real estate loans totaled $64 million at March 31, 2007, $37 million at March 31, 2006 and $57 million at December 31, 2006. The rise in such loans from the end of the first quarter of 2006 was due in part to the recent quarter addition of $5 million of commercial real estate loans to automobile dealers and $15 million of commercial real estate loans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to the two relationships already discussed. That latter addition to the nonperforming commercial real estate loan total at December 31, 2006 was partially offset by a $10 million commercial real estate loan classified as nonperforming at the 2006 year-end that was paid off in January 2007.</w:t>
      </w:r>
    </w:p>
    <w:p>
      <w:pPr>
        <w:spacing w:after="0" w:line="12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Residential real estate loans classified as nonperforming were $50 million at March 31, 2007, compared with $30 million at March 31, 2006 and $42 million at December 31, 2006. Residential real estate loans past due 90 days or more and accruing interest totaled $96 million at March 31, 2007, compared with $82 million a year earlier and $92 million at December 31, 2006. As already noted, a substantial portion of such amounts relate to guaranteed loans repurchased from government-related entities.</w:t>
      </w:r>
    </w:p>
    <w:p>
      <w:pPr>
        <w:spacing w:after="0" w:line="14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Nonperforming consumer loans and leases totaled $46 million at each of March 31, 2007 and December 31, 2006, compared with $38 million at March 31, 2006. As a percentage of consumer loan balances outstanding, nonperforming consumer loans and leases were .47% at March 31, 2007, compared with .38% and .46% at March 31, 2006 and December 31, 2006, respectively.</w:t>
      </w:r>
    </w:p>
    <w:p>
      <w:pPr>
        <w:spacing w:after="0" w:line="141"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Assets acquired in settlement of defaulted loans were $15 million at March 31, 2007, compared with $10 million at March 31, 2006 and $12 million at December 31, 2006.</w:t>
      </w:r>
    </w:p>
    <w:p>
      <w:pPr>
        <w:spacing w:after="0" w:line="143"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2006 Quarters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4"/>
          </w:tcPr>
          <w:p>
            <w:pPr>
              <w:ind w:left="20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Nonaccrual loans</w:t>
            </w:r>
          </w:p>
        </w:tc>
        <w:tc>
          <w:tcPr>
            <w:tcW w:w="460" w:type="dxa"/>
            <w:vAlign w:val="bottom"/>
            <w:gridSpan w:val="2"/>
            <w:shd w:val="clear" w:color="auto" w:fill="EEEEEE"/>
          </w:tcPr>
          <w:p>
            <w:pPr>
              <w:ind w:left="380"/>
              <w:spacing w:after="0"/>
              <w:rPr>
                <w:sz w:val="20"/>
                <w:szCs w:val="20"/>
                <w:color w:val="auto"/>
              </w:rPr>
            </w:pPr>
            <w:r>
              <w:rPr>
                <w:rFonts w:ascii="Arial" w:cs="Arial" w:eastAsia="Arial" w:hAnsi="Arial"/>
                <w:sz w:val="10"/>
                <w:szCs w:val="10"/>
                <w:color w:val="auto"/>
                <w:w w:val="71"/>
              </w:rPr>
              <w:t>$</w:t>
            </w: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259,015</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209,272</w:t>
            </w:r>
          </w:p>
        </w:tc>
        <w:tc>
          <w:tcPr>
            <w:tcW w:w="3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162,933</w:t>
            </w:r>
          </w:p>
        </w:tc>
        <w:tc>
          <w:tcPr>
            <w:tcW w:w="3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140,626</w:t>
            </w:r>
          </w:p>
        </w:tc>
        <w:tc>
          <w:tcPr>
            <w:tcW w:w="3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127,934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Renegotiated loans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14,210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14,956</w:t>
            </w:r>
          </w:p>
        </w:tc>
        <w:tc>
          <w:tcPr>
            <w:tcW w:w="3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16,579</w:t>
            </w:r>
          </w:p>
        </w:tc>
        <w:tc>
          <w:tcPr>
            <w:tcW w:w="3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15,399</w:t>
            </w:r>
          </w:p>
        </w:tc>
        <w:tc>
          <w:tcPr>
            <w:tcW w:w="3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14,790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Total nonperforming loans</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273,225</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224,228</w:t>
            </w:r>
          </w:p>
        </w:tc>
        <w:tc>
          <w:tcPr>
            <w:tcW w:w="3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179,512</w:t>
            </w:r>
          </w:p>
        </w:tc>
        <w:tc>
          <w:tcPr>
            <w:tcW w:w="3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156,025</w:t>
            </w:r>
          </w:p>
        </w:tc>
        <w:tc>
          <w:tcPr>
            <w:tcW w:w="3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142,724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Real estate and other assets owned</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15,095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12,141</w:t>
            </w:r>
          </w:p>
        </w:tc>
        <w:tc>
          <w:tcPr>
            <w:tcW w:w="3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13,920</w:t>
            </w:r>
          </w:p>
        </w:tc>
        <w:tc>
          <w:tcPr>
            <w:tcW w:w="3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13,805</w:t>
            </w:r>
          </w:p>
        </w:tc>
        <w:tc>
          <w:tcPr>
            <w:tcW w:w="3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9,588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Total nonperforming assets</w:t>
            </w:r>
          </w:p>
        </w:tc>
        <w:tc>
          <w:tcPr>
            <w:tcW w:w="460" w:type="dxa"/>
            <w:vAlign w:val="bottom"/>
            <w:gridSpan w:val="2"/>
            <w:shd w:val="clear" w:color="auto" w:fill="EEEEEE"/>
          </w:tcPr>
          <w:p>
            <w:pPr>
              <w:ind w:left="380"/>
              <w:spacing w:after="0"/>
              <w:rPr>
                <w:sz w:val="20"/>
                <w:szCs w:val="20"/>
                <w:color w:val="auto"/>
              </w:rPr>
            </w:pPr>
            <w:r>
              <w:rPr>
                <w:rFonts w:ascii="Arial" w:cs="Arial" w:eastAsia="Arial" w:hAnsi="Arial"/>
                <w:sz w:val="10"/>
                <w:szCs w:val="10"/>
                <w:color w:val="auto"/>
                <w:w w:val="71"/>
              </w:rPr>
              <w:t>$</w:t>
            </w: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288,320</w:t>
            </w:r>
          </w:p>
        </w:tc>
        <w:tc>
          <w:tcPr>
            <w:tcW w:w="3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236,369</w:t>
            </w:r>
          </w:p>
        </w:tc>
        <w:tc>
          <w:tcPr>
            <w:tcW w:w="30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193,432</w:t>
            </w:r>
          </w:p>
        </w:tc>
        <w:tc>
          <w:tcPr>
            <w:tcW w:w="30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169,830</w:t>
            </w:r>
          </w:p>
        </w:tc>
        <w:tc>
          <w:tcPr>
            <w:tcW w:w="30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152,312</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w w:val="91"/>
              </w:rPr>
              <w:t>Accruing loans past due 90 days or more*</w:t>
            </w:r>
          </w:p>
        </w:tc>
        <w:tc>
          <w:tcPr>
            <w:tcW w:w="460" w:type="dxa"/>
            <w:vAlign w:val="bottom"/>
            <w:gridSpan w:val="2"/>
            <w:vMerge w:val="restart"/>
          </w:tcPr>
          <w:p>
            <w:pPr>
              <w:ind w:left="380"/>
              <w:spacing w:after="0"/>
              <w:rPr>
                <w:sz w:val="20"/>
                <w:szCs w:val="20"/>
                <w:color w:val="auto"/>
              </w:rPr>
            </w:pPr>
            <w:r>
              <w:rPr>
                <w:rFonts w:ascii="Arial" w:cs="Arial" w:eastAsia="Arial" w:hAnsi="Arial"/>
                <w:sz w:val="10"/>
                <w:szCs w:val="10"/>
                <w:color w:val="auto"/>
                <w:w w:val="71"/>
              </w:rPr>
              <w:t>$</w:t>
            </w:r>
          </w:p>
        </w:tc>
        <w:tc>
          <w:tcPr>
            <w:tcW w:w="600" w:type="dxa"/>
            <w:vAlign w:val="bottom"/>
            <w:tcBorders>
              <w:lef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600" w:type="dxa"/>
            <w:vAlign w:val="bottom"/>
            <w:tcBorders>
              <w:left w:val="single" w:sz="8" w:color="808080"/>
            </w:tcBorders>
            <w:shd w:val="clear" w:color="auto" w:fill="808080"/>
          </w:tcPr>
          <w:p>
            <w:pPr>
              <w:spacing w:after="0"/>
              <w:rPr>
                <w:sz w:val="5"/>
                <w:szCs w:val="5"/>
                <w:color w:val="auto"/>
              </w:rPr>
            </w:pPr>
          </w:p>
        </w:tc>
        <w:tc>
          <w:tcPr>
            <w:tcW w:w="300" w:type="dxa"/>
            <w:vAlign w:val="bottom"/>
            <w:vMerge w:val="restart"/>
          </w:tcPr>
          <w:p>
            <w:pPr>
              <w:spacing w:after="0"/>
              <w:rPr>
                <w:sz w:val="5"/>
                <w:szCs w:val="5"/>
                <w:color w:val="auto"/>
              </w:rPr>
            </w:pPr>
          </w:p>
        </w:tc>
        <w:tc>
          <w:tcPr>
            <w:tcW w:w="400" w:type="dxa"/>
            <w:vAlign w:val="bottom"/>
            <w:gridSpan w:val="2"/>
            <w:vMerge w:val="restart"/>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vMerge w:val="restart"/>
          </w:tcPr>
          <w:p>
            <w:pPr>
              <w:spacing w:after="0"/>
              <w:rPr>
                <w:sz w:val="5"/>
                <w:szCs w:val="5"/>
                <w:color w:val="auto"/>
              </w:rPr>
            </w:pPr>
          </w:p>
        </w:tc>
        <w:tc>
          <w:tcPr>
            <w:tcW w:w="400" w:type="dxa"/>
            <w:vAlign w:val="bottom"/>
            <w:gridSpan w:val="2"/>
            <w:vMerge w:val="restart"/>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vMerge w:val="restart"/>
          </w:tcPr>
          <w:p>
            <w:pPr>
              <w:spacing w:after="0"/>
              <w:rPr>
                <w:sz w:val="5"/>
                <w:szCs w:val="5"/>
                <w:color w:val="auto"/>
              </w:rPr>
            </w:pPr>
          </w:p>
        </w:tc>
        <w:tc>
          <w:tcPr>
            <w:tcW w:w="400" w:type="dxa"/>
            <w:vAlign w:val="bottom"/>
            <w:gridSpan w:val="2"/>
            <w:vMerge w:val="restart"/>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080" w:type="dxa"/>
            <w:vAlign w:val="bottom"/>
            <w:gridSpan w:val="2"/>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118,094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111,307</w:t>
            </w:r>
          </w:p>
        </w:tc>
        <w:tc>
          <w:tcPr>
            <w:tcW w:w="30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112,090</w:t>
            </w:r>
          </w:p>
        </w:tc>
        <w:tc>
          <w:tcPr>
            <w:tcW w:w="30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101,001</w:t>
            </w:r>
          </w:p>
        </w:tc>
        <w:tc>
          <w:tcPr>
            <w:tcW w:w="30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109,287</w:t>
            </w: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Borders>
              <w:lef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lef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w w:val="90"/>
              </w:rPr>
              <w:t>Government guaranteed loans included in</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totals above</w:t>
            </w:r>
          </w:p>
        </w:tc>
        <w:tc>
          <w:tcPr>
            <w:tcW w:w="2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600" w:type="dxa"/>
            <w:vAlign w:val="bottom"/>
            <w:tcBorders>
              <w:left w:val="single" w:sz="8" w:color="EEEEEE"/>
            </w:tcBorders>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600" w:type="dxa"/>
            <w:vAlign w:val="bottom"/>
            <w:tcBorders>
              <w:left w:val="single" w:sz="8" w:color="EEEEEE"/>
            </w:tcBorders>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Nonperforming loans</w:t>
            </w:r>
          </w:p>
        </w:tc>
        <w:tc>
          <w:tcPr>
            <w:tcW w:w="460" w:type="dxa"/>
            <w:vAlign w:val="bottom"/>
            <w:gridSpan w:val="2"/>
          </w:tcPr>
          <w:p>
            <w:pPr>
              <w:ind w:left="38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18,007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17,586</w:t>
            </w:r>
          </w:p>
        </w:tc>
        <w:tc>
          <w:tcPr>
            <w:tcW w:w="3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13,655</w:t>
            </w:r>
          </w:p>
        </w:tc>
        <w:tc>
          <w:tcPr>
            <w:tcW w:w="3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13,542</w:t>
            </w:r>
          </w:p>
        </w:tc>
        <w:tc>
          <w:tcPr>
            <w:tcW w:w="3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13,804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Accruing loans past due 90 days or</w:t>
            </w: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00" w:type="dxa"/>
            <w:vAlign w:val="bottom"/>
            <w:tcBorders>
              <w:lef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tcBorders>
              <w:left w:val="single" w:sz="8" w:color="EEEEEE"/>
            </w:tcBorders>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more</w:t>
            </w:r>
          </w:p>
        </w:tc>
        <w:tc>
          <w:tcPr>
            <w:tcW w:w="2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70,626</w:t>
            </w:r>
          </w:p>
        </w:tc>
        <w:tc>
          <w:tcPr>
            <w:tcW w:w="3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76,622</w:t>
            </w:r>
          </w:p>
        </w:tc>
        <w:tc>
          <w:tcPr>
            <w:tcW w:w="300" w:type="dxa"/>
            <w:vAlign w:val="bottom"/>
            <w:shd w:val="clear" w:color="auto" w:fill="EEEEEE"/>
          </w:tcPr>
          <w:p>
            <w:pPr>
              <w:spacing w:after="0"/>
              <w:rPr>
                <w:sz w:val="20"/>
                <w:szCs w:val="20"/>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76,050</w:t>
            </w:r>
          </w:p>
        </w:tc>
        <w:tc>
          <w:tcPr>
            <w:tcW w:w="300" w:type="dxa"/>
            <w:vAlign w:val="bottom"/>
            <w:shd w:val="clear" w:color="auto" w:fill="EEEEEE"/>
          </w:tcPr>
          <w:p>
            <w:pPr>
              <w:spacing w:after="0"/>
              <w:rPr>
                <w:sz w:val="20"/>
                <w:szCs w:val="20"/>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79,272</w:t>
            </w:r>
          </w:p>
        </w:tc>
        <w:tc>
          <w:tcPr>
            <w:tcW w:w="300" w:type="dxa"/>
            <w:vAlign w:val="bottom"/>
            <w:shd w:val="clear" w:color="auto" w:fill="EEEEEE"/>
          </w:tcPr>
          <w:p>
            <w:pPr>
              <w:spacing w:after="0"/>
              <w:rPr>
                <w:sz w:val="20"/>
                <w:szCs w:val="20"/>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85,775</w:t>
            </w:r>
          </w:p>
        </w:tc>
        <w:tc>
          <w:tcPr>
            <w:tcW w:w="3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w w:val="98"/>
              </w:rPr>
              <w:t>Nonperforming loans to total loans and</w:t>
            </w: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Borders>
              <w:left w:val="single" w:sz="8" w:color="808080"/>
            </w:tcBorders>
            <w:shd w:val="clear" w:color="auto" w:fill="808080"/>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Borders>
              <w:left w:val="single" w:sz="8" w:color="808080"/>
            </w:tcBorders>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leases, net of unearned discount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.43%</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.38%</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Nonperforming assets to total net loans</w:t>
            </w: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00" w:type="dxa"/>
            <w:vAlign w:val="bottom"/>
            <w:tcBorders>
              <w:lef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tcBorders>
              <w:left w:val="single" w:sz="8" w:color="EEEEEE"/>
            </w:tcBorders>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and leases and real estate and other</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assets owned</w:t>
            </w:r>
          </w:p>
        </w:tc>
        <w:tc>
          <w:tcPr>
            <w:tcW w:w="2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960" w:type="dxa"/>
            <w:vAlign w:val="bottom"/>
            <w:tcBorders>
              <w:left w:val="single" w:sz="8" w:color="EEEEEE"/>
            </w:tcBorders>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EEEEEE"/>
          </w:tcPr>
          <w:p>
            <w:pPr>
              <w:spacing w:after="0"/>
              <w:rPr>
                <w:sz w:val="20"/>
                <w:szCs w:val="20"/>
                <w:color w:val="auto"/>
              </w:rPr>
            </w:pPr>
          </w:p>
        </w:tc>
        <w:tc>
          <w:tcPr>
            <w:tcW w:w="11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.55%</w:t>
            </w:r>
          </w:p>
        </w:tc>
        <w:tc>
          <w:tcPr>
            <w:tcW w:w="130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.46%</w:t>
            </w:r>
          </w:p>
        </w:tc>
        <w:tc>
          <w:tcPr>
            <w:tcW w:w="13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.41%</w:t>
            </w:r>
          </w:p>
        </w:tc>
        <w:tc>
          <w:tcPr>
            <w:tcW w:w="13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line="201" w:lineRule="exact"/>
              <w:rPr>
                <w:sz w:val="20"/>
                <w:szCs w:val="20"/>
                <w:color w:val="auto"/>
              </w:rPr>
            </w:pPr>
            <w:r>
              <w:rPr>
                <w:rFonts w:ascii="Arial" w:cs="Arial" w:eastAsia="Arial" w:hAnsi="Arial"/>
                <w:sz w:val="18"/>
                <w:szCs w:val="18"/>
                <w:color w:val="auto"/>
                <w:w w:val="92"/>
              </w:rPr>
              <w:t>Accruing loans past due 90 days or more</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w w:val="88"/>
              </w:rPr>
              <w:t>to total loans and leases, net of unearned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discount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.27%</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Borders>
              <w:lef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lef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Predominately residential mortgage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concentration of commercial real estate loans in the Company’s loan portfolio, particularly the large concentration of loans secured by properties in New York State, in general, and in the New York City metropolitan area, in particular; (ii)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(iii)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42"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Management cautiously and conservatively evaluated the allowance for credit losses as of March 31, 2007 in light of (i) the sluggish pace of economic growth in many of the markets served by the Company; (ii) continued weakness in industrial employment in upstate New York and central Pennsylvania; and</w:t>
      </w:r>
    </w:p>
    <w:p>
      <w:pPr>
        <w:ind w:right="40" w:firstLine="8"/>
        <w:spacing w:after="0" w:line="270"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significant subjectivity involved in commercial real estate valuations for properties located in areas with stagnant or low growth economies. Although the national economy experienced moderate growth in 2006 with inflation being reasonably well contained, concerns exist about the level and volatility of energy prices; a weakening housing market, particularly concerns about possible over-valued real estate; Federal Reserve positioning of monetary policy; the underlying impact on businesses’ operations and abilities to repay loans resulting from a higher level of interest rates; sluggish job creation, which could cause consumer spending to slow; continued stagnant population growth in the upstate New York and central Pennsylvania regions; continued slowing of domestic automobile sales; and modest loan demand in many market areas served by the Company.</w:t>
      </w:r>
    </w:p>
    <w:p>
      <w:pPr>
        <w:spacing w:after="0" w:line="138"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such as those described above, but also real estate valuations, in particular, given the size of the commercial real estate loan portfolio.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w:t>
      </w:r>
    </w:p>
    <w:p>
      <w:pPr>
        <w:spacing w:after="0" w:line="148"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Management believes that the allowance for credit losses at March 31, 2007 was adequate to absorb credit losses inherent in the portfolio as of that date. The allowance for credit losses was $660 million, or 1.52% of total loans and leases at March 31, 2007, compared with $639 million or 1.56% at the end of 2006’s initial quarter and $650 million or 1.51% at December 31, 2006. The decline in the level of the allowance as a percentage of outstanding loans and leases from March 31, 2006 to the two most recent quarter-ends reflects management’s evaluation of the loan and lease portfolio as described herein, including a change in portfolio mix resulting from higher balances of residential real estate loans and lower balances of consumer loans. In general, the Company experiences significantly lower charge-off rates on residential real estate loans than on consumer loans. Should the various credit factors considered by management in establishing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allowance for credit losses change and should management’s assessment of losses inherent in the loan portfolio also change, the level of the allowance as a percentage of loans could increase or decrease in future periods. The ratio of the allowance for credit losses to nonperforming loans was 241% at March 31, 2007, compared with 448% a year earlier and 290% at December 31, 2006. The level of the allowance reflects management’s evaluation of the loan and lease portfolio as of each respective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income aggregated $236 million in the first quarter of 2007, down from $253 million in the corresponding 2006 quarter and $256 million in the fourth quarter of 2006. The decline in the level of such income in the recent quarter as compared with the first and fourth quarters of 2006 was predominantly the result of lower mortgage banking revenues. Partially offsetting the decrease in mortgage banking revenues as compared with the first quarter of 2006 was an increase in service charges on deposit accounts.</w:t>
      </w:r>
    </w:p>
    <w:p>
      <w:pPr>
        <w:spacing w:after="0" w:line="146" w:lineRule="exact"/>
        <w:rPr>
          <w:sz w:val="20"/>
          <w:szCs w:val="20"/>
          <w:color w:val="auto"/>
        </w:rPr>
      </w:pPr>
    </w:p>
    <w:p>
      <w:pPr>
        <w:ind w:right="140" w:firstLine="225"/>
        <w:spacing w:after="0" w:line="308" w:lineRule="auto"/>
        <w:rPr>
          <w:sz w:val="20"/>
          <w:szCs w:val="20"/>
          <w:color w:val="auto"/>
        </w:rPr>
      </w:pPr>
      <w:r>
        <w:rPr>
          <w:rFonts w:ascii="Arial" w:cs="Arial" w:eastAsia="Arial" w:hAnsi="Arial"/>
          <w:sz w:val="17"/>
          <w:szCs w:val="17"/>
          <w:color w:val="auto"/>
        </w:rPr>
        <w:t>Mortgage banking revenues totaled $14 million in the recently completed quarter, compared with $35 million in the first quarter of 2006 and $30 million in the fourth quarter of 2006. Mortgage banking revenues are comprised of both residential and commercial mortgage banking activities.</w:t>
      </w:r>
    </w:p>
    <w:p>
      <w:pPr>
        <w:spacing w:after="0" w:line="12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$7 million in the first quarter of 2007, down from $29 million in the year-earlier quarter and $20 million in 2006’s final quarter. As already noted, residential mortgage banking revenues in the recent quarter were reduced by $18 million as a result of unfavorable market conditions related to the Company’s Alt-A residential mortgage lending business. Those unfavorable market conditions and a lack of market liquidity impacted the Company’s willingness to sell Alt-A mortgage loans during the first quarter of 2007. As a result, the Company reclassified $883 million of Alt-A loans previously held for sale (including $808 million of first mortgage loans and $75 million of second mortgage loans) to its held-for-investment portfolio. In accordance with GAAP, loans held for sale must be recorded at the lower of cost or market value. Accordingly, prior to reclassifying the $883 million of Alt-A mortgage loans to held for investment, the carrying value of such loans was reduced by $12 million to reflect estimated market value. The loans were reclassified to the held-for-investment portfolio because the Company’s management believes that the economic value of those Alt-A mortgage loans is greater than the market value implied by the few bidders for such loans during the first quarter of 2007. In addition, the Company is contractually obligated to repurchase previously sold Alt-A loans that do not ultimately meet investor sale criteria, including instances when mortgagors fail to make timely payments during the first 90 days subsequent to the sale date. As a result, during the first quarter of 2007, the Company accrued $6 million to provide for declines in market value of previously sold Alt-A mortgage loans that the Company may be required to repurchase.</w:t>
      </w:r>
    </w:p>
    <w:p>
      <w:pPr>
        <w:spacing w:after="0" w:line="13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Residential mortgage loans originated for sale to other investors were approximately $1.4 billion during each of the quarters ended March 31, 2007, March 31, 2006 and December 31, 2006. Included in such amounts during the first quarter of 2007 and the fourth quarter of 2006 were $326 million and $477 million, respectively, of Alt-A mortgage loans that were transferred to the Company’s held-for-investment portfolio in March 2007. Residential mortgage loans sold to investors totaled $1.4 billion in 2007’s first quarter, compared with $976 million and $999 million in the first and fourth quarter, respectively, of 2006. Realized gains from sales of residential mortgage loans and loan servicing rights and recognized net unrealized gains and losses attributable to residential mortgage loans held for sale, commitments to originate loans for sale and commitments to sell loans totaled to a loss of $13 million in the first quarter of 2007 (including the $18 million of</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losses described above), compared with gains of $11 million and $2 million in the first and fourth quarters of 2006, respectively. Revenues from servicing residential mortgage loans for others were $18 million during the quarter ended March 31, 2007, compared with $16 million in the year–earlier quarter and $17 million in the fourth quarter of 2006. Included in servicing revenues were amounts related to purchased servicing rights associated with small balance commercial mortgage loans which totaled $5 million in the most recent quarter, compared with $3 million and $4 million in the first and fourth quarters of 2006, respectively. Residential mortgage loans serviced for others totaled $17.2 billion at March 31, 2007, compared with $15.3 billion at March 31, 2006 and $16.7 billion at December 31, 2006, including the small balance commercial mortgage loans noted above of approximately $3.6 billion at March 31, 2007, $2.3 billion at March 31, 2006 and $3.3 billion at December 31, 2006. Capitalized residential mortgage servicing assets, net of a valuation allowance for impairment, were $152 million at March 31, 2007, compared with $150 million at March 31, 2006 and $153 million at December 31, 2006. Included in capitalized residential mortgage servicing assets were $38 million at March 31, 2007, $22 million at March 31, 2006 and $36 million at December 31, 2006 of purchased servicing rights associated with the small balance commercial mortgage loans noted above. Loans held for sale that are secured by residential real estate totaled $973 million and $1.6 billion at March 31, 2007 and 2006, respectively, and $1.9 billion at December 31, 2006. Commitments to sell loans and commitments to originate loans for sale at pre-determined rates were $946 million and $495 million, respectively, at March 31, 2007, $1.5 billion and</w:t>
      </w:r>
    </w:p>
    <w:p>
      <w:pPr>
        <w:spacing w:after="0" w:line="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$680 million, respectively, at March 31, 2006, and $1.8 billion and $680 million, respectively, at December 31, 2006. Net unrealized losses on residential mortgage loans held for sale, commitments to sell loans, and commitments to originate loans for sale were less than $1 million at March 31, 2007, compared with net unrealized gains of $2 million and $4 million at March 31, 2006 and December 31, 2006, respectively. Changes in such net unrealized gains and losses are recorded in mortgage banking revenues and resulted in net decreases in revenues of $3 million in the first quarter of 2007, compared with net increases in revenues of $8 million and $5 million in the first and fourth quarters of 2006, respectively. The $3 million unrealized loss noted for the first quarter of 2007 does not include any portion of the $18 million of losses related to Alt-A mortgage loans described above.</w:t>
      </w:r>
    </w:p>
    <w:p>
      <w:pPr>
        <w:spacing w:after="0" w:line="137"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Commercial mortgage banking revenues were $7 million in the first quarter of 2007, compared with $6 million in the year-earlier quarter and $10 million in the fourth quarter of 2006. Included in such amounts were revenues from loan origination and sales activities of $3 million in the initial 2007 quarter,</w:t>
      </w:r>
    </w:p>
    <w:p>
      <w:pPr>
        <w:spacing w:after="0" w:line="254" w:lineRule="auto"/>
        <w:rPr>
          <w:sz w:val="20"/>
          <w:szCs w:val="20"/>
          <w:color w:val="auto"/>
        </w:rPr>
      </w:pPr>
      <w:r>
        <w:rPr>
          <w:rFonts w:ascii="Arial" w:cs="Arial" w:eastAsia="Arial" w:hAnsi="Arial"/>
          <w:sz w:val="18"/>
          <w:szCs w:val="18"/>
          <w:color w:val="auto"/>
        </w:rPr>
        <w:t>$2 million in the first quarter of 2006 and $6 million in the final quarter of 2006. Commercial mortgage loan servicing revenues were $4 million in each of the quarters ended March 31, 2007, March 31, 2006 and December 31, 2006. Capitalized commercial mortgage servicing assets totaled $20 million at each of March 31, 2007 and March 31, 2006, and $21 million at December 31, 2006. Commercial mortgage loans held for sale at March 31, 2007 and 2006 were $66 million and $64 million, respectively, and were $49 million at December 31, 2006.</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Service charges on deposit accounts were $95 million in the recently completed quarter, compared with $89 million in the first quarter of 2006 and</w:t>
      </w:r>
    </w:p>
    <w:p>
      <w:pPr>
        <w:spacing w:after="0" w:line="3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$96 million in the last three months of 2006. The increase from the year-earlier quarter reflects higher overdraft and debit card interchange fees. The modestly lower first quarter revenues as compared with 2006’s fourth quarter were largely due to traditional fourth quarter seasonality. Trust income aggregated</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$37 million in each of the initial quarter of 2007 and the fourth quarter of 2006, compared with $34 million in 2006’s first quarter. Brokerage services income, which includes revenues from the sale of mutual funds and annuities and securities brokerage fees, totaled $15 million in each of the first quarter of 2007 and 2006, compared with $16 million in the fourth quarter of 2006. Trading account and foreign exchange activity resulted in gains of $6 million during the quarter ended March 31, 2007 and $7 million in each of the first and fourth quarters of 2006.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revenues from operations totaled $69 million in the first quarter of 2007, compared with $74 million in the similar 2006 quarter and $68 million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fourth quarter of 2006. The decline in such revenues in the recent quarter as compared with the first quarter of 2006 was due to lower income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educational lending, commercial leasing and bank owned life insurance, partially offset by higher credit-related fees. As compared with the fourth quarter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2006, higher credit-related fees and income from educational lending were largely offset by lower bank owned life insurance income. Included in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revenues from operations were the following significant components. Letter of credit and other credit-related fees totaled $21 million in the recent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 million in the first quarter of 2006 and $18 million in 2006’s final quarter. Tax-exempt income from bank owned life insurance, which includes increases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cash surrender value of life insurance policies and benefits received, totaled $11 million during the first quarter of 2007, compared with $13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2006 and $15 million in the fourth quarter of 2006. Revenues from merchant discount and credit card fees were $8 million in the quarter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March 31, 2007, compared with $7 million and $9 million in the first and fourth quarters of 2006. Insurance-related sales commissions and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revenues totaled $8 million in each of the first quarter of 2007 and the fourth quarter of 2006, and were $7 million in the first quarter of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Other expense aggregated $399 million in the first quarter of 2007, 4% higher than each of $382 million in the corresponding quarter of 2006 and $384 million in the final 2006 quarter. Included in the amounts noted above are expenses considered by management to be “nonoperating” in nature consisting of amortization of core deposit and other intangible assets of $18 million in 2007’s initial quarter, $13 million in the first quarter of 2006 and $19 million in 2006’s fourth quarter. The increased amortization in the two most recent quarters as compared with the first quarter of 2006 reflects the Company’s acquisition of 21 branch offices in upstate New York on June 30, 2006. Exclusive of these nonoperating expenses, noninterest operating expenses totaled $381 million in the first three months of 2007, compared with $369 million and $365 million in the first and fourth quarters of 2006, respectively. The higher level of noninterest operating expenses in the recent quarter as compared with the first and fourth quarters of 2006 was predominantly the result of increased salaries and employee benefits costs. Table 2 provides a reconciliation of other expense to noninterest operating expense.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Salaries and employee benefits expense totaled $237 million in the recent quarter, compared with $224 million in the first quarter of 2006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$213 million in 2006’s final quarter. The higher expense level for the three months ended March 31, 2007 as compared with the similar 2006 period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largely the result of higher salaries-related costs, reflecting the impact of 2006 acquisitions, primarily the branch office acquisition already noted, annual merit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and stock-based and other incentive compensation costs. Contributing to the rise in salaries and employee benefits expense in the recent quarter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with the fourth quarter of 2006 were higher stock-based and other incentive compensation, payroll-related taxes and Company contributions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retirement savings plan benefits related to incentive compensation payments. The Company accounts for stock-based compensation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of Financial Accounting Standards (“SFAS”) No. 123 (revised 2004), “Shared-Based Payment,” (“SFAS No. 123R”). As required,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accelerated the recognition of compensation costs for stock-based awards granted to retirement-eligible employees and employees who will become</w:t>
      </w:r>
    </w:p>
    <w:p>
      <w:pPr>
        <w:spacing w:after="0" w:line="32"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retirement-eligible prior to full vesting of the award. As a result, stock-based compensation expense during the first quarters of 2007 and 2006 included $8 million and $6 million, respectively, that would have been recognized over the normal four-year vesting period if not for the accelerated expense recognition provisions of SFAS No. 123R. That acceleration had no effect on the value of stock-based compensation awarded to employees. Salaries and benefits expense included stock-based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compensation of $19 million, $18 million and $11 million in the quarters ended March 31, 2007, March 31, 2006 and December 31, 2006, respectively. The number of full-time equivalent employees was 12,628 at March 31, 2007, compared with 12,837 and 12,721 at March 31, 2006 and December 31, 2006, respectively.</w:t>
      </w:r>
    </w:p>
    <w:p>
      <w:pPr>
        <w:spacing w:after="0" w:line="154"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Excluding the nonoperating amortization expenses already noted, nonpersonnel operating expenses were $144 million in the first quarter of 2007, compared with $145 million and $152 million in the first and fourth quarters of 2006, respectively. The decline in nonpersonnel operating expenses in the recent quarter was largely due to lower costs for professional services and advertising. Reflected in nonpersonnel operating expenses were reductions in the allowance for impairment of capitalized residential mortgage servicing rights of $1 million in the first quarter of 2007 and $7 million in the first quarter of 2006, compared with an expense charge to increase the impairment allowance of $1 million in 2006’s fourth quarter.</w:t>
      </w:r>
    </w:p>
    <w:p>
      <w:pPr>
        <w:spacing w:after="0" w:line="132"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55.1% in the first quarter of 2007, compared with 52.4% in the year-earlier period and 50.2% in the fourth quarter of 2006. Noninterest operating expenses used in calculating the efficiency ratio do not include the amortization of core deposit and other intangible assets, as noted earlier. If charges for amortization of core deposit and other intangible assets were included, the efficiency ratio for the three-month periods ended March 31, 2007, March 31, 2006 and December 31, 2006 would have been 57.8%, 54.2% and 52.8%,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for the quarter ended March 31, 2007 was $85 million, compared with $97 million and $98 million in the first and fourth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quarters of 2006, respectively. The effective tax rates were 32.5%, 32.4% and 31.5% for the quarters ended March 31, 2007, March 31, 2006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respectively. The effective tax rate is affected by the level of income earned that is exempt from tax and by the level of income allocated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various state and local jurisdictions where the Company operates, because tax rates differ among such jurisdictions.</w:t>
      </w:r>
    </w:p>
    <w:p>
      <w:pPr>
        <w:spacing w:after="0" w:line="170"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 The Company adopted FASB Interpretation (“FIN”) No. 48, “Accounting for Uncertainty in Income Taxes,” on January 1, 2007. As previously expected, that adoption did not have a material effect on the Company’s financial position at March 31, 2007 or on its results of operations during the first quarter of 2007.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Stockholders’ equity was $6.3 billion at March 31, 2007, representing 10.81% of total assets, compared with $5.9 billion or 10.68% at March 31, 2006 and $6.3 billion or 11.01% at December 31, 2006. On a per share basis, stockholders’ equity was $57.32 at March 31, 2007, compared with $53.11 a year earlier and $56.94 at December 31, 2006. Tangible equity per share, which excludes goodwill and core deposit and other intangible assets and applicable deferred tax balances, was $28.77 at March 31, 2007, $26.41 at March 31, 2006 and $28.57 at December 31, 2006. A reconciliation of total stockholders’ equity and tangible equity as of each of those respective dates is presented in table 2.</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Stockholders’ equity reflects accumulated other comprehensive income or loss which includes the net after-tax impact of unrealized gains or losses on investment securities classified as available for sale and adjustments to reflect the funded status of defined benefit pension and other postretirement plans. The Company adopted SFAS No. 158, “Employers’ Accounting for Defined Benefit Pension and Other Postretirement Plans,” effective December 31, 2006. Prior to the adoption of SFAS No. 158, the Company was required to recognize additional minimum pension liability amounts pursuant to the provisions of SFAS No. 87, “Employers’ Accounting for Pensions.” Net unrealized losses on available-for-sale investment securities were $8 million, or $.07 per common share, at March 31, 2007, compared with similar losses of $74 million, or $.66 per share, at March 31, 2006 and $25 million, or $.23 per share at December 31, 2006. Such unrealized losses are generally due to changes in interest rates and represent the difference, net of applicable income tax effect, between the estimated fair value and amortized cost of investment securities classified as available for sale. Adjustments to reflect the funded status of defined benefit pension and other postretirement plans as required under SFAS No. 158, net of applicable tax effect, reduced accumulated other comprehensive income by $28 million at March 31, 2007 and December 31, 2006, or by $.26 per share at those respective dates. Similar adjustments to recognize minimum pension liabilities as then required by SFAS No. 87, net of applicable tax effect, reduced stockholders’ equity by $49 million at March 31, 2006, or by $.44 per share.</w:t>
      </w:r>
    </w:p>
    <w:p>
      <w:pPr>
        <w:spacing w:after="0" w:line="146" w:lineRule="exact"/>
        <w:rPr>
          <w:sz w:val="20"/>
          <w:szCs w:val="20"/>
          <w:color w:val="auto"/>
        </w:rPr>
      </w:pPr>
    </w:p>
    <w:p>
      <w:pPr>
        <w:jc w:val="both"/>
        <w:ind w:right="40" w:firstLine="225"/>
        <w:spacing w:after="0" w:line="279" w:lineRule="auto"/>
        <w:rPr>
          <w:sz w:val="20"/>
          <w:szCs w:val="20"/>
          <w:color w:val="auto"/>
        </w:rPr>
      </w:pPr>
      <w:r>
        <w:rPr>
          <w:rFonts w:ascii="Arial" w:cs="Arial" w:eastAsia="Arial" w:hAnsi="Arial"/>
          <w:sz w:val="17"/>
          <w:szCs w:val="17"/>
          <w:color w:val="auto"/>
        </w:rPr>
        <w:t>In February 2007, M&amp;T announced that it had been authorized by its Board of Directors to purchase up to 5,000,000 shares of its common stock. Through March 31, 2007, M&amp;T had repurchased 40,500 shares of common stock pursuant to that authorization at an average cost of $116.52 per share. In total, during the quarter ended March 31, 2007, M&amp;T repurchased 1,736,800 shares of common stock (including 1,696,300 shares that were repurchased under a previous authorization that was completed in March 2007) at an average cost of $119.69 per share.</w:t>
      </w:r>
    </w:p>
    <w:p>
      <w:pPr>
        <w:spacing w:after="0" w:line="131"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As of March 31, 2007, core capital included $689 million of trust preferred securities described in note 4 of Notes to Financial Statements and total capital further included $1.4 billion of subordinated capital notes.</w:t>
      </w:r>
    </w:p>
    <w:p>
      <w:pPr>
        <w:spacing w:after="0" w:line="131" w:lineRule="exact"/>
        <w:rPr>
          <w:sz w:val="20"/>
          <w:szCs w:val="20"/>
          <w:color w:val="auto"/>
        </w:rPr>
      </w:pPr>
    </w:p>
    <w:p>
      <w:pPr>
        <w:ind w:right="440" w:firstLine="222"/>
        <w:spacing w:after="0" w:line="312" w:lineRule="auto"/>
        <w:rPr>
          <w:sz w:val="20"/>
          <w:szCs w:val="20"/>
          <w:color w:val="auto"/>
        </w:rPr>
      </w:pPr>
      <w:r>
        <w:rPr>
          <w:rFonts w:ascii="Arial" w:cs="Arial" w:eastAsia="Arial" w:hAnsi="Arial"/>
          <w:sz w:val="16"/>
          <w:szCs w:val="16"/>
          <w:color w:val="auto"/>
        </w:rPr>
        <w:t>The Company generates significant amounts of regulatory capital from its ongoing operations. The rate of regulatory core capital generation, or net operating income (as previously defined) less dividends paid expressed as an annualized percentage of regulatory “core capital” at the beginning of each period, was 12.80% during the first quarter of 2007, compared with 18.11% and 16.98% in the first and fourth quarters of 2006, respectively.</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March 31, 2007 are presented in the accompanying table.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2007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20" w:type="dxa"/>
            <w:vAlign w:val="bottom"/>
          </w:tcPr>
          <w:p>
            <w:pPr>
              <w:jc w:val="right"/>
              <w:ind w:right="557"/>
              <w:spacing w:after="0"/>
              <w:rPr>
                <w:sz w:val="20"/>
                <w:szCs w:val="20"/>
                <w:color w:val="auto"/>
              </w:rPr>
            </w:pPr>
            <w:r>
              <w:rPr>
                <w:rFonts w:ascii="Arial" w:cs="Arial" w:eastAsia="Arial" w:hAnsi="Arial"/>
                <w:sz w:val="14"/>
                <w:szCs w:val="14"/>
                <w:b w:val="1"/>
                <w:bCs w:val="1"/>
                <w:color w:val="auto"/>
              </w:rPr>
              <w:t>M&amp;T</w:t>
            </w:r>
          </w:p>
        </w:tc>
        <w:tc>
          <w:tcPr>
            <w:tcW w:w="40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Arial" w:cs="Arial" w:eastAsia="Arial" w:hAnsi="Arial"/>
                <w:sz w:val="14"/>
                <w:szCs w:val="14"/>
                <w:b w:val="1"/>
                <w:bCs w:val="1"/>
                <w:color w:val="auto"/>
              </w:rPr>
              <w:t>M&amp;T</w:t>
            </w:r>
          </w:p>
        </w:tc>
        <w:tc>
          <w:tcPr>
            <w:tcW w:w="380" w:type="dxa"/>
            <w:vAlign w:val="bottom"/>
          </w:tcPr>
          <w:p>
            <w:pPr>
              <w:spacing w:after="0"/>
              <w:rPr>
                <w:sz w:val="14"/>
                <w:szCs w:val="14"/>
                <w:color w:val="auto"/>
              </w:rPr>
            </w:pPr>
          </w:p>
        </w:tc>
        <w:tc>
          <w:tcPr>
            <w:tcW w:w="1600" w:type="dxa"/>
            <w:vAlign w:val="bottom"/>
          </w:tcPr>
          <w:p>
            <w:pPr>
              <w:ind w:left="620"/>
              <w:spacing w:after="0"/>
              <w:rPr>
                <w:sz w:val="20"/>
                <w:szCs w:val="20"/>
                <w:color w:val="auto"/>
              </w:rPr>
            </w:pPr>
            <w:r>
              <w:rPr>
                <w:rFonts w:ascii="Arial" w:cs="Arial" w:eastAsia="Arial" w:hAnsi="Arial"/>
                <w:sz w:val="14"/>
                <w:szCs w:val="14"/>
                <w:b w:val="1"/>
                <w:bCs w:val="1"/>
                <w:color w:val="auto"/>
              </w:rPr>
              <w:t>M&amp;T</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20" w:type="dxa"/>
            <w:vAlign w:val="bottom"/>
          </w:tcPr>
          <w:p>
            <w:pPr>
              <w:jc w:val="right"/>
              <w:ind w:right="277"/>
              <w:spacing w:after="0"/>
              <w:rPr>
                <w:sz w:val="20"/>
                <w:szCs w:val="20"/>
                <w:color w:val="auto"/>
              </w:rPr>
            </w:pPr>
            <w:r>
              <w:rPr>
                <w:rFonts w:ascii="Arial" w:cs="Arial" w:eastAsia="Arial" w:hAnsi="Arial"/>
                <w:sz w:val="14"/>
                <w:szCs w:val="14"/>
                <w:b w:val="1"/>
                <w:bCs w:val="1"/>
                <w:color w:val="auto"/>
              </w:rPr>
              <w:t>(Consolidated)</w:t>
            </w:r>
          </w:p>
        </w:tc>
        <w:tc>
          <w:tcPr>
            <w:tcW w:w="400" w:type="dxa"/>
            <w:vAlign w:val="bottom"/>
          </w:tcPr>
          <w:p>
            <w:pPr>
              <w:spacing w:after="0"/>
              <w:rPr>
                <w:sz w:val="16"/>
                <w:szCs w:val="16"/>
                <w:color w:val="auto"/>
              </w:rPr>
            </w:pPr>
          </w:p>
        </w:tc>
        <w:tc>
          <w:tcPr>
            <w:tcW w:w="1540" w:type="dxa"/>
            <w:vAlign w:val="bottom"/>
          </w:tcPr>
          <w:p>
            <w:pPr>
              <w:jc w:val="right"/>
              <w:ind w:right="548"/>
              <w:spacing w:after="0"/>
              <w:rPr>
                <w:sz w:val="20"/>
                <w:szCs w:val="20"/>
                <w:color w:val="auto"/>
              </w:rPr>
            </w:pPr>
            <w:r>
              <w:rPr>
                <w:rFonts w:ascii="Arial" w:cs="Arial" w:eastAsia="Arial" w:hAnsi="Arial"/>
                <w:sz w:val="14"/>
                <w:szCs w:val="14"/>
                <w:b w:val="1"/>
                <w:bCs w:val="1"/>
                <w:color w:val="auto"/>
              </w:rPr>
              <w:t>Bank</w:t>
            </w:r>
          </w:p>
        </w:tc>
        <w:tc>
          <w:tcPr>
            <w:tcW w:w="380" w:type="dxa"/>
            <w:vAlign w:val="bottom"/>
          </w:tcPr>
          <w:p>
            <w:pPr>
              <w:spacing w:after="0"/>
              <w:rPr>
                <w:sz w:val="16"/>
                <w:szCs w:val="16"/>
                <w:color w:val="auto"/>
              </w:rPr>
            </w:pPr>
          </w:p>
        </w:tc>
        <w:tc>
          <w:tcPr>
            <w:tcW w:w="1600" w:type="dxa"/>
            <w:vAlign w:val="bottom"/>
          </w:tcPr>
          <w:p>
            <w:pPr>
              <w:ind w:left="460"/>
              <w:spacing w:after="0"/>
              <w:rPr>
                <w:sz w:val="20"/>
                <w:szCs w:val="20"/>
                <w:color w:val="auto"/>
              </w:rPr>
            </w:pPr>
            <w:r>
              <w:rPr>
                <w:rFonts w:ascii="Arial" w:cs="Arial" w:eastAsia="Arial" w:hAnsi="Arial"/>
                <w:sz w:val="14"/>
                <w:szCs w:val="14"/>
                <w:b w:val="1"/>
                <w:bCs w:val="1"/>
                <w:color w:val="auto"/>
              </w:rPr>
              <w:t>Bank, N.A.</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5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Core capital</w:t>
            </w:r>
          </w:p>
        </w:tc>
        <w:tc>
          <w:tcPr>
            <w:tcW w:w="1620" w:type="dxa"/>
            <w:vAlign w:val="bottom"/>
            <w:shd w:val="clear" w:color="auto" w:fill="EEEEEE"/>
          </w:tcPr>
          <w:p>
            <w:pPr>
              <w:jc w:val="right"/>
              <w:ind w:right="377"/>
              <w:spacing w:after="0"/>
              <w:rPr>
                <w:sz w:val="20"/>
                <w:szCs w:val="20"/>
                <w:color w:val="auto"/>
              </w:rPr>
            </w:pPr>
            <w:r>
              <w:rPr>
                <w:rFonts w:ascii="Arial" w:cs="Arial" w:eastAsia="Arial" w:hAnsi="Arial"/>
                <w:sz w:val="18"/>
                <w:szCs w:val="18"/>
                <w:color w:val="auto"/>
              </w:rPr>
              <w:t>7.60%</w:t>
            </w:r>
          </w:p>
        </w:tc>
        <w:tc>
          <w:tcPr>
            <w:tcW w:w="194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6.69%</w:t>
            </w:r>
          </w:p>
        </w:tc>
        <w:tc>
          <w:tcPr>
            <w:tcW w:w="1980" w:type="dxa"/>
            <w:vAlign w:val="bottom"/>
            <w:gridSpan w:val="2"/>
            <w:shd w:val="clear" w:color="auto" w:fill="EEEEEE"/>
          </w:tcPr>
          <w:p>
            <w:pPr>
              <w:ind w:left="980"/>
              <w:spacing w:after="0"/>
              <w:rPr>
                <w:sz w:val="20"/>
                <w:szCs w:val="20"/>
                <w:color w:val="auto"/>
              </w:rPr>
            </w:pPr>
            <w:r>
              <w:rPr>
                <w:rFonts w:ascii="Arial" w:cs="Arial" w:eastAsia="Arial" w:hAnsi="Arial"/>
                <w:sz w:val="18"/>
                <w:szCs w:val="18"/>
                <w:color w:val="auto"/>
              </w:rPr>
              <w:t>49.46%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capital</w:t>
            </w:r>
          </w:p>
        </w:tc>
        <w:tc>
          <w:tcPr>
            <w:tcW w:w="1620" w:type="dxa"/>
            <w:vAlign w:val="bottom"/>
          </w:tcPr>
          <w:p>
            <w:pPr>
              <w:jc w:val="right"/>
              <w:ind w:right="377"/>
              <w:spacing w:after="0"/>
              <w:rPr>
                <w:sz w:val="20"/>
                <w:szCs w:val="20"/>
                <w:color w:val="auto"/>
              </w:rPr>
            </w:pPr>
            <w:r>
              <w:rPr>
                <w:rFonts w:ascii="Arial" w:cs="Arial" w:eastAsia="Arial" w:hAnsi="Arial"/>
                <w:sz w:val="18"/>
                <w:szCs w:val="18"/>
                <w:color w:val="auto"/>
              </w:rPr>
              <w:t>11.61%</w:t>
            </w:r>
          </w:p>
        </w:tc>
        <w:tc>
          <w:tcPr>
            <w:tcW w:w="1940" w:type="dxa"/>
            <w:vAlign w:val="bottom"/>
            <w:gridSpan w:val="2"/>
          </w:tcPr>
          <w:p>
            <w:pPr>
              <w:jc w:val="right"/>
              <w:ind w:right="368"/>
              <w:spacing w:after="0"/>
              <w:rPr>
                <w:sz w:val="20"/>
                <w:szCs w:val="20"/>
                <w:color w:val="auto"/>
              </w:rPr>
            </w:pPr>
            <w:r>
              <w:rPr>
                <w:rFonts w:ascii="Arial" w:cs="Arial" w:eastAsia="Arial" w:hAnsi="Arial"/>
                <w:sz w:val="18"/>
                <w:szCs w:val="18"/>
                <w:color w:val="auto"/>
              </w:rPr>
              <w:t>10.73%</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50.71%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Leverage</w:t>
            </w:r>
          </w:p>
        </w:tc>
        <w:tc>
          <w:tcPr>
            <w:tcW w:w="1620" w:type="dxa"/>
            <w:vAlign w:val="bottom"/>
            <w:shd w:val="clear" w:color="auto" w:fill="EEEEEE"/>
          </w:tcPr>
          <w:p>
            <w:pPr>
              <w:jc w:val="right"/>
              <w:ind w:right="377"/>
              <w:spacing w:after="0"/>
              <w:rPr>
                <w:sz w:val="20"/>
                <w:szCs w:val="20"/>
                <w:color w:val="auto"/>
              </w:rPr>
            </w:pPr>
            <w:r>
              <w:rPr>
                <w:rFonts w:ascii="Arial" w:cs="Arial" w:eastAsia="Arial" w:hAnsi="Arial"/>
                <w:sz w:val="18"/>
                <w:szCs w:val="18"/>
                <w:color w:val="auto"/>
              </w:rPr>
              <w:t>7.06%</w:t>
            </w:r>
          </w:p>
        </w:tc>
        <w:tc>
          <w:tcPr>
            <w:tcW w:w="194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6.24%</w:t>
            </w:r>
          </w:p>
        </w:tc>
        <w:tc>
          <w:tcPr>
            <w:tcW w:w="1980" w:type="dxa"/>
            <w:vAlign w:val="bottom"/>
            <w:gridSpan w:val="2"/>
            <w:shd w:val="clear" w:color="auto" w:fill="EEEEEE"/>
          </w:tcPr>
          <w:p>
            <w:pPr>
              <w:ind w:left="980"/>
              <w:spacing w:after="0"/>
              <w:rPr>
                <w:sz w:val="20"/>
                <w:szCs w:val="20"/>
                <w:color w:val="auto"/>
              </w:rPr>
            </w:pPr>
            <w:r>
              <w:rPr>
                <w:rFonts w:ascii="Arial" w:cs="Arial" w:eastAsia="Arial" w:hAnsi="Arial"/>
                <w:sz w:val="18"/>
                <w:szCs w:val="18"/>
                <w:color w:val="auto"/>
              </w:rPr>
              <w:t>20.31%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gridSpan w:val="2"/>
          </w:tcPr>
          <w:p>
            <w:pPr>
              <w:jc w:val="right"/>
              <w:ind w:right="1228"/>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accordance with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5 of Notes to Financial Statements.</w:t>
      </w:r>
    </w:p>
    <w:p>
      <w:pPr>
        <w:spacing w:after="0" w:line="73" w:lineRule="exact"/>
        <w:rPr>
          <w:sz w:val="20"/>
          <w:szCs w:val="20"/>
          <w:color w:val="auto"/>
        </w:rPr>
      </w:pPr>
    </w:p>
    <w:p>
      <w:pPr>
        <w:ind w:right="240" w:firstLine="222"/>
        <w:spacing w:after="0" w:line="273" w:lineRule="auto"/>
        <w:rPr>
          <w:sz w:val="20"/>
          <w:szCs w:val="20"/>
          <w:color w:val="auto"/>
        </w:rPr>
      </w:pPr>
      <w:r>
        <w:rPr>
          <w:rFonts w:ascii="Arial" w:cs="Arial" w:eastAsia="Arial" w:hAnsi="Arial"/>
          <w:sz w:val="17"/>
          <w:szCs w:val="17"/>
          <w:color w:val="auto"/>
        </w:rPr>
        <w:t>The Commercial Banking segment’s net income for the first quarter of 2007 was $57 million, up from $56 million in the first quarter of 2006 and unchanged from the fourth quarter of 2006. The slight improvement from the first quarter of 2006 resulted from higher net interest income of $8 million, primarily the result of a $956 million increase in average loans and leases and a 54 basis point widening of the net interest margin associated with deposits. Partially offsetting the increase in net interest income was a $3 million increase in the provision for credit losses and higher personnel costs. As compared with the fourth quarter of 2006, a $3 million decline in net interest income, predominantly the result of a 6 basis point narrowing of the net interest margin, was largely offset by higher revenues in 2007’s first quarter from letter of credit and other credit-related fees.</w:t>
      </w:r>
    </w:p>
    <w:p>
      <w:pPr>
        <w:spacing w:after="0" w:line="70"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Net income earned by the Commercial Real Estate segment totaled $32 million during the first quarter of 2007, down from $34 million in the year-earlier quarter and $37 million in the fourth quarter of 2006. The decline from the first quarter of 2006 was due to lower net interest income of $5 million, primarily the result of a 35 basis point narrowing of the net interest margin on loans. The decrease from the fourth quarter of 2006 resulted from lower net interest income of $6 million, mainly due to a 24 basis point narrowing of the loan net interest margin, and reduced gains from the sales of commercial real estate loans of $3 million.</w:t>
      </w:r>
    </w:p>
    <w:p>
      <w:pPr>
        <w:spacing w:after="0" w:line="80" w:lineRule="exact"/>
        <w:rPr>
          <w:sz w:val="20"/>
          <w:szCs w:val="20"/>
          <w:color w:val="auto"/>
        </w:rPr>
      </w:pPr>
    </w:p>
    <w:p>
      <w:pPr>
        <w:jc w:val="both"/>
        <w:ind w:right="540" w:firstLine="222"/>
        <w:spacing w:after="0" w:line="288" w:lineRule="auto"/>
        <w:rPr>
          <w:sz w:val="20"/>
          <w:szCs w:val="20"/>
          <w:color w:val="auto"/>
        </w:rPr>
      </w:pPr>
      <w:r>
        <w:rPr>
          <w:rFonts w:ascii="Arial" w:cs="Arial" w:eastAsia="Arial" w:hAnsi="Arial"/>
          <w:sz w:val="16"/>
          <w:szCs w:val="16"/>
          <w:color w:val="auto"/>
        </w:rPr>
        <w:t>The Discretionary Portfolio segment’s net income totaled $19 million in the recent quarter, down from $22 million in the initial quarter of 2006 and $23 million in 2006’s fourth quarter. The decrease in the recent quarter’s net income as compared with the first quarter of 2006 resulted from lower net interest income of $6 million. Factors contributing to the net interest income decline included a narrowing of the net interest margin coupled with a</w:t>
      </w:r>
    </w:p>
    <w:p>
      <w:pPr>
        <w:jc w:val="both"/>
        <w:ind w:right="100"/>
        <w:spacing w:after="0" w:line="255" w:lineRule="auto"/>
        <w:rPr>
          <w:sz w:val="20"/>
          <w:szCs w:val="20"/>
          <w:color w:val="auto"/>
        </w:rPr>
      </w:pPr>
      <w:r>
        <w:rPr>
          <w:rFonts w:ascii="Arial" w:cs="Arial" w:eastAsia="Arial" w:hAnsi="Arial"/>
          <w:sz w:val="18"/>
          <w:szCs w:val="18"/>
          <w:color w:val="auto"/>
        </w:rPr>
        <w:t>$1.2 billion decline in the average balance of investment securities, offset, in part, by an $835 million increase in average residential mortgage loan balances. The recent quarter’s lower contribution as compared with 2006’s fourth quarter was primarily the result of a $4 million decrease in income from bank owned life insurance.</w:t>
      </w:r>
    </w:p>
    <w:p>
      <w:pPr>
        <w:spacing w:after="0" w:line="82"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Residential Mortgage Banking segment incurred a net loss of $3 million in 2007’s first quarter, compared with net income in the first and fourth quarters of 2006 of $15 million and $8 million, respectively. As previously discussed, due to unfavorable market conditions, the Company recognized $12 million of losses in the recent quarter on $883 million of Alt-A mortgage loans previously included in this segment’s held-for-sale portfolio, but transferred in March 2007 to residential mortgage loans held for investment by the Discretionary Portfolio. In addition, $6 million was accrued in 2007’s first quarter in the Residential Mortgage Banking segment to provide for declines in market value of previously sold loans that the Company may be required to repurchase. Also contributing to the unfavorable performance as compared with 2006’s first quarter was a partial reversal of the capitalized mortgage servicing rights valuation allowance of $1 million in the recent quarter, compared with a $7 million partial reversal of such allowance in last year’s first quarter, and lower gains from residential mortgage loan origination activity of $10 million (exclusive of the $18 million of losses noted above), partially offset by a $4 million decrease in personnel costs.</w:t>
      </w:r>
    </w:p>
    <w:p>
      <w:pPr>
        <w:spacing w:after="0" w:line="89" w:lineRule="exact"/>
        <w:rPr>
          <w:sz w:val="20"/>
          <w:szCs w:val="20"/>
          <w:color w:val="auto"/>
        </w:rPr>
      </w:pPr>
    </w:p>
    <w:p>
      <w:pPr>
        <w:ind w:right="600" w:firstLine="222"/>
        <w:spacing w:after="0" w:line="308" w:lineRule="auto"/>
        <w:rPr>
          <w:sz w:val="20"/>
          <w:szCs w:val="20"/>
          <w:color w:val="auto"/>
        </w:rPr>
      </w:pPr>
      <w:r>
        <w:rPr>
          <w:rFonts w:ascii="Arial" w:cs="Arial" w:eastAsia="Arial" w:hAnsi="Arial"/>
          <w:sz w:val="17"/>
          <w:szCs w:val="17"/>
          <w:color w:val="auto"/>
        </w:rPr>
        <w:t>The Retail Banking segment contributed net income of $107 million in the first quarter of 2007, up from $93 million in the year-earlier quarter and $105 million in the fourth quarter of 2006. The rise in net income as compared to the first quarter of 2006 was primarily the result of a $25</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million increase in net interest income, attributable to a 37 basis point widening of the net interest margin and higher average deposits generated by this segment. The increase from the fourth quarter of 2006 was largely due to a decrease in the provision for credit losses of $6 million and lower advertising, promotion and travel costs of $2 million offset, in part, by a $6 million decrease in net interest income, Contributing to that decline was a 6 basis point narrowing of the net interest margin associated with loans and lower average deposit balances.</w:t>
      </w:r>
    </w:p>
    <w:p>
      <w:pPr>
        <w:spacing w:after="0" w:line="63" w:lineRule="exact"/>
        <w:rPr>
          <w:sz w:val="20"/>
          <w:szCs w:val="20"/>
          <w:color w:val="auto"/>
        </w:rPr>
      </w:pPr>
    </w:p>
    <w:p>
      <w:pPr>
        <w:ind w:right="140" w:firstLine="222"/>
        <w:spacing w:after="0" w:line="287"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as determined in accordance with SFAS No. 131, such as the M&amp;T Investment Group, which includes the Company’s trust, brokerage and insurance businesses. Also reflected in this category are the amortization of core deposit and other intangible assets resulting from acquisitions of financial institutions, merger-related expenses and the net impact of the Company’s allocation methodologies for internal funds transfer pricing and the provision for credit losses. The various components of the “All other” category resulted in net losses of $37 million in the first quarter of 2007, compared with net losses of $17 million in each of the first and fourth quarters of 2006. The Company’s allocation methodologies for internal transfers for funding charges and credits associated with earning assets and interest-bearing liabilities of the Company’s reportable segments was the main factor for the increased net loss in the recent quarter as compared with 2006’s initial quarter. Also contributing to that unfavorable variance were higher personnel expenses of $7 million, largely due to annual merit increases and higher incentive compensation costs, and a $5 million rise in amortization of core deposit and other intangible assets. The higher net loss incurred in this category during the recent quarter as compared with the immediately preceding quarter was predominantly the result of the Company’s allocation methodology for seasonally higher personnel-related costs, including payroll-related taxes and other employee benefits, and higher stock-based compensation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September 2006, the Financial Accounting Standards Board (“FASB”) issued SFAS No. 157, “Fair Value Measurements.” SFAS No. 157 defines fair value, establishes a framework for measuring fair value in GAAP, and expands disclosures about fair value measurements. SFAS No. 157 applies to fair value measurements required or permitted under other accounting pronouncements, but does not require any new fair value measurements. The definition of fair value is clarified by SFAS No. 157 to be the price that would be received to sell an asset or paid to transfer a liability in an orderly transaction between market participants at the measurement date. SFAS No. 157 expands disclosures about the use of fair value to measure assets and liabilities in interim and annual periods subsequent to initial recognition. The disclosures focus on the inputs used to measure fair value and the effect of the measurements on earnings for the period. SFAS No. 157 is effective for financial statements issued for fiscal years beginning after November 15, 2007, and interim periods within those fiscal years, with early application permitted as of the beginning of a preceding fiscal year, provided that the reporting entity has not yet issued financial statements for that fiscal year. The provisions generally should be applied prospectively as of the beginning of the fiscal year in which SFAS No. 157 is applied, with certain provisions required to be applied retrospectively. Many of the Company’s assets, liabilities and off-balance sheet positions are required to either be accounted for or disclosed using fair value as their relevant measurement attribute. The Company has not early adopted SFAS No. 157 but, rather, will adopt its provisions as required effective January 1, 2008.</w:t>
      </w:r>
    </w:p>
    <w:p>
      <w:pPr>
        <w:spacing w:after="0" w:line="7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which permits entities to choose to measure eligible financial instruments and other items at fair value. The objective of SFAS No. 159 is to improve financial reporting by providing entities with the opportunity to mitigate volatility in reported earnings caused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by measuring related assets and liabilities differently without having to apply complex hedge accounting provisions. After adopting SFAS No. 159, an entity shall report unrealized gains and losses on items for which the fair value option has been elected in earnings at each subsequent reporting date. The fair value option may generally be applied on an instrument by instrument basis and is an irrevocable election. SFAS No. 159 is effective as of the beginning of an entity’s first fiscal year that begins after November 15, 2007. Early adoption is permitted as of the beginning of a fiscal year that begins on or before November 15, 2007, provided the entity also elects to apply the provisions of SFAS No. 157. SFAS No. 159 generally permits prospective application to eligible items existing at the effective date. The Company has not early adopted SFAS No. 159 and is still evaluating to what extent it may make any fair value elections effective January 1, 2008.</w:t>
      </w:r>
    </w:p>
    <w:p>
      <w:pPr>
        <w:spacing w:after="0" w:line="81"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The Emerging Issues Task Force (“EITF”) reached a final consensus on Issue 06-04, “Accounting for Deferred Compensation and Postretirement Benefit Aspects of Endorsement Split-Dollar Life Insurance Arrangements” and Issue 06-10, “Accounting for Deferred Compensation and Postretirement Benefit Aspects of Collateral Assignment Split-Dollar Life Insurance Arrangements,” at its September 2006 and March 2007 meetings, respectively. The EITF consensus for each issue stipulates that an agreement by an employer to share a portion of the proceeds of a life insurance policy with an employee during the postretirement period is a postretirement benefit arrangement required to be accounted for under SFAS No. 106 or Accounting Principles Board Opinion (“APB”) No. 12, “Omnibus Opinion – 1967.” Each consensus concludes that the purchase of a split-dollar life insurance policy does not constitute a settlement under SFAS No. 106 and, therefore, a liability for the postretirement obligation must be recognized under SFAS N</w:t>
      </w:r>
      <w:r>
        <w:rPr>
          <w:rFonts w:ascii="Arial" w:cs="Arial" w:eastAsia="Arial" w:hAnsi="Arial"/>
          <w:sz w:val="11"/>
          <w:szCs w:val="11"/>
          <w:color w:val="auto"/>
        </w:rPr>
        <w:t>O</w:t>
      </w:r>
      <w:r>
        <w:rPr>
          <w:rFonts w:ascii="Arial" w:cs="Arial" w:eastAsia="Arial" w:hAnsi="Arial"/>
          <w:sz w:val="17"/>
          <w:szCs w:val="17"/>
          <w:color w:val="auto"/>
        </w:rPr>
        <w:t>. 106 if the benefit is offered under an arrangement that constitutes a plan or under APB No. 12 if it is not part of a plan. Issue 06-04 and Issue 06-10 are effective for annual or interim reporting periods beginning after December 15, 2007. The provisions of both Issue 06-04 and Issue 06-10 should be applied through either a cumulative effect adjustment to retained earnings as of the beginning of the year of adoption or retrospective application. The Company has endorsement and collateral assignment split-dollar life insurance policies that it inherited through certain acquisitions that are associated with individuals who are no longer active employees. The Company does not anticipate that the adoption of the provisions of Issue 06-04 and Issue 06-10 on January 1, 2008 will have a material effect on the Company’s financial position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Future Factors include changes in interest rates, spreads on earning assets and interest-bearing liabilities, and interest rate sensitivity; prepayment speeds, loan originations, credit losses and market values on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Financial Accounting Standards Board or other regulatory agencies;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and acquisition activities compared with M&amp;T’s initial expectations, including the full realization of anticipated cost savings and revenue enhancements.</w:t>
      </w:r>
    </w:p>
    <w:p>
      <w:pPr>
        <w:spacing w:after="0" w:line="70"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392"/>
        </w:trPr>
        <w:tc>
          <w:tcPr>
            <w:tcW w:w="496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2006 Quarters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Fourth</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 and dividends</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 (taxable-equivalent basis)</w:t>
            </w:r>
          </w:p>
        </w:tc>
        <w:tc>
          <w:tcPr>
            <w:tcW w:w="300" w:type="dxa"/>
            <w:vAlign w:val="bottom"/>
            <w:tcBorders>
              <w:right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866,172</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876,197</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858,008</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817,552</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782,003</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410,622</w:t>
            </w:r>
          </w:p>
        </w:tc>
        <w:tc>
          <w:tcPr>
            <w:tcW w:w="3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404,356</w:t>
            </w:r>
          </w:p>
        </w:tc>
        <w:tc>
          <w:tcPr>
            <w:tcW w:w="2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395,652</w:t>
            </w:r>
          </w:p>
        </w:tc>
        <w:tc>
          <w:tcPr>
            <w:tcW w:w="3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366,298</w:t>
            </w:r>
          </w:p>
        </w:tc>
        <w:tc>
          <w:tcPr>
            <w:tcW w:w="3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330,246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Net interest income</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455,550</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471,841</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462,356</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451,254</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451,757</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27,000</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28,000</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17,000</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17,000</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18,000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236,483</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256,417</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273,902</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262,602</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252,931</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Less: other expense</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399,037</w:t>
            </w:r>
          </w:p>
        </w:tc>
        <w:tc>
          <w:tcPr>
            <w:tcW w:w="3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383,810</w:t>
            </w:r>
          </w:p>
        </w:tc>
        <w:tc>
          <w:tcPr>
            <w:tcW w:w="2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408,941</w:t>
            </w:r>
          </w:p>
        </w:tc>
        <w:tc>
          <w:tcPr>
            <w:tcW w:w="3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376,997</w:t>
            </w:r>
          </w:p>
        </w:tc>
        <w:tc>
          <w:tcPr>
            <w:tcW w:w="3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382,003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265,996</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316,448</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310,317</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319,859</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304,685</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84,900</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97,996</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94,775</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102,645</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97,037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Taxable-equivalent adjustment</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5,123</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5,123</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5,172</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4,641</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4,731</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2"/>
              </w:rPr>
              <w:t>175,973</w:t>
            </w:r>
          </w:p>
        </w:tc>
        <w:tc>
          <w:tcPr>
            <w:tcW w:w="30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213,329</w:t>
            </w:r>
          </w:p>
        </w:tc>
        <w:tc>
          <w:tcPr>
            <w:tcW w:w="28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210,370</w:t>
            </w:r>
          </w:p>
        </w:tc>
        <w:tc>
          <w:tcPr>
            <w:tcW w:w="30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212,573</w:t>
            </w:r>
          </w:p>
        </w:tc>
        <w:tc>
          <w:tcPr>
            <w:tcW w:w="30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202,917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Per common share data</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Basic earnings</w:t>
            </w:r>
          </w:p>
        </w:tc>
        <w:tc>
          <w:tcPr>
            <w:tcW w:w="30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 earnings</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30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Average common shares outstanding</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109,694</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110,705</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111,047</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111,259</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111,693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112,187</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113,468</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113,897</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113,968</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114,347</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Performance ratios, annualized</w:t>
            </w:r>
          </w:p>
        </w:tc>
        <w:tc>
          <w:tcPr>
            <w:tcW w:w="30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9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Return on</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Average assets</w:t>
            </w:r>
          </w:p>
        </w:tc>
        <w:tc>
          <w:tcPr>
            <w:tcW w:w="3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1.50%</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1.49%</w:t>
            </w: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1.54%</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common stockholders’ equity</w:t>
            </w: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11.38%</w:t>
            </w:r>
          </w:p>
        </w:tc>
        <w:tc>
          <w:tcPr>
            <w:tcW w:w="13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13.55%</w:t>
            </w:r>
          </w:p>
        </w:tc>
        <w:tc>
          <w:tcPr>
            <w:tcW w:w="13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13.72%</w:t>
            </w:r>
          </w:p>
        </w:tc>
        <w:tc>
          <w:tcPr>
            <w:tcW w:w="13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14.35%</w:t>
            </w:r>
          </w:p>
        </w:tc>
        <w:tc>
          <w:tcPr>
            <w:tcW w:w="13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93"/>
              </w:rPr>
              <w:t>Net interest margin on average earning assets (taxable-equivalent</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basis)</w:t>
            </w:r>
          </w:p>
        </w:tc>
        <w:tc>
          <w:tcPr>
            <w:tcW w:w="3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3.73%</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3.68%</w:t>
            </w: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3.66%</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Nonperforming loans to total loans and leases, net of unearned</w:t>
            </w:r>
          </w:p>
        </w:tc>
        <w:tc>
          <w:tcPr>
            <w:tcW w:w="30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discount</w:t>
            </w:r>
          </w:p>
        </w:tc>
        <w:tc>
          <w:tcPr>
            <w:tcW w:w="300" w:type="dxa"/>
            <w:vAlign w:val="bottom"/>
            <w:tcBorders>
              <w:right w:val="single" w:sz="8" w:color="EEEEEE"/>
            </w:tcBorders>
            <w:shd w:val="clear" w:color="auto" w:fill="EEEEEE"/>
          </w:tcPr>
          <w:p>
            <w:pPr>
              <w:spacing w:after="0"/>
              <w:rPr>
                <w:sz w:val="20"/>
                <w:szCs w:val="20"/>
                <w:color w:val="auto"/>
              </w:rPr>
            </w:pPr>
          </w:p>
        </w:tc>
        <w:tc>
          <w:tcPr>
            <w:tcW w:w="8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.63%</w:t>
            </w:r>
          </w:p>
        </w:tc>
        <w:tc>
          <w:tcPr>
            <w:tcW w:w="13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.52%</w:t>
            </w:r>
          </w:p>
        </w:tc>
        <w:tc>
          <w:tcPr>
            <w:tcW w:w="13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.43%</w:t>
            </w:r>
          </w:p>
        </w:tc>
        <w:tc>
          <w:tcPr>
            <w:tcW w:w="13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.38%</w:t>
            </w:r>
          </w:p>
        </w:tc>
        <w:tc>
          <w:tcPr>
            <w:tcW w:w="13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Efficiency ratio (a)</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57.75%</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52.79%</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55.47%</w:t>
            </w: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52.29%</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30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00" w:type="dxa"/>
            <w:vAlign w:val="bottom"/>
            <w:tcBorders>
              <w:lef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80" w:type="dxa"/>
            <w:vAlign w:val="bottom"/>
            <w:tcBorders>
              <w:lef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00" w:type="dxa"/>
            <w:vAlign w:val="bottom"/>
            <w:tcBorders>
              <w:lef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(in thousands)</w:t>
            </w:r>
          </w:p>
        </w:tc>
        <w:tc>
          <w:tcPr>
            <w:tcW w:w="30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187,162</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224,733</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223,228</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221,838</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210,856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Diluted net income per common share</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Annualized return on</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tangible assets</w:t>
            </w: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1.40%</w:t>
            </w:r>
          </w:p>
        </w:tc>
        <w:tc>
          <w:tcPr>
            <w:tcW w:w="13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1.67%</w:t>
            </w:r>
          </w:p>
        </w:tc>
        <w:tc>
          <w:tcPr>
            <w:tcW w:w="13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1.67%</w:t>
            </w:r>
          </w:p>
        </w:tc>
        <w:tc>
          <w:tcPr>
            <w:tcW w:w="13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1.69%</w:t>
            </w:r>
          </w:p>
        </w:tc>
        <w:tc>
          <w:tcPr>
            <w:tcW w:w="13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Average tangible common stockholders’ equity</w:t>
            </w:r>
          </w:p>
        </w:tc>
        <w:tc>
          <w:tcPr>
            <w:tcW w:w="3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24.11%</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28.71%</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30.22%</w:t>
            </w: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30.02%</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Efficiency ratio (a)</w:t>
            </w: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55.09%</w:t>
            </w:r>
          </w:p>
        </w:tc>
        <w:tc>
          <w:tcPr>
            <w:tcW w:w="13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50.22%</w:t>
            </w:r>
          </w:p>
        </w:tc>
        <w:tc>
          <w:tcPr>
            <w:tcW w:w="13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52.76%</w:t>
            </w:r>
          </w:p>
        </w:tc>
        <w:tc>
          <w:tcPr>
            <w:tcW w:w="13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50.70%</w:t>
            </w:r>
          </w:p>
        </w:tc>
        <w:tc>
          <w:tcPr>
            <w:tcW w:w="13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71"/>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9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In millions, except per share</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Average balances</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assets (c)</w:t>
            </w:r>
          </w:p>
        </w:tc>
        <w:tc>
          <w:tcPr>
            <w:tcW w:w="300" w:type="dxa"/>
            <w:vAlign w:val="bottom"/>
            <w:tcBorders>
              <w:right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57,207</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56,575</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56,158</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55,498</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55,106</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Total tangible assets (c)</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54,085</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53,437</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53,004</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52,522</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52,130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Earning assets</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50,693</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50,235</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49,849</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49,443</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49,066</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Investment securities</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7,214</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7,556</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7,898</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8,314</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8,383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Loans and leases, net of unearned discount</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43,114</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42,474</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41,710</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40,980</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40,544</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37,966</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38,504</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39,158</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38,435</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37,569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 equity (c)</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6,270</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6,244</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6,085</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5,940</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5,893</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Tangible stockholders’ equity (c)</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3,148</w:t>
            </w:r>
          </w:p>
        </w:tc>
        <w:tc>
          <w:tcPr>
            <w:tcW w:w="3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3,106</w:t>
            </w:r>
          </w:p>
        </w:tc>
        <w:tc>
          <w:tcPr>
            <w:tcW w:w="2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2,931</w:t>
            </w:r>
          </w:p>
        </w:tc>
        <w:tc>
          <w:tcPr>
            <w:tcW w:w="3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2,964</w:t>
            </w:r>
          </w:p>
        </w:tc>
        <w:tc>
          <w:tcPr>
            <w:tcW w:w="3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2,917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At end of quarter</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top w:val="single" w:sz="8" w:color="808080"/>
            </w:tcBorders>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Total assets (c)</w:t>
            </w:r>
          </w:p>
        </w:tc>
        <w:tc>
          <w:tcPr>
            <w:tcW w:w="30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57,842</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57,065</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56,373</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56,507</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55,420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tangible assets (c)</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54,727</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53,936</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53,227</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53,345</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52,443</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Earning assets</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51,046</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50,379</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49,950</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49,628</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49,281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7,028</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7,252</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7,626</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7,903</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8,294</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Loans and leases, net of unearned discount</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43,507</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42,947</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42,098</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41,599</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40,859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Deposits</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38,938</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39,911</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39,079</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38,514</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38,171</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Stockholders’ equity (c)</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6,253</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6,281</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6,151</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Tangible stockholders’ equity (c)</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3,138</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3,152</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3,005</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2,838</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2,942</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Equity per common share</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57.32</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56.94</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55.58</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54.01</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53.11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Tangible equity per common share</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28.77</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28.57</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27.15</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25.55</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26.41</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30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9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High</w:t>
            </w:r>
          </w:p>
        </w:tc>
        <w:tc>
          <w:tcPr>
            <w:tcW w:w="300" w:type="dxa"/>
            <w:vAlign w:val="bottom"/>
            <w:tcBorders>
              <w:right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125.13</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124.98</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124.94</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119.93</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117.39</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Low</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112.05</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117.31</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116.00</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112.90</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105.72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Closing</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115.83</w:t>
            </w:r>
          </w:p>
        </w:tc>
        <w:tc>
          <w:tcPr>
            <w:tcW w:w="30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122.16</w:t>
            </w:r>
          </w:p>
        </w:tc>
        <w:tc>
          <w:tcPr>
            <w:tcW w:w="2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119.96</w:t>
            </w: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117.92</w:t>
            </w:r>
          </w:p>
        </w:tc>
        <w:tc>
          <w:tcPr>
            <w:tcW w:w="30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114.14</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419" w:right="239" w:bottom="0" w:gutter="0" w:footer="0" w:header="0"/>
        </w:sectPr>
      </w:pPr>
    </w:p>
    <w:bookmarkStart w:id="42" w:name="page43"/>
    <w:bookmarkEnd w:id="42"/>
    <w:p>
      <w:pPr>
        <w:ind w:left="332" w:hanging="332"/>
        <w:spacing w:after="0"/>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3474085</wp:posOffset>
            </wp:positionH>
            <wp:positionV relativeFrom="page">
              <wp:posOffset>88900</wp:posOffset>
            </wp:positionV>
            <wp:extent cx="38163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1635" cy="27940"/>
                    </a:xfrm>
                    <a:prstGeom prst="rect">
                      <a:avLst/>
                    </a:prstGeom>
                    <a:noFill/>
                  </pic:spPr>
                </pic:pic>
              </a:graphicData>
            </a:graphic>
          </wp:anchor>
        </w:drawing>
        <w:drawing>
          <wp:anchor simplePos="0" relativeHeight="251657728" behindDoc="1" locked="0" layoutInCell="0" allowOverlap="1">
            <wp:simplePos x="0" y="0"/>
            <wp:positionH relativeFrom="page">
              <wp:posOffset>4314825</wp:posOffset>
            </wp:positionH>
            <wp:positionV relativeFrom="page">
              <wp:posOffset>88900</wp:posOffset>
            </wp:positionV>
            <wp:extent cx="38163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1635" cy="27940"/>
                    </a:xfrm>
                    <a:prstGeom prst="rect">
                      <a:avLst/>
                    </a:prstGeom>
                    <a:noFill/>
                  </pic:spPr>
                </pic:pic>
              </a:graphicData>
            </a:graphic>
          </wp:anchor>
        </w:drawing>
        <w:drawing>
          <wp:anchor simplePos="0" relativeHeight="251657728" behindDoc="1" locked="0" layoutInCell="0" allowOverlap="1">
            <wp:simplePos x="0" y="0"/>
            <wp:positionH relativeFrom="page">
              <wp:posOffset>5154930</wp:posOffset>
            </wp:positionH>
            <wp:positionV relativeFrom="page">
              <wp:posOffset>88900</wp:posOffset>
            </wp:positionV>
            <wp:extent cx="38163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1635" cy="27940"/>
                    </a:xfrm>
                    <a:prstGeom prst="rect">
                      <a:avLst/>
                    </a:prstGeom>
                    <a:noFill/>
                  </pic:spPr>
                </pic:pic>
              </a:graphicData>
            </a:graphic>
          </wp:anchor>
        </w:drawing>
        <w:drawing>
          <wp:anchor simplePos="0" relativeHeight="251657728" behindDoc="1" locked="0" layoutInCell="0" allowOverlap="1">
            <wp:simplePos x="0" y="0"/>
            <wp:positionH relativeFrom="page">
              <wp:posOffset>5995670</wp:posOffset>
            </wp:positionH>
            <wp:positionV relativeFrom="page">
              <wp:posOffset>88900</wp:posOffset>
            </wp:positionV>
            <wp:extent cx="38163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1635" cy="27940"/>
                    </a:xfrm>
                    <a:prstGeom prst="rect">
                      <a:avLst/>
                    </a:prstGeom>
                    <a:noFill/>
                  </pic:spPr>
                </pic:pic>
              </a:graphicData>
            </a:graphic>
          </wp:anchor>
        </w:drawing>
        <w:drawing>
          <wp:anchor simplePos="0" relativeHeight="251657728" behindDoc="1" locked="0" layoutInCell="0" allowOverlap="1">
            <wp:simplePos x="0" y="0"/>
            <wp:positionH relativeFrom="page">
              <wp:posOffset>6835775</wp:posOffset>
            </wp:positionH>
            <wp:positionV relativeFrom="page">
              <wp:posOffset>88900</wp:posOffset>
            </wp:positionV>
            <wp:extent cx="38163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1635" cy="27940"/>
                    </a:xfrm>
                    <a:prstGeom prst="rect">
                      <a:avLst/>
                    </a:prstGeom>
                    <a:noFill/>
                  </pic:spPr>
                </pic:pic>
              </a:graphicData>
            </a:graphic>
          </wp:anchor>
        </w:drawing>
        <w:t>Excludes impact of merger-related expenses and net securities transactions.</w:t>
      </w:r>
    </w:p>
    <w:p>
      <w:pPr>
        <w:spacing w:after="0" w:line="225" w:lineRule="exact"/>
        <w:rPr>
          <w:rFonts w:ascii="Arial" w:cs="Arial" w:eastAsia="Arial" w:hAnsi="Arial"/>
          <w:sz w:val="18"/>
          <w:szCs w:val="18"/>
          <w:color w:val="auto"/>
        </w:rPr>
      </w:pPr>
    </w:p>
    <w:p>
      <w:pPr>
        <w:jc w:val="both"/>
        <w:ind w:left="332" w:right="240" w:hanging="332"/>
        <w:spacing w:after="0" w:line="342" w:lineRule="auto"/>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23" w:lineRule="exact"/>
        <w:rPr>
          <w:rFonts w:ascii="Arial" w:cs="Arial" w:eastAsia="Arial" w:hAnsi="Arial"/>
          <w:sz w:val="16"/>
          <w:szCs w:val="16"/>
          <w:color w:val="auto"/>
        </w:rPr>
      </w:pPr>
    </w:p>
    <w:p>
      <w:pPr>
        <w:ind w:left="332" w:hanging="332"/>
        <w:spacing w:after="0" w:line="308" w:lineRule="auto"/>
        <w:tabs>
          <w:tab w:leader="none" w:pos="33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w:t>
      </w:r>
    </w:p>
    <w:p>
      <w:pPr>
        <w:spacing w:after="0" w:line="14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95"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QUARTERLY GAAP TO NON-GAAP MEASURES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6"/>
              </w:rPr>
              <w:t>2006 Quarters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First Quarter</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Fourth</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statement data</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175,973</w:t>
            </w:r>
          </w:p>
        </w:tc>
        <w:tc>
          <w:tcPr>
            <w:tcW w:w="4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213,329</w:t>
            </w: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210,370</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212,573</w:t>
            </w:r>
          </w:p>
        </w:tc>
        <w:tc>
          <w:tcPr>
            <w:tcW w:w="3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202,917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Amortization of core deposit and other intangible</w:t>
            </w:r>
          </w:p>
        </w:tc>
        <w:tc>
          <w:tcPr>
            <w:tcW w:w="3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60" w:type="dxa"/>
            <w:vAlign w:val="bottom"/>
            <w:tcBorders>
              <w:lef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2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6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assets (a)</w:t>
            </w:r>
          </w:p>
        </w:tc>
        <w:tc>
          <w:tcPr>
            <w:tcW w:w="34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11,189</w:t>
            </w:r>
          </w:p>
        </w:tc>
        <w:tc>
          <w:tcPr>
            <w:tcW w:w="460" w:type="dxa"/>
            <w:vAlign w:val="bottom"/>
            <w:tcBorders>
              <w:left w:val="single" w:sz="8" w:color="EEEEEE"/>
            </w:tcBorders>
            <w:shd w:val="clear" w:color="auto" w:fill="EEEEEE"/>
          </w:tcPr>
          <w:p>
            <w:pPr>
              <w:spacing w:after="0"/>
              <w:rPr>
                <w:sz w:val="20"/>
                <w:szCs w:val="20"/>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11,404</w:t>
            </w:r>
          </w:p>
        </w:tc>
        <w:tc>
          <w:tcPr>
            <w:tcW w:w="340" w:type="dxa"/>
            <w:vAlign w:val="bottom"/>
            <w:tcBorders>
              <w:left w:val="single" w:sz="8" w:color="EEEEEE"/>
            </w:tcBorders>
            <w:shd w:val="clear" w:color="auto" w:fill="EEEEEE"/>
          </w:tcPr>
          <w:p>
            <w:pPr>
              <w:spacing w:after="0"/>
              <w:rPr>
                <w:sz w:val="20"/>
                <w:szCs w:val="20"/>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12,154</w:t>
            </w:r>
          </w:p>
        </w:tc>
        <w:tc>
          <w:tcPr>
            <w:tcW w:w="340" w:type="dxa"/>
            <w:vAlign w:val="bottom"/>
            <w:tcBorders>
              <w:left w:val="single" w:sz="8" w:color="EEEEEE"/>
            </w:tcBorders>
            <w:shd w:val="clear" w:color="auto" w:fill="EEEEEE"/>
          </w:tcPr>
          <w:p>
            <w:pPr>
              <w:spacing w:after="0"/>
              <w:rPr>
                <w:sz w:val="20"/>
                <w:szCs w:val="20"/>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6,921</w:t>
            </w:r>
          </w:p>
        </w:tc>
        <w:tc>
          <w:tcPr>
            <w:tcW w:w="320" w:type="dxa"/>
            <w:vAlign w:val="bottom"/>
            <w:tcBorders>
              <w:left w:val="single" w:sz="8" w:color="EEEEEE"/>
            </w:tcBorders>
            <w:shd w:val="clear" w:color="auto" w:fill="EEEEEE"/>
          </w:tcPr>
          <w:p>
            <w:pPr>
              <w:spacing w:after="0"/>
              <w:rPr>
                <w:sz w:val="20"/>
                <w:szCs w:val="20"/>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7,939</w:t>
            </w:r>
          </w:p>
        </w:tc>
        <w:tc>
          <w:tcPr>
            <w:tcW w:w="36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Merger-related expenses (a)</w:t>
            </w:r>
          </w:p>
        </w:tc>
        <w:tc>
          <w:tcPr>
            <w:tcW w:w="34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2,344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operating income</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187,162</w:t>
            </w:r>
          </w:p>
        </w:tc>
        <w:tc>
          <w:tcPr>
            <w:tcW w:w="46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224,733</w:t>
            </w:r>
          </w:p>
        </w:tc>
        <w:tc>
          <w:tcPr>
            <w:tcW w:w="34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223,228</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221,838</w:t>
            </w:r>
          </w:p>
        </w:tc>
        <w:tc>
          <w:tcPr>
            <w:tcW w:w="32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210,856</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46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Amortization of core deposit and other intangible</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assets (a)</w:t>
            </w: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Merger-related expenses (a)</w:t>
            </w:r>
          </w:p>
        </w:tc>
        <w:tc>
          <w:tcPr>
            <w:tcW w:w="3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Diluted net operating earnings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1.67</w:t>
            </w:r>
          </w:p>
        </w:tc>
        <w:tc>
          <w:tcPr>
            <w:tcW w:w="46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expense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399,037</w:t>
            </w:r>
          </w:p>
        </w:tc>
        <w:tc>
          <w:tcPr>
            <w:tcW w:w="4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383,810</w:t>
            </w: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408,941</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376,997</w:t>
            </w:r>
          </w:p>
        </w:tc>
        <w:tc>
          <w:tcPr>
            <w:tcW w:w="3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382,003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Amortization of core deposit and other intangible</w:t>
            </w:r>
          </w:p>
        </w:tc>
        <w:tc>
          <w:tcPr>
            <w:tcW w:w="3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60" w:type="dxa"/>
            <w:vAlign w:val="bottom"/>
            <w:tcBorders>
              <w:lef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2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6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assets</w:t>
            </w:r>
          </w:p>
        </w:tc>
        <w:tc>
          <w:tcPr>
            <w:tcW w:w="340" w:type="dxa"/>
            <w:vAlign w:val="bottom"/>
            <w:tcBorders>
              <w:right w:val="single" w:sz="8" w:color="EEEEEE"/>
            </w:tcBorders>
            <w:shd w:val="clear" w:color="auto" w:fill="EEEEEE"/>
          </w:tcPr>
          <w:p>
            <w:pPr>
              <w:spacing w:after="0"/>
              <w:rPr>
                <w:sz w:val="20"/>
                <w:szCs w:val="20"/>
                <w:color w:val="auto"/>
              </w:rPr>
            </w:pPr>
          </w:p>
        </w:tc>
        <w:tc>
          <w:tcPr>
            <w:tcW w:w="10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2"/>
              </w:rPr>
              <w:t>(18,356)</w:t>
            </w:r>
          </w:p>
        </w:tc>
        <w:tc>
          <w:tcPr>
            <w:tcW w:w="14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(18,687)</w:t>
            </w:r>
          </w:p>
        </w:tc>
        <w:tc>
          <w:tcPr>
            <w:tcW w:w="1440" w:type="dxa"/>
            <w:vAlign w:val="bottom"/>
            <w:gridSpan w:val="4"/>
            <w:shd w:val="clear" w:color="auto" w:fill="EEEEEE"/>
          </w:tcPr>
          <w:p>
            <w:pPr>
              <w:jc w:val="right"/>
              <w:ind w:right="208"/>
              <w:spacing w:after="0"/>
              <w:rPr>
                <w:sz w:val="20"/>
                <w:szCs w:val="20"/>
                <w:color w:val="auto"/>
              </w:rPr>
            </w:pPr>
            <w:r>
              <w:rPr>
                <w:rFonts w:ascii="Arial" w:cs="Arial" w:eastAsia="Arial" w:hAnsi="Arial"/>
                <w:sz w:val="18"/>
                <w:szCs w:val="18"/>
                <w:color w:val="auto"/>
              </w:rPr>
              <w:t>(19,936)</w:t>
            </w:r>
          </w:p>
        </w:tc>
        <w:tc>
          <w:tcPr>
            <w:tcW w:w="14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(11,357)</w:t>
            </w:r>
          </w:p>
        </w:tc>
        <w:tc>
          <w:tcPr>
            <w:tcW w:w="14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(13,028)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Merger-related expenses</w:t>
            </w:r>
          </w:p>
        </w:tc>
        <w:tc>
          <w:tcPr>
            <w:tcW w:w="34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208"/>
              <w:spacing w:after="0"/>
              <w:rPr>
                <w:sz w:val="20"/>
                <w:szCs w:val="20"/>
                <w:color w:val="auto"/>
              </w:rPr>
            </w:pPr>
            <w:r>
              <w:rPr>
                <w:rFonts w:ascii="Arial" w:cs="Arial" w:eastAsia="Arial" w:hAnsi="Arial"/>
                <w:sz w:val="18"/>
                <w:szCs w:val="18"/>
                <w:color w:val="auto"/>
              </w:rPr>
              <w:t>(1,155)</w:t>
            </w:r>
          </w:p>
        </w:tc>
        <w:tc>
          <w:tcPr>
            <w:tcW w:w="1440" w:type="dxa"/>
            <w:vAlign w:val="bottom"/>
            <w:gridSpan w:val="4"/>
          </w:tcPr>
          <w:p>
            <w:pPr>
              <w:jc w:val="right"/>
              <w:ind w:right="260"/>
              <w:spacing w:after="0"/>
              <w:rPr>
                <w:sz w:val="20"/>
                <w:szCs w:val="20"/>
                <w:color w:val="auto"/>
              </w:rPr>
            </w:pPr>
            <w:r>
              <w:rPr>
                <w:rFonts w:ascii="Arial" w:cs="Arial" w:eastAsia="Arial" w:hAnsi="Arial"/>
                <w:sz w:val="18"/>
                <w:szCs w:val="18"/>
                <w:color w:val="auto"/>
              </w:rPr>
              <w:t>(3,842)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Noninterest operating expense</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380,681</w:t>
            </w:r>
          </w:p>
        </w:tc>
        <w:tc>
          <w:tcPr>
            <w:tcW w:w="46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365,123</w:t>
            </w:r>
          </w:p>
        </w:tc>
        <w:tc>
          <w:tcPr>
            <w:tcW w:w="34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387,850</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361,798</w:t>
            </w:r>
          </w:p>
        </w:tc>
        <w:tc>
          <w:tcPr>
            <w:tcW w:w="32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368,975</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Merger-related expenses</w:t>
            </w:r>
          </w:p>
        </w:tc>
        <w:tc>
          <w:tcPr>
            <w:tcW w:w="3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Salaries and employee benefits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510</w:t>
            </w: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3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Printing, postage and supplies</w:t>
            </w:r>
          </w:p>
        </w:tc>
        <w:tc>
          <w:tcPr>
            <w:tcW w:w="3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34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697</w:t>
            </w:r>
          </w:p>
        </w:tc>
        <w:tc>
          <w:tcPr>
            <w:tcW w:w="3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3,106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1,155</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3,842</w:t>
            </w: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1"/>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460" w:type="dxa"/>
            <w:vAlign w:val="bottom"/>
            <w:tcBorders>
              <w:left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4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4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2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6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2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57,207</w:t>
            </w:r>
          </w:p>
        </w:tc>
        <w:tc>
          <w:tcPr>
            <w:tcW w:w="46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56,575</w:t>
            </w:r>
          </w:p>
        </w:tc>
        <w:tc>
          <w:tcPr>
            <w:tcW w:w="34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56,158</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55,498</w:t>
            </w:r>
          </w:p>
        </w:tc>
        <w:tc>
          <w:tcPr>
            <w:tcW w:w="32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55,106</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(2,909)</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(2,909)</w:t>
            </w:r>
          </w:p>
        </w:tc>
        <w:tc>
          <w:tcPr>
            <w:tcW w:w="1440" w:type="dxa"/>
            <w:vAlign w:val="bottom"/>
            <w:gridSpan w:val="4"/>
          </w:tcPr>
          <w:p>
            <w:pPr>
              <w:jc w:val="right"/>
              <w:ind w:right="208"/>
              <w:spacing w:after="0"/>
              <w:rPr>
                <w:sz w:val="20"/>
                <w:szCs w:val="20"/>
                <w:color w:val="auto"/>
              </w:rPr>
            </w:pPr>
            <w:r>
              <w:rPr>
                <w:rFonts w:ascii="Arial" w:cs="Arial" w:eastAsia="Arial" w:hAnsi="Arial"/>
                <w:sz w:val="18"/>
                <w:szCs w:val="18"/>
                <w:color w:val="auto"/>
              </w:rPr>
              <w:t>(2,909)</w:t>
            </w:r>
          </w:p>
        </w:tc>
        <w:tc>
          <w:tcPr>
            <w:tcW w:w="1440" w:type="dxa"/>
            <w:vAlign w:val="bottom"/>
            <w:gridSpan w:val="4"/>
          </w:tcPr>
          <w:p>
            <w:pPr>
              <w:jc w:val="right"/>
              <w:ind w:right="260"/>
              <w:spacing w:after="0"/>
              <w:rPr>
                <w:sz w:val="20"/>
                <w:szCs w:val="20"/>
                <w:color w:val="auto"/>
              </w:rPr>
            </w:pPr>
            <w:r>
              <w:rPr>
                <w:rFonts w:ascii="Arial" w:cs="Arial" w:eastAsia="Arial" w:hAnsi="Arial"/>
                <w:sz w:val="18"/>
                <w:szCs w:val="18"/>
                <w:color w:val="auto"/>
              </w:rPr>
              <w:t>(2,909)</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Core deposit and other intangible assets</w:t>
            </w:r>
          </w:p>
        </w:tc>
        <w:tc>
          <w:tcPr>
            <w:tcW w:w="3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(241)</w:t>
            </w:r>
          </w:p>
        </w:tc>
        <w:tc>
          <w:tcPr>
            <w:tcW w:w="14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(261)</w:t>
            </w:r>
          </w:p>
        </w:tc>
        <w:tc>
          <w:tcPr>
            <w:tcW w:w="1440" w:type="dxa"/>
            <w:vAlign w:val="bottom"/>
            <w:gridSpan w:val="4"/>
            <w:shd w:val="clear" w:color="auto" w:fill="EEEEEE"/>
          </w:tcPr>
          <w:p>
            <w:pPr>
              <w:jc w:val="right"/>
              <w:ind w:right="208"/>
              <w:spacing w:after="0"/>
              <w:rPr>
                <w:sz w:val="20"/>
                <w:szCs w:val="20"/>
                <w:color w:val="auto"/>
              </w:rPr>
            </w:pPr>
            <w:r>
              <w:rPr>
                <w:rFonts w:ascii="Arial" w:cs="Arial" w:eastAsia="Arial" w:hAnsi="Arial"/>
                <w:sz w:val="18"/>
                <w:szCs w:val="18"/>
                <w:color w:val="auto"/>
              </w:rPr>
              <w:t>(281)</w:t>
            </w:r>
          </w:p>
        </w:tc>
        <w:tc>
          <w:tcPr>
            <w:tcW w:w="14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(107)</w:t>
            </w:r>
          </w:p>
        </w:tc>
        <w:tc>
          <w:tcPr>
            <w:tcW w:w="14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tangible assets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54,085</w:t>
            </w:r>
          </w:p>
        </w:tc>
        <w:tc>
          <w:tcPr>
            <w:tcW w:w="46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53,437</w:t>
            </w:r>
          </w:p>
        </w:tc>
        <w:tc>
          <w:tcPr>
            <w:tcW w:w="34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53,004</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52,522</w:t>
            </w:r>
          </w:p>
        </w:tc>
        <w:tc>
          <w:tcPr>
            <w:tcW w:w="32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52,130</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equity</w:t>
            </w:r>
          </w:p>
        </w:tc>
        <w:tc>
          <w:tcPr>
            <w:tcW w:w="3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Average equity</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6,270</w:t>
            </w:r>
          </w:p>
        </w:tc>
        <w:tc>
          <w:tcPr>
            <w:tcW w:w="46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6,244</w:t>
            </w:r>
          </w:p>
        </w:tc>
        <w:tc>
          <w:tcPr>
            <w:tcW w:w="34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6,085</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5,940</w:t>
            </w:r>
          </w:p>
        </w:tc>
        <w:tc>
          <w:tcPr>
            <w:tcW w:w="32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5,893</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(2,909)</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(2,909)</w:t>
            </w:r>
          </w:p>
        </w:tc>
        <w:tc>
          <w:tcPr>
            <w:tcW w:w="1440" w:type="dxa"/>
            <w:vAlign w:val="bottom"/>
            <w:gridSpan w:val="4"/>
          </w:tcPr>
          <w:p>
            <w:pPr>
              <w:jc w:val="right"/>
              <w:ind w:right="208"/>
              <w:spacing w:after="0"/>
              <w:rPr>
                <w:sz w:val="20"/>
                <w:szCs w:val="20"/>
                <w:color w:val="auto"/>
              </w:rPr>
            </w:pPr>
            <w:r>
              <w:rPr>
                <w:rFonts w:ascii="Arial" w:cs="Arial" w:eastAsia="Arial" w:hAnsi="Arial"/>
                <w:sz w:val="18"/>
                <w:szCs w:val="18"/>
                <w:color w:val="auto"/>
              </w:rPr>
              <w:t>(2,909)</w:t>
            </w:r>
          </w:p>
        </w:tc>
        <w:tc>
          <w:tcPr>
            <w:tcW w:w="1440" w:type="dxa"/>
            <w:vAlign w:val="bottom"/>
            <w:gridSpan w:val="4"/>
          </w:tcPr>
          <w:p>
            <w:pPr>
              <w:jc w:val="right"/>
              <w:ind w:right="260"/>
              <w:spacing w:after="0"/>
              <w:rPr>
                <w:sz w:val="20"/>
                <w:szCs w:val="20"/>
                <w:color w:val="auto"/>
              </w:rPr>
            </w:pPr>
            <w:r>
              <w:rPr>
                <w:rFonts w:ascii="Arial" w:cs="Arial" w:eastAsia="Arial" w:hAnsi="Arial"/>
                <w:sz w:val="18"/>
                <w:szCs w:val="18"/>
                <w:color w:val="auto"/>
              </w:rPr>
              <w:t>(2,909)</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Core deposit and other intangible assets</w:t>
            </w:r>
          </w:p>
        </w:tc>
        <w:tc>
          <w:tcPr>
            <w:tcW w:w="3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(241)</w:t>
            </w:r>
          </w:p>
        </w:tc>
        <w:tc>
          <w:tcPr>
            <w:tcW w:w="14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(261)</w:t>
            </w:r>
          </w:p>
        </w:tc>
        <w:tc>
          <w:tcPr>
            <w:tcW w:w="1440" w:type="dxa"/>
            <w:vAlign w:val="bottom"/>
            <w:gridSpan w:val="4"/>
            <w:shd w:val="clear" w:color="auto" w:fill="EEEEEE"/>
          </w:tcPr>
          <w:p>
            <w:pPr>
              <w:jc w:val="right"/>
              <w:ind w:right="208"/>
              <w:spacing w:after="0"/>
              <w:rPr>
                <w:sz w:val="20"/>
                <w:szCs w:val="20"/>
                <w:color w:val="auto"/>
              </w:rPr>
            </w:pPr>
            <w:r>
              <w:rPr>
                <w:rFonts w:ascii="Arial" w:cs="Arial" w:eastAsia="Arial" w:hAnsi="Arial"/>
                <w:sz w:val="18"/>
                <w:szCs w:val="18"/>
                <w:color w:val="auto"/>
              </w:rPr>
              <w:t>(281)</w:t>
            </w:r>
          </w:p>
        </w:tc>
        <w:tc>
          <w:tcPr>
            <w:tcW w:w="14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(107)</w:t>
            </w:r>
          </w:p>
        </w:tc>
        <w:tc>
          <w:tcPr>
            <w:tcW w:w="14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tangible equity</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3,148</w:t>
            </w:r>
          </w:p>
        </w:tc>
        <w:tc>
          <w:tcPr>
            <w:tcW w:w="46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3,106</w:t>
            </w:r>
          </w:p>
        </w:tc>
        <w:tc>
          <w:tcPr>
            <w:tcW w:w="34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2,931</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2,964</w:t>
            </w:r>
          </w:p>
        </w:tc>
        <w:tc>
          <w:tcPr>
            <w:tcW w:w="32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2,917</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end of quarter</w:t>
            </w:r>
          </w:p>
        </w:tc>
        <w:tc>
          <w:tcPr>
            <w:tcW w:w="3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460" w:type="dxa"/>
            <w:vAlign w:val="bottom"/>
            <w:tcBorders>
              <w:left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4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4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2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6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2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57,842</w:t>
            </w:r>
          </w:p>
        </w:tc>
        <w:tc>
          <w:tcPr>
            <w:tcW w:w="4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57,065</w:t>
            </w: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56,373</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56,507</w:t>
            </w:r>
          </w:p>
        </w:tc>
        <w:tc>
          <w:tcPr>
            <w:tcW w:w="3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55,420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3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(2,909)</w:t>
            </w:r>
          </w:p>
        </w:tc>
        <w:tc>
          <w:tcPr>
            <w:tcW w:w="14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(2,909)</w:t>
            </w:r>
          </w:p>
        </w:tc>
        <w:tc>
          <w:tcPr>
            <w:tcW w:w="1440" w:type="dxa"/>
            <w:vAlign w:val="bottom"/>
            <w:gridSpan w:val="4"/>
            <w:shd w:val="clear" w:color="auto" w:fill="EEEEEE"/>
          </w:tcPr>
          <w:p>
            <w:pPr>
              <w:jc w:val="right"/>
              <w:ind w:right="208"/>
              <w:spacing w:after="0"/>
              <w:rPr>
                <w:sz w:val="20"/>
                <w:szCs w:val="20"/>
                <w:color w:val="auto"/>
              </w:rPr>
            </w:pPr>
            <w:r>
              <w:rPr>
                <w:rFonts w:ascii="Arial" w:cs="Arial" w:eastAsia="Arial" w:hAnsi="Arial"/>
                <w:sz w:val="18"/>
                <w:szCs w:val="18"/>
                <w:color w:val="auto"/>
              </w:rPr>
              <w:t>(2,909)</w:t>
            </w:r>
          </w:p>
        </w:tc>
        <w:tc>
          <w:tcPr>
            <w:tcW w:w="14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(2,909)</w:t>
            </w:r>
          </w:p>
        </w:tc>
        <w:tc>
          <w:tcPr>
            <w:tcW w:w="14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3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(232)</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(250)</w:t>
            </w:r>
          </w:p>
        </w:tc>
        <w:tc>
          <w:tcPr>
            <w:tcW w:w="1440" w:type="dxa"/>
            <w:vAlign w:val="bottom"/>
            <w:gridSpan w:val="4"/>
          </w:tcPr>
          <w:p>
            <w:pPr>
              <w:jc w:val="right"/>
              <w:ind w:right="208"/>
              <w:spacing w:after="0"/>
              <w:rPr>
                <w:sz w:val="20"/>
                <w:szCs w:val="20"/>
                <w:color w:val="auto"/>
              </w:rPr>
            </w:pPr>
            <w:r>
              <w:rPr>
                <w:rFonts w:ascii="Arial" w:cs="Arial" w:eastAsia="Arial" w:hAnsi="Arial"/>
                <w:sz w:val="18"/>
                <w:szCs w:val="18"/>
                <w:color w:val="auto"/>
              </w:rPr>
              <w:t>(271)</w:t>
            </w:r>
          </w:p>
        </w:tc>
        <w:tc>
          <w:tcPr>
            <w:tcW w:w="1440" w:type="dxa"/>
            <w:vAlign w:val="bottom"/>
            <w:gridSpan w:val="4"/>
          </w:tcPr>
          <w:p>
            <w:pPr>
              <w:jc w:val="right"/>
              <w:ind w:right="260"/>
              <w:spacing w:after="0"/>
              <w:rPr>
                <w:sz w:val="20"/>
                <w:szCs w:val="20"/>
                <w:color w:val="auto"/>
              </w:rPr>
            </w:pPr>
            <w:r>
              <w:rPr>
                <w:rFonts w:ascii="Arial" w:cs="Arial" w:eastAsia="Arial" w:hAnsi="Arial"/>
                <w:sz w:val="18"/>
                <w:szCs w:val="18"/>
                <w:color w:val="auto"/>
              </w:rPr>
              <w:t>(291)</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Deferred taxes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46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Total tangible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54,727</w:t>
            </w:r>
          </w:p>
        </w:tc>
        <w:tc>
          <w:tcPr>
            <w:tcW w:w="46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53,936</w:t>
            </w:r>
          </w:p>
        </w:tc>
        <w:tc>
          <w:tcPr>
            <w:tcW w:w="3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53,227</w:t>
            </w:r>
          </w:p>
        </w:tc>
        <w:tc>
          <w:tcPr>
            <w:tcW w:w="34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53,345</w:t>
            </w:r>
          </w:p>
        </w:tc>
        <w:tc>
          <w:tcPr>
            <w:tcW w:w="3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98"/>
              </w:rPr>
              <w:t>52,443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equity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6,253</w:t>
            </w:r>
          </w:p>
        </w:tc>
        <w:tc>
          <w:tcPr>
            <w:tcW w:w="4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6,281</w:t>
            </w: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6,151</w:t>
            </w:r>
          </w:p>
        </w:tc>
        <w:tc>
          <w:tcPr>
            <w:tcW w:w="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3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5,919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3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(2,909)</w:t>
            </w:r>
          </w:p>
        </w:tc>
        <w:tc>
          <w:tcPr>
            <w:tcW w:w="14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(2,909)</w:t>
            </w:r>
          </w:p>
        </w:tc>
        <w:tc>
          <w:tcPr>
            <w:tcW w:w="1440" w:type="dxa"/>
            <w:vAlign w:val="bottom"/>
            <w:gridSpan w:val="4"/>
            <w:shd w:val="clear" w:color="auto" w:fill="EEEEEE"/>
          </w:tcPr>
          <w:p>
            <w:pPr>
              <w:jc w:val="right"/>
              <w:ind w:right="208"/>
              <w:spacing w:after="0"/>
              <w:rPr>
                <w:sz w:val="20"/>
                <w:szCs w:val="20"/>
                <w:color w:val="auto"/>
              </w:rPr>
            </w:pPr>
            <w:r>
              <w:rPr>
                <w:rFonts w:ascii="Arial" w:cs="Arial" w:eastAsia="Arial" w:hAnsi="Arial"/>
                <w:sz w:val="18"/>
                <w:szCs w:val="18"/>
                <w:color w:val="auto"/>
              </w:rPr>
              <w:t>(2,909)</w:t>
            </w:r>
          </w:p>
        </w:tc>
        <w:tc>
          <w:tcPr>
            <w:tcW w:w="14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(2,909)</w:t>
            </w:r>
          </w:p>
        </w:tc>
        <w:tc>
          <w:tcPr>
            <w:tcW w:w="14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3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(232)</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(250)</w:t>
            </w:r>
          </w:p>
        </w:tc>
        <w:tc>
          <w:tcPr>
            <w:tcW w:w="1440" w:type="dxa"/>
            <w:vAlign w:val="bottom"/>
            <w:gridSpan w:val="4"/>
          </w:tcPr>
          <w:p>
            <w:pPr>
              <w:jc w:val="right"/>
              <w:ind w:right="208"/>
              <w:spacing w:after="0"/>
              <w:rPr>
                <w:sz w:val="20"/>
                <w:szCs w:val="20"/>
                <w:color w:val="auto"/>
              </w:rPr>
            </w:pPr>
            <w:r>
              <w:rPr>
                <w:rFonts w:ascii="Arial" w:cs="Arial" w:eastAsia="Arial" w:hAnsi="Arial"/>
                <w:sz w:val="18"/>
                <w:szCs w:val="18"/>
                <w:color w:val="auto"/>
              </w:rPr>
              <w:t>(271)</w:t>
            </w:r>
          </w:p>
        </w:tc>
        <w:tc>
          <w:tcPr>
            <w:tcW w:w="1440" w:type="dxa"/>
            <w:vAlign w:val="bottom"/>
            <w:gridSpan w:val="4"/>
          </w:tcPr>
          <w:p>
            <w:pPr>
              <w:jc w:val="right"/>
              <w:ind w:right="260"/>
              <w:spacing w:after="0"/>
              <w:rPr>
                <w:sz w:val="20"/>
                <w:szCs w:val="20"/>
                <w:color w:val="auto"/>
              </w:rPr>
            </w:pPr>
            <w:r>
              <w:rPr>
                <w:rFonts w:ascii="Arial" w:cs="Arial" w:eastAsia="Arial" w:hAnsi="Arial"/>
                <w:sz w:val="18"/>
                <w:szCs w:val="18"/>
                <w:color w:val="auto"/>
              </w:rPr>
              <w:t>(291)</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Deferred taxes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46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3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Total tangible equity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3,138</w:t>
            </w:r>
          </w:p>
        </w:tc>
        <w:tc>
          <w:tcPr>
            <w:tcW w:w="46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3,152</w:t>
            </w:r>
          </w:p>
        </w:tc>
        <w:tc>
          <w:tcPr>
            <w:tcW w:w="34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3,005</w:t>
            </w:r>
          </w:p>
        </w:tc>
        <w:tc>
          <w:tcPr>
            <w:tcW w:w="34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2,838</w:t>
            </w:r>
          </w:p>
        </w:tc>
        <w:tc>
          <w:tcPr>
            <w:tcW w:w="32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2,942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After any related tax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9"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1300" w:type="dxa"/>
            <w:vAlign w:val="bottom"/>
            <w:gridSpan w:val="6"/>
          </w:tcPr>
          <w:p>
            <w:pPr>
              <w:ind w:left="40"/>
              <w:spacing w:after="0"/>
              <w:rPr>
                <w:sz w:val="20"/>
                <w:szCs w:val="20"/>
                <w:color w:val="auto"/>
              </w:rPr>
            </w:pPr>
            <w:r>
              <w:rPr>
                <w:rFonts w:ascii="Arial" w:cs="Arial" w:eastAsia="Arial" w:hAnsi="Arial"/>
                <w:sz w:val="14"/>
                <w:szCs w:val="14"/>
                <w:b w:val="1"/>
                <w:bCs w:val="1"/>
                <w:color w:val="auto"/>
              </w:rPr>
              <w:t>2007 First Quarter</w:t>
            </w:r>
          </w:p>
        </w:tc>
        <w:tc>
          <w:tcPr>
            <w:tcW w:w="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8"/>
          </w:tcPr>
          <w:p>
            <w:pPr>
              <w:ind w:left="440"/>
              <w:spacing w:after="0"/>
              <w:rPr>
                <w:sz w:val="20"/>
                <w:szCs w:val="20"/>
                <w:color w:val="auto"/>
              </w:rPr>
            </w:pPr>
            <w:r>
              <w:rPr>
                <w:rFonts w:ascii="Arial" w:cs="Arial" w:eastAsia="Arial" w:hAnsi="Arial"/>
                <w:sz w:val="14"/>
                <w:szCs w:val="14"/>
                <w:b w:val="1"/>
                <w:bCs w:val="1"/>
                <w:color w:val="auto"/>
                <w:w w:val="95"/>
              </w:rPr>
              <w:t>2006 Fourth Quarter</w:t>
            </w: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7"/>
          </w:tcPr>
          <w:p>
            <w:pPr>
              <w:ind w:left="460"/>
              <w:spacing w:after="0"/>
              <w:rPr>
                <w:sz w:val="20"/>
                <w:szCs w:val="20"/>
                <w:color w:val="auto"/>
              </w:rPr>
            </w:pPr>
            <w:r>
              <w:rPr>
                <w:rFonts w:ascii="Arial" w:cs="Arial" w:eastAsia="Arial" w:hAnsi="Arial"/>
                <w:sz w:val="14"/>
                <w:szCs w:val="14"/>
                <w:b w:val="1"/>
                <w:bCs w:val="1"/>
                <w:color w:val="auto"/>
                <w:w w:val="97"/>
              </w:rPr>
              <w:t>2006 Third Quarter</w:t>
            </w: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balance in millions; interest in thousands</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8"/>
              </w:rPr>
              <w:t>balance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8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Commercial, financial, etc.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11,753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$210,889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ind w:left="100"/>
              <w:spacing w:after="0"/>
              <w:rPr>
                <w:sz w:val="20"/>
                <w:szCs w:val="20"/>
                <w:color w:val="auto"/>
              </w:rPr>
            </w:pPr>
            <w:r>
              <w:rPr>
                <w:rFonts w:ascii="Arial" w:cs="Arial" w:eastAsia="Arial" w:hAnsi="Arial"/>
                <w:sz w:val="18"/>
                <w:szCs w:val="18"/>
                <w:color w:val="auto"/>
                <w:w w:val="90"/>
              </w:rPr>
              <w:t>7.28%</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212,716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7.32%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11,436</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210,733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Real estate — commercial</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15,474</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282,322</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7.30</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15,492</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291,681</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15,256</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283,197</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Real estate — 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5,939</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96,136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6.48</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5,537</w:t>
            </w: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90,551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5,053</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81,833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9,948</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182,186</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7.43</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9,922</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185,578</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9,965</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183,041</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8"/>
                <w:szCs w:val="18"/>
                <w:color w:val="auto"/>
              </w:rPr>
              <w:t>Total loans and leases, net</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43,114</w:t>
            </w:r>
          </w:p>
        </w:tc>
        <w:tc>
          <w:tcPr>
            <w:tcW w:w="420" w:type="dxa"/>
            <w:vAlign w:val="bottom"/>
            <w:gridSpan w:val="3"/>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771,533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auto"/>
                <w:w w:val="74"/>
              </w:rPr>
              <w:t>7.26</w:t>
            </w: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42,474</w:t>
            </w:r>
          </w:p>
        </w:tc>
        <w:tc>
          <w:tcPr>
            <w:tcW w:w="12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780,526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5"/>
              </w:rPr>
              <w:t>7.29</w:t>
            </w: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3"/>
              </w:rPr>
              <w:t>41,710</w:t>
            </w:r>
          </w:p>
        </w:tc>
        <w:tc>
          <w:tcPr>
            <w:tcW w:w="1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2"/>
              </w:rPr>
              <w:t>758,804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7.22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Interest-bearing deposits at banks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3.56</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 resell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4,801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6.40</w:t>
            </w:r>
          </w:p>
        </w:tc>
        <w:tc>
          <w:tcPr>
            <w:tcW w:w="1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Trading account</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0.83</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2,428</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26,610</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4.45</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2,627</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28,490</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2,826</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30,396</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w w:val="99"/>
              </w:rPr>
              <w:t>Obligations of states and political subdivisions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7.11</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4,661</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60,817</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5.29</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4,798</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62,200</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4,925</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63,086</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8"/>
                <w:szCs w:val="18"/>
                <w:color w:val="auto"/>
              </w:rPr>
              <w:t>Total investment securities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7,214</w:t>
            </w:r>
          </w:p>
        </w:tc>
        <w:tc>
          <w:tcPr>
            <w:tcW w:w="420" w:type="dxa"/>
            <w:vAlign w:val="bottom"/>
            <w:gridSpan w:val="3"/>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89,661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auto"/>
                <w:w w:val="74"/>
              </w:rPr>
              <w:t>5.04</w:t>
            </w: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7,556</w:t>
            </w:r>
          </w:p>
        </w:tc>
        <w:tc>
          <w:tcPr>
            <w:tcW w:w="12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92,934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5"/>
              </w:rPr>
              <w:t>4.88</w:t>
            </w: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7,898</w:t>
            </w:r>
          </w:p>
        </w:tc>
        <w:tc>
          <w:tcPr>
            <w:tcW w:w="1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98"/>
              </w:rPr>
              <w:t>95,916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4.82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Total earning assets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50,693</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866,172</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6.93</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50,235</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876,197</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49,849</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858,008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Allowance for credit losses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808080"/>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1,365</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5,866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5,592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57,207</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56,575</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56,158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right w:val="single" w:sz="8" w:color="808080"/>
            </w:tcBorders>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2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NOW accounts</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437</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1,167</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1.08</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960</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Savings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14,733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60,842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1.67</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14,549</w:t>
            </w: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58,591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14,463</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51,816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11,657</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136,682</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4.76</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12,086</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141,853</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13,016</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152,571</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Deposits at foreign office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3,717</w:t>
            </w:r>
          </w:p>
        </w:tc>
        <w:tc>
          <w:tcPr>
            <w:tcW w:w="42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5.20</w:t>
            </w: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49,503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3,674</w:t>
            </w: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48,244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interest-bearing deposits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30,544</w:t>
            </w:r>
          </w:p>
        </w:tc>
        <w:tc>
          <w:tcPr>
            <w:tcW w:w="420" w:type="dxa"/>
            <w:vAlign w:val="bottom"/>
            <w:tcBorders>
              <w:left w:val="single" w:sz="8" w:color="EEEEEE"/>
              <w:right w:val="single" w:sz="8" w:color="EEEEEE"/>
            </w:tcBorders>
            <w:gridSpan w:val="3"/>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246,340</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3.27</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30,873</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251,010</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31,587</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253,591</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4,852</w:t>
            </w:r>
          </w:p>
        </w:tc>
        <w:tc>
          <w:tcPr>
            <w:tcW w:w="420" w:type="dxa"/>
            <w:vAlign w:val="bottom"/>
            <w:gridSpan w:val="3"/>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63,564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808080"/>
            </w:tcBorders>
          </w:tcPr>
          <w:p>
            <w:pPr>
              <w:spacing w:after="0"/>
              <w:rPr>
                <w:sz w:val="20"/>
                <w:szCs w:val="20"/>
                <w:color w:val="auto"/>
              </w:rPr>
            </w:pPr>
            <w:r>
              <w:rPr>
                <w:rFonts w:ascii="Arial" w:cs="Arial" w:eastAsia="Arial" w:hAnsi="Arial"/>
                <w:sz w:val="18"/>
                <w:szCs w:val="18"/>
                <w:color w:val="auto"/>
                <w:w w:val="74"/>
              </w:rPr>
              <w:t>5.31</w:t>
            </w: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64,173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5"/>
              </w:rPr>
              <w:t>5.31</w:t>
            </w: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4,441</w:t>
            </w: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8"/>
              </w:rPr>
              <w:t>59,487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5.31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7,308</w:t>
            </w:r>
          </w:p>
        </w:tc>
        <w:tc>
          <w:tcPr>
            <w:tcW w:w="1000" w:type="dxa"/>
            <w:vAlign w:val="bottom"/>
            <w:tcBorders>
              <w:lef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100,718</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5.59</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6,174</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89,173</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5,660</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82,574</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42,704</w:t>
            </w:r>
          </w:p>
        </w:tc>
        <w:tc>
          <w:tcPr>
            <w:tcW w:w="420" w:type="dxa"/>
            <w:vAlign w:val="bottom"/>
            <w:gridSpan w:val="3"/>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410,622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auto"/>
                <w:w w:val="74"/>
              </w:rPr>
              <w:t>3.90</w:t>
            </w: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41,841</w:t>
            </w:r>
          </w:p>
        </w:tc>
        <w:tc>
          <w:tcPr>
            <w:tcW w:w="12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404,356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5"/>
              </w:rPr>
              <w:t>3.83</w:t>
            </w: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3"/>
              </w:rPr>
              <w:t>41,688</w:t>
            </w:r>
          </w:p>
        </w:tc>
        <w:tc>
          <w:tcPr>
            <w:tcW w:w="1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2"/>
              </w:rPr>
              <w:t>395,652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3.77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7,422</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7,631</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7,571</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50,937</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50,331</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50,073</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6,270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6,085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57,207</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56,575</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56,158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interest spread</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8"/>
                <w:szCs w:val="18"/>
                <w:color w:val="auto"/>
                <w:w w:val="74"/>
              </w:rPr>
              <w:t>3.03</w:t>
            </w:r>
          </w:p>
        </w:tc>
        <w:tc>
          <w:tcPr>
            <w:tcW w:w="18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right w:val="single" w:sz="8" w:color="808080"/>
            </w:tcBorders>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2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3.09</w:t>
            </w:r>
          </w:p>
        </w:tc>
        <w:tc>
          <w:tcPr>
            <w:tcW w:w="16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3.06</w:t>
            </w:r>
          </w:p>
        </w:tc>
        <w:tc>
          <w:tcPr>
            <w:tcW w:w="1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Contribution of interest-free funds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center"/>
              <w:ind w:left="91"/>
              <w:spacing w:after="0"/>
              <w:rPr>
                <w:sz w:val="20"/>
                <w:szCs w:val="20"/>
                <w:color w:val="auto"/>
              </w:rPr>
            </w:pPr>
            <w:r>
              <w:rPr>
                <w:rFonts w:ascii="Arial" w:cs="Arial" w:eastAsia="Arial" w:hAnsi="Arial"/>
                <w:sz w:val="18"/>
                <w:szCs w:val="18"/>
                <w:color w:val="auto"/>
                <w:w w:val="87"/>
              </w:rPr>
              <w:t>.61</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interest income/margin on earning assets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8"/>
                <w:szCs w:val="18"/>
                <w:color w:val="auto"/>
              </w:rPr>
              <w:t>$455,550</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471,841</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8"/>
                <w:szCs w:val="18"/>
                <w:color w:val="auto"/>
              </w:rPr>
              <w:t>462,356</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90"/>
              </w:rPr>
              <w:t>3.64%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3.68%</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Includes nonaccrual loans.</w:t>
      </w:r>
    </w:p>
    <w:p>
      <w:pPr>
        <w:spacing w:after="0" w:line="22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Includes available for sale securities at amortized cost.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w:t>
            </w:r>
          </w:p>
        </w:tc>
        <w:tc>
          <w:tcPr>
            <w:tcW w:w="1460" w:type="dxa"/>
            <w:vAlign w:val="bottom"/>
            <w:gridSpan w:val="5"/>
          </w:tcPr>
          <w:p>
            <w:pPr>
              <w:ind w:left="80"/>
              <w:spacing w:after="0"/>
              <w:rPr>
                <w:sz w:val="20"/>
                <w:szCs w:val="20"/>
                <w:color w:val="auto"/>
              </w:rPr>
            </w:pPr>
            <w:r>
              <w:rPr>
                <w:rFonts w:ascii="Arial" w:cs="Arial" w:eastAsia="Arial" w:hAnsi="Arial"/>
                <w:sz w:val="14"/>
                <w:szCs w:val="14"/>
                <w:b w:val="1"/>
                <w:bCs w:val="1"/>
                <w:color w:val="auto"/>
                <w:w w:val="97"/>
              </w:rPr>
              <w:t>2006 Second Quarter</w:t>
            </w:r>
          </w:p>
        </w:tc>
        <w:tc>
          <w:tcPr>
            <w:tcW w:w="240" w:type="dxa"/>
            <w:vAlign w:val="bottom"/>
          </w:tcPr>
          <w:p>
            <w:pPr>
              <w:spacing w:after="0"/>
              <w:rPr>
                <w:sz w:val="16"/>
                <w:szCs w:val="16"/>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2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2006 First Quarter</w:t>
            </w:r>
          </w:p>
        </w:tc>
        <w:tc>
          <w:tcPr>
            <w:tcW w:w="240" w:type="dxa"/>
            <w:vAlign w:val="bottom"/>
          </w:tcPr>
          <w:p>
            <w:pPr>
              <w:spacing w:after="0"/>
              <w:rPr>
                <w:sz w:val="16"/>
                <w:szCs w:val="16"/>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1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balance in millions; interest in thousands</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9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Earning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Loans and leases, net of unearned discount*</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Commercial, financial, etc.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11,274</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$197,945</w:t>
            </w:r>
          </w:p>
        </w:tc>
        <w:tc>
          <w:tcPr>
            <w:tcW w:w="24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7.04%</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11,034</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181,057</w:t>
            </w:r>
          </w:p>
        </w:tc>
        <w:tc>
          <w:tcPr>
            <w:tcW w:w="24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Real estate — commercial</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14,947</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269,632</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14,678</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260,008</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Real estate — consumer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4,860</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76,377</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4,601</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71,097</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9,899</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172,523</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10,231</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171,342</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260"/>
              <w:spacing w:after="0"/>
              <w:rPr>
                <w:sz w:val="20"/>
                <w:szCs w:val="20"/>
                <w:color w:val="auto"/>
              </w:rPr>
            </w:pPr>
            <w:r>
              <w:rPr>
                <w:rFonts w:ascii="Arial" w:cs="Arial" w:eastAsia="Arial" w:hAnsi="Arial"/>
                <w:sz w:val="18"/>
                <w:szCs w:val="18"/>
                <w:color w:val="auto"/>
              </w:rPr>
              <w:t>Total loans and leases, net</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40,980</w:t>
            </w:r>
          </w:p>
        </w:tc>
        <w:tc>
          <w:tcPr>
            <w:tcW w:w="14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716,477</w:t>
            </w:r>
          </w:p>
        </w:tc>
        <w:tc>
          <w:tcPr>
            <w:tcW w:w="2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7.01</w:t>
            </w: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3"/>
              </w:rPr>
              <w:t>40,544</w:t>
            </w:r>
          </w:p>
        </w:tc>
        <w:tc>
          <w:tcPr>
            <w:tcW w:w="1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683,504</w:t>
            </w:r>
          </w:p>
        </w:tc>
        <w:tc>
          <w:tcPr>
            <w:tcW w:w="2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6.84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Interest-bearing deposits at banks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Trading account</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753</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U.S. Treasury and federal agencies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32,473</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3,024</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30,310</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Obligations of states and political subdivisions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2,804</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2,741</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5,081</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64,529</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5,183</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64,327</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260"/>
              <w:spacing w:after="0"/>
              <w:rPr>
                <w:sz w:val="20"/>
                <w:szCs w:val="20"/>
                <w:color w:val="auto"/>
              </w:rPr>
            </w:pPr>
            <w:r>
              <w:rPr>
                <w:rFonts w:ascii="Arial" w:cs="Arial" w:eastAsia="Arial" w:hAnsi="Arial"/>
                <w:sz w:val="18"/>
                <w:szCs w:val="18"/>
                <w:color w:val="auto"/>
              </w:rPr>
              <w:t>Total investment securities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8,314</w:t>
            </w:r>
          </w:p>
        </w:tc>
        <w:tc>
          <w:tcPr>
            <w:tcW w:w="14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99,806</w:t>
            </w:r>
          </w:p>
        </w:tc>
        <w:tc>
          <w:tcPr>
            <w:tcW w:w="2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4.81</w:t>
            </w: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8,383</w:t>
            </w:r>
          </w:p>
        </w:tc>
        <w:tc>
          <w:tcPr>
            <w:tcW w:w="1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97,378</w:t>
            </w:r>
          </w:p>
        </w:tc>
        <w:tc>
          <w:tcPr>
            <w:tcW w:w="2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4.71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Total earning assets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49,443</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817,552</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49,066</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782,003</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Allowance for credit losses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1,326</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1,360</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5,321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55,498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55,106</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80" w:type="dxa"/>
            <w:vAlign w:val="bottom"/>
            <w:tcBorders>
              <w:left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Interest-bearing liabilities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NOW accounts</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659</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Savings deposits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14,254</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47,579</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14,335</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43,557</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Time deposits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12,699</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139,032</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11,870</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118,058</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Deposits at foreign office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3,598</w:t>
            </w:r>
          </w:p>
        </w:tc>
        <w:tc>
          <w:tcPr>
            <w:tcW w:w="14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43,798</w:t>
            </w:r>
          </w:p>
        </w:tc>
        <w:tc>
          <w:tcPr>
            <w:tcW w:w="2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3,383</w:t>
            </w:r>
          </w:p>
        </w:tc>
        <w:tc>
          <w:tcPr>
            <w:tcW w:w="1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36,803</w:t>
            </w:r>
          </w:p>
        </w:tc>
        <w:tc>
          <w:tcPr>
            <w:tcW w:w="2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interest-bearing deposits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30,989</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231,188</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29,997</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199,077</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4,326</w:t>
            </w:r>
          </w:p>
        </w:tc>
        <w:tc>
          <w:tcPr>
            <w:tcW w:w="14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53,623</w:t>
            </w:r>
          </w:p>
        </w:tc>
        <w:tc>
          <w:tcPr>
            <w:tcW w:w="2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4.97</w:t>
            </w:r>
          </w:p>
        </w:tc>
        <w:tc>
          <w:tcPr>
            <w:tcW w:w="1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4,555</w:t>
            </w:r>
          </w:p>
        </w:tc>
        <w:tc>
          <w:tcPr>
            <w:tcW w:w="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50,567</w:t>
            </w:r>
          </w:p>
        </w:tc>
        <w:tc>
          <w:tcPr>
            <w:tcW w:w="2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5,930</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81,487</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6,293</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80,602</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interest-bearing liabilities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41,245</w:t>
            </w:r>
          </w:p>
        </w:tc>
        <w:tc>
          <w:tcPr>
            <w:tcW w:w="14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366,298</w:t>
            </w:r>
          </w:p>
        </w:tc>
        <w:tc>
          <w:tcPr>
            <w:tcW w:w="2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3.56</w:t>
            </w: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3"/>
              </w:rPr>
              <w:t>40,845</w:t>
            </w:r>
          </w:p>
        </w:tc>
        <w:tc>
          <w:tcPr>
            <w:tcW w:w="1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330,246</w:t>
            </w:r>
          </w:p>
        </w:tc>
        <w:tc>
          <w:tcPr>
            <w:tcW w:w="2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3.28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Noninterest-bearing deposits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7,446</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7,572</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796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49,558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49,213</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5,940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5,893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55,498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55,106</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interest spread</w:t>
            </w: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3.07</w:t>
            </w:r>
          </w:p>
        </w:tc>
        <w:tc>
          <w:tcPr>
            <w:tcW w:w="16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80" w:type="dxa"/>
            <w:vAlign w:val="bottom"/>
            <w:tcBorders>
              <w:left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3.18</w:t>
            </w:r>
          </w:p>
        </w:tc>
        <w:tc>
          <w:tcPr>
            <w:tcW w:w="1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Contribution of interest-free funds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interest income/margin on earning assets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8"/>
                <w:szCs w:val="18"/>
                <w:color w:val="auto"/>
              </w:rPr>
              <w:t>$451,254</w:t>
            </w: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451,757</w:t>
            </w: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3.66%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3.73%</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Includes nonaccrual loans.</w:t>
      </w:r>
    </w:p>
    <w:p>
      <w:pPr>
        <w:spacing w:after="0" w:line="225"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Includes available for sale securities at amortized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ind w:right="240" w:firstLine="233"/>
        <w:spacing w:after="0" w:line="312" w:lineRule="auto"/>
        <w:tabs>
          <w:tab w:leader="none" w:pos="47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believe that M&amp;T’s disclosure controls and procedures were effective as of March 31, 2007.</w:t>
      </w:r>
    </w:p>
    <w:p>
      <w:pPr>
        <w:spacing w:after="0" w:line="119" w:lineRule="exact"/>
        <w:rPr>
          <w:rFonts w:ascii="Arial" w:cs="Arial" w:eastAsia="Arial" w:hAnsi="Arial"/>
          <w:sz w:val="16"/>
          <w:szCs w:val="16"/>
          <w:color w:val="auto"/>
        </w:rPr>
      </w:pPr>
    </w:p>
    <w:p>
      <w:pPr>
        <w:ind w:firstLine="233"/>
        <w:spacing w:after="0" w:line="279"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2007 that have materially affected, or are reasonably likely to materially affect, M&amp;T’s internal control over financial reporting.</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98"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2006.</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(a)–(b) Not applicable.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(c)Total</w:t>
            </w:r>
          </w:p>
        </w:tc>
        <w:tc>
          <w:tcPr>
            <w:tcW w:w="440" w:type="dxa"/>
            <w:vAlign w:val="bottom"/>
          </w:tcPr>
          <w:p>
            <w:pPr>
              <w:spacing w:after="0"/>
              <w:rPr>
                <w:sz w:val="14"/>
                <w:szCs w:val="14"/>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(d)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(or Units)</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(a)Total</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(b)Average</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as Part of</w:t>
            </w:r>
          </w:p>
        </w:tc>
        <w:tc>
          <w:tcPr>
            <w:tcW w:w="44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Publicly</w:t>
            </w:r>
          </w:p>
        </w:tc>
        <w:tc>
          <w:tcPr>
            <w:tcW w:w="44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of Shares</w:t>
            </w:r>
          </w:p>
        </w:tc>
        <w:tc>
          <w:tcPr>
            <w:tcW w:w="42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Announced</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(or Units)</w:t>
            </w:r>
          </w:p>
        </w:tc>
        <w:tc>
          <w:tcPr>
            <w:tcW w:w="42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per Share</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Plans or</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86"/>
        </w:trPr>
        <w:tc>
          <w:tcPr>
            <w:tcW w:w="2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Purchased(1)</w:t>
            </w:r>
          </w:p>
        </w:tc>
        <w:tc>
          <w:tcPr>
            <w:tcW w:w="42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(or Unit)</w:t>
            </w: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Programs</w:t>
            </w:r>
          </w:p>
        </w:tc>
        <w:tc>
          <w:tcPr>
            <w:tcW w:w="44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0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January 1 – January 31, 2007</w:t>
            </w:r>
          </w:p>
        </w:tc>
        <w:tc>
          <w:tcPr>
            <w:tcW w:w="1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716,462</w:t>
            </w:r>
          </w:p>
        </w:tc>
        <w:tc>
          <w:tcPr>
            <w:tcW w:w="5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$120.26</w:t>
            </w:r>
          </w:p>
        </w:tc>
        <w:tc>
          <w:tcPr>
            <w:tcW w:w="400" w:type="dxa"/>
            <w:vAlign w:val="bottom"/>
            <w:shd w:val="clear" w:color="auto" w:fill="EEEEEE"/>
          </w:tcPr>
          <w:p>
            <w:pPr>
              <w:spacing w:after="0"/>
              <w:rPr>
                <w:sz w:val="18"/>
                <w:szCs w:val="18"/>
                <w:color w:val="auto"/>
              </w:rPr>
            </w:pPr>
          </w:p>
        </w:tc>
        <w:tc>
          <w:tcPr>
            <w:tcW w:w="1680" w:type="dxa"/>
            <w:vAlign w:val="bottom"/>
            <w:tcBorders>
              <w:right w:val="single" w:sz="8" w:color="EEEEEE"/>
            </w:tcBorders>
            <w:gridSpan w:val="3"/>
            <w:shd w:val="clear" w:color="auto" w:fill="EEEEEE"/>
          </w:tcPr>
          <w:p>
            <w:pPr>
              <w:ind w:left="1080"/>
              <w:spacing w:after="0"/>
              <w:rPr>
                <w:sz w:val="20"/>
                <w:szCs w:val="20"/>
                <w:color w:val="auto"/>
              </w:rPr>
            </w:pPr>
            <w:r>
              <w:rPr>
                <w:rFonts w:ascii="Arial" w:cs="Arial" w:eastAsia="Arial" w:hAnsi="Arial"/>
                <w:sz w:val="18"/>
                <w:szCs w:val="18"/>
                <w:color w:val="auto"/>
                <w:w w:val="86"/>
              </w:rPr>
              <w:t>689,000</w:t>
            </w:r>
          </w:p>
        </w:tc>
        <w:tc>
          <w:tcPr>
            <w:tcW w:w="500" w:type="dxa"/>
            <w:vAlign w:val="bottom"/>
            <w:shd w:val="clear" w:color="auto" w:fill="EEEEEE"/>
          </w:tcPr>
          <w:p>
            <w:pPr>
              <w:spacing w:after="0"/>
              <w:rPr>
                <w:sz w:val="18"/>
                <w:szCs w:val="18"/>
                <w:color w:val="auto"/>
              </w:rPr>
            </w:pPr>
          </w:p>
        </w:tc>
        <w:tc>
          <w:tcPr>
            <w:tcW w:w="1780" w:type="dxa"/>
            <w:vAlign w:val="bottom"/>
            <w:gridSpan w:val="3"/>
            <w:shd w:val="clear" w:color="auto" w:fill="EEEEEE"/>
          </w:tcPr>
          <w:p>
            <w:pPr>
              <w:jc w:val="center"/>
              <w:ind w:left="970"/>
              <w:spacing w:after="0"/>
              <w:rPr>
                <w:sz w:val="20"/>
                <w:szCs w:val="20"/>
                <w:color w:val="auto"/>
              </w:rPr>
            </w:pPr>
            <w:r>
              <w:rPr>
                <w:rFonts w:ascii="Arial" w:cs="Arial" w:eastAsia="Arial" w:hAnsi="Arial"/>
                <w:sz w:val="18"/>
                <w:szCs w:val="18"/>
                <w:color w:val="auto"/>
                <w:w w:val="89"/>
              </w:rPr>
              <w:t>1,007,300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February 1 - February 28, 2007</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410,949</w:t>
            </w:r>
          </w:p>
        </w:tc>
        <w:tc>
          <w:tcPr>
            <w:tcW w:w="5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121.68</w:t>
            </w:r>
          </w:p>
        </w:tc>
        <w:tc>
          <w:tcPr>
            <w:tcW w:w="400" w:type="dxa"/>
            <w:vAlign w:val="bottom"/>
          </w:tcPr>
          <w:p>
            <w:pPr>
              <w:spacing w:after="0"/>
              <w:rPr>
                <w:sz w:val="18"/>
                <w:szCs w:val="18"/>
                <w:color w:val="auto"/>
              </w:rPr>
            </w:pPr>
          </w:p>
        </w:tc>
        <w:tc>
          <w:tcPr>
            <w:tcW w:w="1680" w:type="dxa"/>
            <w:vAlign w:val="bottom"/>
            <w:gridSpan w:val="3"/>
          </w:tcPr>
          <w:p>
            <w:pPr>
              <w:ind w:left="1080"/>
              <w:spacing w:after="0"/>
              <w:rPr>
                <w:sz w:val="20"/>
                <w:szCs w:val="20"/>
                <w:color w:val="auto"/>
              </w:rPr>
            </w:pPr>
            <w:r>
              <w:rPr>
                <w:rFonts w:ascii="Arial" w:cs="Arial" w:eastAsia="Arial" w:hAnsi="Arial"/>
                <w:sz w:val="18"/>
                <w:szCs w:val="18"/>
                <w:color w:val="auto"/>
                <w:w w:val="86"/>
              </w:rPr>
              <w:t>400,000</w:t>
            </w:r>
          </w:p>
        </w:tc>
        <w:tc>
          <w:tcPr>
            <w:tcW w:w="500" w:type="dxa"/>
            <w:vAlign w:val="bottom"/>
          </w:tcPr>
          <w:p>
            <w:pPr>
              <w:spacing w:after="0"/>
              <w:rPr>
                <w:sz w:val="18"/>
                <w:szCs w:val="18"/>
                <w:color w:val="auto"/>
              </w:rPr>
            </w:pPr>
          </w:p>
        </w:tc>
        <w:tc>
          <w:tcPr>
            <w:tcW w:w="17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5,607,300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March 1 – March 31, 2007</w:t>
            </w:r>
          </w:p>
        </w:tc>
        <w:tc>
          <w:tcPr>
            <w:tcW w:w="1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650,376</w:t>
            </w:r>
          </w:p>
        </w:tc>
        <w:tc>
          <w:tcPr>
            <w:tcW w:w="5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117.79</w:t>
            </w:r>
          </w:p>
        </w:tc>
        <w:tc>
          <w:tcPr>
            <w:tcW w:w="400" w:type="dxa"/>
            <w:vAlign w:val="bottom"/>
            <w:shd w:val="clear" w:color="auto" w:fill="EEEEEE"/>
          </w:tcPr>
          <w:p>
            <w:pPr>
              <w:spacing w:after="0"/>
              <w:rPr>
                <w:sz w:val="18"/>
                <w:szCs w:val="18"/>
                <w:color w:val="auto"/>
              </w:rPr>
            </w:pPr>
          </w:p>
        </w:tc>
        <w:tc>
          <w:tcPr>
            <w:tcW w:w="1680" w:type="dxa"/>
            <w:vAlign w:val="bottom"/>
            <w:tcBorders>
              <w:right w:val="single" w:sz="8" w:color="EEEEEE"/>
            </w:tcBorders>
            <w:gridSpan w:val="3"/>
            <w:shd w:val="clear" w:color="auto" w:fill="EEEEEE"/>
          </w:tcPr>
          <w:p>
            <w:pPr>
              <w:ind w:left="1080"/>
              <w:spacing w:after="0"/>
              <w:rPr>
                <w:sz w:val="20"/>
                <w:szCs w:val="20"/>
                <w:color w:val="auto"/>
              </w:rPr>
            </w:pPr>
            <w:r>
              <w:rPr>
                <w:rFonts w:ascii="Arial" w:cs="Arial" w:eastAsia="Arial" w:hAnsi="Arial"/>
                <w:sz w:val="18"/>
                <w:szCs w:val="18"/>
                <w:color w:val="auto"/>
                <w:w w:val="86"/>
              </w:rPr>
              <w:t>647,800</w:t>
            </w:r>
          </w:p>
        </w:tc>
        <w:tc>
          <w:tcPr>
            <w:tcW w:w="500" w:type="dxa"/>
            <w:vAlign w:val="bottom"/>
            <w:shd w:val="clear" w:color="auto" w:fill="EEEEEE"/>
          </w:tcPr>
          <w:p>
            <w:pPr>
              <w:spacing w:after="0"/>
              <w:rPr>
                <w:sz w:val="18"/>
                <w:szCs w:val="18"/>
                <w:color w:val="auto"/>
              </w:rPr>
            </w:pPr>
          </w:p>
        </w:tc>
        <w:tc>
          <w:tcPr>
            <w:tcW w:w="1780" w:type="dxa"/>
            <w:vAlign w:val="bottom"/>
            <w:gridSpan w:val="3"/>
            <w:shd w:val="clear" w:color="auto" w:fill="EEEEEE"/>
          </w:tcPr>
          <w:p>
            <w:pPr>
              <w:jc w:val="center"/>
              <w:ind w:left="970"/>
              <w:spacing w:after="0"/>
              <w:rPr>
                <w:sz w:val="20"/>
                <w:szCs w:val="20"/>
                <w:color w:val="auto"/>
              </w:rPr>
            </w:pPr>
            <w:r>
              <w:rPr>
                <w:rFonts w:ascii="Arial" w:cs="Arial" w:eastAsia="Arial" w:hAnsi="Arial"/>
                <w:sz w:val="18"/>
                <w:szCs w:val="18"/>
                <w:color w:val="auto"/>
                <w:w w:val="89"/>
              </w:rPr>
              <w:t>4,959,500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92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1,777,787</w:t>
            </w:r>
          </w:p>
        </w:tc>
        <w:tc>
          <w:tcPr>
            <w:tcW w:w="5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$119.69</w:t>
            </w:r>
          </w:p>
        </w:tc>
        <w:tc>
          <w:tcPr>
            <w:tcW w:w="400" w:type="dxa"/>
            <w:vAlign w:val="bottom"/>
          </w:tcPr>
          <w:p>
            <w:pPr>
              <w:spacing w:after="0"/>
              <w:rPr>
                <w:sz w:val="20"/>
                <w:szCs w:val="20"/>
                <w:color w:val="auto"/>
              </w:rPr>
            </w:pPr>
          </w:p>
        </w:tc>
        <w:tc>
          <w:tcPr>
            <w:tcW w:w="168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1,736,800</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40" w:right="10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as is permitted under M&amp;T’s stock option plans.</w:t>
      </w:r>
    </w:p>
    <w:p>
      <w:pPr>
        <w:spacing w:after="0" w:line="181" w:lineRule="exact"/>
        <w:rPr>
          <w:rFonts w:ascii="Arial" w:cs="Arial" w:eastAsia="Arial" w:hAnsi="Arial"/>
          <w:sz w:val="18"/>
          <w:szCs w:val="18"/>
          <w:color w:val="auto"/>
        </w:rPr>
      </w:pPr>
    </w:p>
    <w:p>
      <w:pPr>
        <w:ind w:left="340" w:right="86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November 21, 2005, M&amp;T announced a program to purchase up to 5,000,000 shares of its common stock. That program was completed in March 2007. On February 22, 2007, M&amp;T announced another program to purchase up to 5,000,000 shares of its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(a)–(c) The 2007 Annual Meeting of Stockholders of M&amp;T was held on April 17, 2007. At the 2007 Annual Meeting, stockholders elected twenty</w:t>
      </w:r>
    </w:p>
    <w:p>
      <w:pPr>
        <w:spacing w:after="0" w:line="35" w:lineRule="exact"/>
        <w:rPr>
          <w:sz w:val="20"/>
          <w:szCs w:val="20"/>
          <w:color w:val="auto"/>
        </w:rPr>
      </w:pPr>
    </w:p>
    <w:p>
      <w:pPr>
        <w:ind w:firstLine="8"/>
        <w:spacing w:after="0" w:line="261"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all of whom were then serving as directors of M&amp;T, for terms of one (1) year and until their successors are elected and qualified. The following table reflects the tabulation of the votes with respect to each director who was elected at the 2007 Annual Meeting.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80" w:type="dxa"/>
            <w:vAlign w:val="bottom"/>
            <w:gridSpan w:val="3"/>
          </w:tcPr>
          <w:p>
            <w:pPr>
              <w:jc w:val="right"/>
              <w:ind w:right="1688"/>
              <w:spacing w:after="0"/>
              <w:rPr>
                <w:sz w:val="20"/>
                <w:szCs w:val="20"/>
                <w:color w:val="auto"/>
              </w:rPr>
            </w:pPr>
            <w:r>
              <w:rPr>
                <w:rFonts w:ascii="Arial" w:cs="Arial" w:eastAsia="Arial" w:hAnsi="Arial"/>
                <w:sz w:val="14"/>
                <w:szCs w:val="14"/>
                <w:b w:val="1"/>
                <w:bCs w:val="1"/>
                <w:color w:val="auto"/>
              </w:rPr>
              <w:t>Number of Votes</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100" w:type="dxa"/>
            <w:vAlign w:val="bottom"/>
            <w:tcBorders>
              <w:bottom w:val="single" w:sz="8" w:color="808080"/>
            </w:tcBorders>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gridSpan w:val="2"/>
          </w:tcPr>
          <w:p>
            <w:pPr>
              <w:ind w:left="1800"/>
              <w:spacing w:after="0"/>
              <w:rPr>
                <w:sz w:val="20"/>
                <w:szCs w:val="20"/>
                <w:color w:val="auto"/>
              </w:rPr>
            </w:pPr>
            <w:r>
              <w:rPr>
                <w:rFonts w:ascii="Arial" w:cs="Arial" w:eastAsia="Arial" w:hAnsi="Arial"/>
                <w:sz w:val="14"/>
                <w:szCs w:val="14"/>
                <w:b w:val="1"/>
                <w:bCs w:val="1"/>
                <w:color w:val="auto"/>
              </w:rPr>
              <w:t>Nominee</w:t>
            </w:r>
          </w:p>
        </w:tc>
        <w:tc>
          <w:tcPr>
            <w:tcW w:w="1580" w:type="dxa"/>
            <w:vAlign w:val="bottom"/>
          </w:tcPr>
          <w:p>
            <w:pPr>
              <w:jc w:val="right"/>
              <w:ind w:right="332"/>
              <w:spacing w:after="0"/>
              <w:rPr>
                <w:sz w:val="20"/>
                <w:szCs w:val="20"/>
                <w:color w:val="auto"/>
              </w:rPr>
            </w:pPr>
            <w:r>
              <w:rPr>
                <w:rFonts w:ascii="Arial" w:cs="Arial" w:eastAsia="Arial" w:hAnsi="Arial"/>
                <w:sz w:val="14"/>
                <w:szCs w:val="14"/>
                <w:b w:val="1"/>
                <w:bCs w:val="1"/>
                <w:color w:val="auto"/>
              </w:rPr>
              <w:t>For</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tcPr>
          <w:p>
            <w:pPr>
              <w:jc w:val="right"/>
              <w:ind w:right="688"/>
              <w:spacing w:after="0"/>
              <w:rPr>
                <w:sz w:val="20"/>
                <w:szCs w:val="20"/>
                <w:color w:val="auto"/>
              </w:rPr>
            </w:pPr>
            <w:r>
              <w:rPr>
                <w:rFonts w:ascii="Arial" w:cs="Arial" w:eastAsia="Arial" w:hAnsi="Arial"/>
                <w:sz w:val="14"/>
                <w:szCs w:val="14"/>
                <w:b w:val="1"/>
                <w:bCs w:val="1"/>
                <w:color w:val="auto"/>
              </w:rPr>
              <w:t>Withheld</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18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2100" w:type="dxa"/>
            <w:vAlign w:val="bottom"/>
            <w:tcBorders>
              <w:bottom w:val="single" w:sz="8" w:color="808080"/>
            </w:tcBorders>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Brent D. Baird</w:t>
            </w:r>
          </w:p>
        </w:tc>
        <w:tc>
          <w:tcPr>
            <w:tcW w:w="158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95,484,984</w:t>
            </w:r>
          </w:p>
        </w:tc>
        <w:tc>
          <w:tcPr>
            <w:tcW w:w="2980" w:type="dxa"/>
            <w:vAlign w:val="bottom"/>
            <w:gridSpan w:val="3"/>
            <w:shd w:val="clear" w:color="auto" w:fill="EEEEEE"/>
          </w:tcPr>
          <w:p>
            <w:pPr>
              <w:jc w:val="right"/>
              <w:ind w:right="608"/>
              <w:spacing w:after="0"/>
              <w:rPr>
                <w:sz w:val="20"/>
                <w:szCs w:val="20"/>
                <w:color w:val="auto"/>
              </w:rPr>
            </w:pPr>
            <w:r>
              <w:rPr>
                <w:rFonts w:ascii="Arial" w:cs="Arial" w:eastAsia="Arial" w:hAnsi="Arial"/>
                <w:sz w:val="18"/>
                <w:szCs w:val="18"/>
                <w:color w:val="auto"/>
              </w:rPr>
              <w:t>6,070,337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Robert J. Bennett</w:t>
            </w: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95,639,662</w:t>
            </w:r>
          </w:p>
        </w:tc>
        <w:tc>
          <w:tcPr>
            <w:tcW w:w="2980" w:type="dxa"/>
            <w:vAlign w:val="bottom"/>
            <w:gridSpan w:val="3"/>
          </w:tcPr>
          <w:p>
            <w:pPr>
              <w:jc w:val="right"/>
              <w:ind w:right="608"/>
              <w:spacing w:after="0"/>
              <w:rPr>
                <w:sz w:val="20"/>
                <w:szCs w:val="20"/>
                <w:color w:val="auto"/>
              </w:rPr>
            </w:pPr>
            <w:r>
              <w:rPr>
                <w:rFonts w:ascii="Arial" w:cs="Arial" w:eastAsia="Arial" w:hAnsi="Arial"/>
                <w:sz w:val="18"/>
                <w:szCs w:val="18"/>
                <w:color w:val="auto"/>
              </w:rPr>
              <w:t>5,915,659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 Angela Bontempo</w:t>
            </w:r>
          </w:p>
        </w:tc>
        <w:tc>
          <w:tcPr>
            <w:tcW w:w="158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95,625,773</w:t>
            </w:r>
          </w:p>
        </w:tc>
        <w:tc>
          <w:tcPr>
            <w:tcW w:w="2980" w:type="dxa"/>
            <w:vAlign w:val="bottom"/>
            <w:gridSpan w:val="3"/>
            <w:shd w:val="clear" w:color="auto" w:fill="EEEEEE"/>
          </w:tcPr>
          <w:p>
            <w:pPr>
              <w:jc w:val="right"/>
              <w:ind w:right="608"/>
              <w:spacing w:after="0"/>
              <w:rPr>
                <w:sz w:val="20"/>
                <w:szCs w:val="20"/>
                <w:color w:val="auto"/>
              </w:rPr>
            </w:pPr>
            <w:r>
              <w:rPr>
                <w:rFonts w:ascii="Arial" w:cs="Arial" w:eastAsia="Arial" w:hAnsi="Arial"/>
                <w:sz w:val="18"/>
                <w:szCs w:val="18"/>
                <w:color w:val="auto"/>
              </w:rPr>
              <w:t>5,929,548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Robert T. Brady</w:t>
            </w: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86,173,418</w:t>
            </w:r>
          </w:p>
        </w:tc>
        <w:tc>
          <w:tcPr>
            <w:tcW w:w="2980" w:type="dxa"/>
            <w:vAlign w:val="bottom"/>
            <w:gridSpan w:val="3"/>
          </w:tcPr>
          <w:p>
            <w:pPr>
              <w:jc w:val="right"/>
              <w:ind w:right="608"/>
              <w:spacing w:after="0"/>
              <w:rPr>
                <w:sz w:val="20"/>
                <w:szCs w:val="20"/>
                <w:color w:val="auto"/>
              </w:rPr>
            </w:pPr>
            <w:r>
              <w:rPr>
                <w:rFonts w:ascii="Arial" w:cs="Arial" w:eastAsia="Arial" w:hAnsi="Arial"/>
                <w:sz w:val="18"/>
                <w:szCs w:val="18"/>
                <w:color w:val="auto"/>
              </w:rPr>
              <w:t>15,381,903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Michael D. Buckley</w:t>
            </w:r>
          </w:p>
        </w:tc>
        <w:tc>
          <w:tcPr>
            <w:tcW w:w="158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95,090,244</w:t>
            </w:r>
          </w:p>
        </w:tc>
        <w:tc>
          <w:tcPr>
            <w:tcW w:w="2980" w:type="dxa"/>
            <w:vAlign w:val="bottom"/>
            <w:gridSpan w:val="3"/>
            <w:shd w:val="clear" w:color="auto" w:fill="EEEEEE"/>
          </w:tcPr>
          <w:p>
            <w:pPr>
              <w:jc w:val="right"/>
              <w:ind w:right="608"/>
              <w:spacing w:after="0"/>
              <w:rPr>
                <w:sz w:val="20"/>
                <w:szCs w:val="20"/>
                <w:color w:val="auto"/>
              </w:rPr>
            </w:pPr>
            <w:r>
              <w:rPr>
                <w:rFonts w:ascii="Arial" w:cs="Arial" w:eastAsia="Arial" w:hAnsi="Arial"/>
                <w:sz w:val="18"/>
                <w:szCs w:val="18"/>
                <w:color w:val="auto"/>
              </w:rPr>
              <w:t>6,465,077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 Jefferson Cunningham III</w:t>
            </w: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95,565,756</w:t>
            </w:r>
          </w:p>
        </w:tc>
        <w:tc>
          <w:tcPr>
            <w:tcW w:w="2980" w:type="dxa"/>
            <w:vAlign w:val="bottom"/>
            <w:gridSpan w:val="3"/>
          </w:tcPr>
          <w:p>
            <w:pPr>
              <w:jc w:val="right"/>
              <w:ind w:right="608"/>
              <w:spacing w:after="0"/>
              <w:rPr>
                <w:sz w:val="20"/>
                <w:szCs w:val="20"/>
                <w:color w:val="auto"/>
              </w:rPr>
            </w:pPr>
            <w:r>
              <w:rPr>
                <w:rFonts w:ascii="Arial" w:cs="Arial" w:eastAsia="Arial" w:hAnsi="Arial"/>
                <w:sz w:val="18"/>
                <w:szCs w:val="18"/>
                <w:color w:val="auto"/>
              </w:rPr>
              <w:t>5,989,565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Mark J. Czarnecki</w:t>
            </w:r>
          </w:p>
        </w:tc>
        <w:tc>
          <w:tcPr>
            <w:tcW w:w="158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95,642,537</w:t>
            </w:r>
          </w:p>
        </w:tc>
        <w:tc>
          <w:tcPr>
            <w:tcW w:w="2980" w:type="dxa"/>
            <w:vAlign w:val="bottom"/>
            <w:gridSpan w:val="3"/>
            <w:shd w:val="clear" w:color="auto" w:fill="EEEEEE"/>
          </w:tcPr>
          <w:p>
            <w:pPr>
              <w:jc w:val="right"/>
              <w:ind w:right="608"/>
              <w:spacing w:after="0"/>
              <w:rPr>
                <w:sz w:val="20"/>
                <w:szCs w:val="20"/>
                <w:color w:val="auto"/>
              </w:rPr>
            </w:pPr>
            <w:r>
              <w:rPr>
                <w:rFonts w:ascii="Arial" w:cs="Arial" w:eastAsia="Arial" w:hAnsi="Arial"/>
                <w:sz w:val="18"/>
                <w:szCs w:val="18"/>
                <w:color w:val="auto"/>
              </w:rPr>
              <w:t>5,912,784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Colm E. Doherty</w:t>
            </w: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95,555,410</w:t>
            </w:r>
          </w:p>
        </w:tc>
        <w:tc>
          <w:tcPr>
            <w:tcW w:w="2980" w:type="dxa"/>
            <w:vAlign w:val="bottom"/>
            <w:gridSpan w:val="3"/>
          </w:tcPr>
          <w:p>
            <w:pPr>
              <w:jc w:val="right"/>
              <w:ind w:right="608"/>
              <w:spacing w:after="0"/>
              <w:rPr>
                <w:sz w:val="20"/>
                <w:szCs w:val="20"/>
                <w:color w:val="auto"/>
              </w:rPr>
            </w:pPr>
            <w:r>
              <w:rPr>
                <w:rFonts w:ascii="Arial" w:cs="Arial" w:eastAsia="Arial" w:hAnsi="Arial"/>
                <w:sz w:val="18"/>
                <w:szCs w:val="18"/>
                <w:color w:val="auto"/>
              </w:rPr>
              <w:t>5,999,911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100" w:type="dxa"/>
            <w:vAlign w:val="bottom"/>
            <w:gridSpan w:val="3"/>
          </w:tcPr>
          <w:p>
            <w:pPr>
              <w:ind w:left="160"/>
              <w:spacing w:after="0"/>
              <w:rPr>
                <w:sz w:val="20"/>
                <w:szCs w:val="20"/>
                <w:color w:val="auto"/>
              </w:rPr>
            </w:pPr>
            <w:r>
              <w:rPr>
                <w:rFonts w:ascii="Arial" w:cs="Arial" w:eastAsia="Arial" w:hAnsi="Arial"/>
                <w:sz w:val="14"/>
                <w:szCs w:val="14"/>
                <w:b w:val="1"/>
                <w:bCs w:val="1"/>
                <w:color w:val="auto"/>
              </w:rPr>
              <w:t>Number of Votes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1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00" w:type="dxa"/>
            <w:vAlign w:val="bottom"/>
            <w:gridSpan w:val="2"/>
          </w:tcPr>
          <w:p>
            <w:pPr>
              <w:ind w:left="1680"/>
              <w:spacing w:after="0"/>
              <w:rPr>
                <w:sz w:val="20"/>
                <w:szCs w:val="20"/>
                <w:color w:val="auto"/>
              </w:rPr>
            </w:pPr>
            <w:r>
              <w:rPr>
                <w:rFonts w:ascii="Arial" w:cs="Arial" w:eastAsia="Arial" w:hAnsi="Arial"/>
                <w:sz w:val="14"/>
                <w:szCs w:val="14"/>
                <w:b w:val="1"/>
                <w:bCs w:val="1"/>
                <w:color w:val="auto"/>
              </w:rPr>
              <w:t>Nominee</w:t>
            </w:r>
          </w:p>
        </w:tc>
        <w:tc>
          <w:tcPr>
            <w:tcW w:w="1720" w:type="dxa"/>
            <w:vAlign w:val="bottom"/>
          </w:tcPr>
          <w:p>
            <w:pPr>
              <w:jc w:val="center"/>
              <w:ind w:left="531"/>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8"/>
              </w:rPr>
              <w:t>Withheld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92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21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Richard E. Garman</w:t>
            </w:r>
          </w:p>
        </w:tc>
        <w:tc>
          <w:tcPr>
            <w:tcW w:w="1720" w:type="dxa"/>
            <w:vAlign w:val="bottom"/>
            <w:shd w:val="clear" w:color="auto" w:fill="EEEEEE"/>
          </w:tcPr>
          <w:p>
            <w:pPr>
              <w:jc w:val="center"/>
              <w:ind w:left="511"/>
              <w:spacing w:after="0"/>
              <w:rPr>
                <w:sz w:val="20"/>
                <w:szCs w:val="20"/>
                <w:color w:val="auto"/>
              </w:rPr>
            </w:pPr>
            <w:r>
              <w:rPr>
                <w:rFonts w:ascii="Arial" w:cs="Arial" w:eastAsia="Arial" w:hAnsi="Arial"/>
                <w:sz w:val="18"/>
                <w:szCs w:val="18"/>
                <w:color w:val="auto"/>
                <w:w w:val="88"/>
              </w:rPr>
              <w:t>95,619,922</w:t>
            </w:r>
          </w:p>
        </w:tc>
        <w:tc>
          <w:tcPr>
            <w:tcW w:w="3100" w:type="dxa"/>
            <w:vAlign w:val="bottom"/>
            <w:gridSpan w:val="3"/>
            <w:shd w:val="clear" w:color="auto" w:fill="EEEEEE"/>
          </w:tcPr>
          <w:p>
            <w:pPr>
              <w:jc w:val="center"/>
              <w:ind w:left="891"/>
              <w:spacing w:after="0"/>
              <w:rPr>
                <w:sz w:val="20"/>
                <w:szCs w:val="20"/>
                <w:color w:val="auto"/>
              </w:rPr>
            </w:pPr>
            <w:r>
              <w:rPr>
                <w:rFonts w:ascii="Arial" w:cs="Arial" w:eastAsia="Arial" w:hAnsi="Arial"/>
                <w:sz w:val="18"/>
                <w:szCs w:val="18"/>
                <w:color w:val="auto"/>
                <w:w w:val="89"/>
              </w:rPr>
              <w:t>5,935,399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Daniel R. Hawbaker</w:t>
            </w:r>
          </w:p>
        </w:tc>
        <w:tc>
          <w:tcPr>
            <w:tcW w:w="1720" w:type="dxa"/>
            <w:vAlign w:val="bottom"/>
          </w:tcPr>
          <w:p>
            <w:pPr>
              <w:jc w:val="center"/>
              <w:ind w:left="511"/>
              <w:spacing w:after="0"/>
              <w:rPr>
                <w:sz w:val="20"/>
                <w:szCs w:val="20"/>
                <w:color w:val="auto"/>
              </w:rPr>
            </w:pPr>
            <w:r>
              <w:rPr>
                <w:rFonts w:ascii="Arial" w:cs="Arial" w:eastAsia="Arial" w:hAnsi="Arial"/>
                <w:sz w:val="18"/>
                <w:szCs w:val="18"/>
                <w:color w:val="auto"/>
                <w:w w:val="88"/>
              </w:rPr>
              <w:t>95,856,223</w:t>
            </w:r>
          </w:p>
        </w:tc>
        <w:tc>
          <w:tcPr>
            <w:tcW w:w="3100" w:type="dxa"/>
            <w:vAlign w:val="bottom"/>
            <w:gridSpan w:val="3"/>
          </w:tcPr>
          <w:p>
            <w:pPr>
              <w:jc w:val="center"/>
              <w:ind w:left="891"/>
              <w:spacing w:after="0"/>
              <w:rPr>
                <w:sz w:val="20"/>
                <w:szCs w:val="20"/>
                <w:color w:val="auto"/>
              </w:rPr>
            </w:pPr>
            <w:r>
              <w:rPr>
                <w:rFonts w:ascii="Arial" w:cs="Arial" w:eastAsia="Arial" w:hAnsi="Arial"/>
                <w:sz w:val="18"/>
                <w:szCs w:val="18"/>
                <w:color w:val="auto"/>
                <w:w w:val="89"/>
              </w:rPr>
              <w:t>5,699,098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Patrick W.E. Hodgson</w:t>
            </w:r>
          </w:p>
        </w:tc>
        <w:tc>
          <w:tcPr>
            <w:tcW w:w="1720" w:type="dxa"/>
            <w:vAlign w:val="bottom"/>
            <w:shd w:val="clear" w:color="auto" w:fill="EEEEEE"/>
          </w:tcPr>
          <w:p>
            <w:pPr>
              <w:jc w:val="center"/>
              <w:ind w:left="511"/>
              <w:spacing w:after="0"/>
              <w:rPr>
                <w:sz w:val="20"/>
                <w:szCs w:val="20"/>
                <w:color w:val="auto"/>
              </w:rPr>
            </w:pPr>
            <w:r>
              <w:rPr>
                <w:rFonts w:ascii="Arial" w:cs="Arial" w:eastAsia="Arial" w:hAnsi="Arial"/>
                <w:sz w:val="18"/>
                <w:szCs w:val="18"/>
                <w:color w:val="auto"/>
                <w:w w:val="88"/>
              </w:rPr>
              <w:t>95,634,411</w:t>
            </w:r>
          </w:p>
        </w:tc>
        <w:tc>
          <w:tcPr>
            <w:tcW w:w="3100" w:type="dxa"/>
            <w:vAlign w:val="bottom"/>
            <w:gridSpan w:val="3"/>
            <w:shd w:val="clear" w:color="auto" w:fill="EEEEEE"/>
          </w:tcPr>
          <w:p>
            <w:pPr>
              <w:jc w:val="center"/>
              <w:ind w:left="891"/>
              <w:spacing w:after="0"/>
              <w:rPr>
                <w:sz w:val="20"/>
                <w:szCs w:val="20"/>
                <w:color w:val="auto"/>
              </w:rPr>
            </w:pPr>
            <w:r>
              <w:rPr>
                <w:rFonts w:ascii="Arial" w:cs="Arial" w:eastAsia="Arial" w:hAnsi="Arial"/>
                <w:sz w:val="18"/>
                <w:szCs w:val="18"/>
                <w:color w:val="auto"/>
                <w:w w:val="89"/>
              </w:rPr>
              <w:t>5,920,910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Richard G. King</w:t>
            </w:r>
          </w:p>
        </w:tc>
        <w:tc>
          <w:tcPr>
            <w:tcW w:w="1720" w:type="dxa"/>
            <w:vAlign w:val="bottom"/>
          </w:tcPr>
          <w:p>
            <w:pPr>
              <w:jc w:val="center"/>
              <w:ind w:left="511"/>
              <w:spacing w:after="0"/>
              <w:rPr>
                <w:sz w:val="20"/>
                <w:szCs w:val="20"/>
                <w:color w:val="auto"/>
              </w:rPr>
            </w:pPr>
            <w:r>
              <w:rPr>
                <w:rFonts w:ascii="Arial" w:cs="Arial" w:eastAsia="Arial" w:hAnsi="Arial"/>
                <w:sz w:val="18"/>
                <w:szCs w:val="18"/>
                <w:color w:val="auto"/>
                <w:w w:val="88"/>
              </w:rPr>
              <w:t>95,541,578</w:t>
            </w:r>
          </w:p>
        </w:tc>
        <w:tc>
          <w:tcPr>
            <w:tcW w:w="3100" w:type="dxa"/>
            <w:vAlign w:val="bottom"/>
            <w:gridSpan w:val="3"/>
          </w:tcPr>
          <w:p>
            <w:pPr>
              <w:jc w:val="center"/>
              <w:ind w:left="891"/>
              <w:spacing w:after="0"/>
              <w:rPr>
                <w:sz w:val="20"/>
                <w:szCs w:val="20"/>
                <w:color w:val="auto"/>
              </w:rPr>
            </w:pPr>
            <w:r>
              <w:rPr>
                <w:rFonts w:ascii="Arial" w:cs="Arial" w:eastAsia="Arial" w:hAnsi="Arial"/>
                <w:sz w:val="18"/>
                <w:szCs w:val="18"/>
                <w:color w:val="auto"/>
                <w:w w:val="89"/>
              </w:rPr>
              <w:t>6,013,743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Reginald B. Newman, II</w:t>
            </w:r>
          </w:p>
        </w:tc>
        <w:tc>
          <w:tcPr>
            <w:tcW w:w="1720" w:type="dxa"/>
            <w:vAlign w:val="bottom"/>
            <w:shd w:val="clear" w:color="auto" w:fill="EEEEEE"/>
          </w:tcPr>
          <w:p>
            <w:pPr>
              <w:jc w:val="center"/>
              <w:ind w:left="511"/>
              <w:spacing w:after="0"/>
              <w:rPr>
                <w:sz w:val="20"/>
                <w:szCs w:val="20"/>
                <w:color w:val="auto"/>
              </w:rPr>
            </w:pPr>
            <w:r>
              <w:rPr>
                <w:rFonts w:ascii="Arial" w:cs="Arial" w:eastAsia="Arial" w:hAnsi="Arial"/>
                <w:sz w:val="18"/>
                <w:szCs w:val="18"/>
                <w:color w:val="auto"/>
                <w:w w:val="88"/>
              </w:rPr>
              <w:t>95,233,712</w:t>
            </w:r>
          </w:p>
        </w:tc>
        <w:tc>
          <w:tcPr>
            <w:tcW w:w="3100" w:type="dxa"/>
            <w:vAlign w:val="bottom"/>
            <w:gridSpan w:val="3"/>
            <w:shd w:val="clear" w:color="auto" w:fill="EEEEEE"/>
          </w:tcPr>
          <w:p>
            <w:pPr>
              <w:jc w:val="center"/>
              <w:ind w:left="891"/>
              <w:spacing w:after="0"/>
              <w:rPr>
                <w:sz w:val="20"/>
                <w:szCs w:val="20"/>
                <w:color w:val="auto"/>
              </w:rPr>
            </w:pPr>
            <w:r>
              <w:rPr>
                <w:rFonts w:ascii="Arial" w:cs="Arial" w:eastAsia="Arial" w:hAnsi="Arial"/>
                <w:sz w:val="18"/>
                <w:szCs w:val="18"/>
                <w:color w:val="auto"/>
                <w:w w:val="89"/>
              </w:rPr>
              <w:t>6,321,609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Jorge G. Pereira</w:t>
            </w:r>
          </w:p>
        </w:tc>
        <w:tc>
          <w:tcPr>
            <w:tcW w:w="1720" w:type="dxa"/>
            <w:vAlign w:val="bottom"/>
          </w:tcPr>
          <w:p>
            <w:pPr>
              <w:jc w:val="center"/>
              <w:ind w:left="511"/>
              <w:spacing w:after="0"/>
              <w:rPr>
                <w:sz w:val="20"/>
                <w:szCs w:val="20"/>
                <w:color w:val="auto"/>
              </w:rPr>
            </w:pPr>
            <w:r>
              <w:rPr>
                <w:rFonts w:ascii="Arial" w:cs="Arial" w:eastAsia="Arial" w:hAnsi="Arial"/>
                <w:sz w:val="18"/>
                <w:szCs w:val="18"/>
                <w:color w:val="auto"/>
                <w:w w:val="88"/>
              </w:rPr>
              <w:t>95,604,318</w:t>
            </w:r>
          </w:p>
        </w:tc>
        <w:tc>
          <w:tcPr>
            <w:tcW w:w="3100" w:type="dxa"/>
            <w:vAlign w:val="bottom"/>
            <w:gridSpan w:val="3"/>
          </w:tcPr>
          <w:p>
            <w:pPr>
              <w:jc w:val="center"/>
              <w:ind w:left="891"/>
              <w:spacing w:after="0"/>
              <w:rPr>
                <w:sz w:val="20"/>
                <w:szCs w:val="20"/>
                <w:color w:val="auto"/>
              </w:rPr>
            </w:pPr>
            <w:r>
              <w:rPr>
                <w:rFonts w:ascii="Arial" w:cs="Arial" w:eastAsia="Arial" w:hAnsi="Arial"/>
                <w:sz w:val="18"/>
                <w:szCs w:val="18"/>
                <w:color w:val="auto"/>
                <w:w w:val="89"/>
              </w:rPr>
              <w:t>5,951,003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Michael P. Pinto</w:t>
            </w:r>
          </w:p>
        </w:tc>
        <w:tc>
          <w:tcPr>
            <w:tcW w:w="1720" w:type="dxa"/>
            <w:vAlign w:val="bottom"/>
            <w:shd w:val="clear" w:color="auto" w:fill="EEEEEE"/>
          </w:tcPr>
          <w:p>
            <w:pPr>
              <w:jc w:val="center"/>
              <w:ind w:left="511"/>
              <w:spacing w:after="0"/>
              <w:rPr>
                <w:sz w:val="20"/>
                <w:szCs w:val="20"/>
                <w:color w:val="auto"/>
              </w:rPr>
            </w:pPr>
            <w:r>
              <w:rPr>
                <w:rFonts w:ascii="Arial" w:cs="Arial" w:eastAsia="Arial" w:hAnsi="Arial"/>
                <w:sz w:val="18"/>
                <w:szCs w:val="18"/>
                <w:color w:val="auto"/>
                <w:w w:val="88"/>
              </w:rPr>
              <w:t>95,647,062</w:t>
            </w:r>
          </w:p>
        </w:tc>
        <w:tc>
          <w:tcPr>
            <w:tcW w:w="3100" w:type="dxa"/>
            <w:vAlign w:val="bottom"/>
            <w:gridSpan w:val="3"/>
            <w:shd w:val="clear" w:color="auto" w:fill="EEEEEE"/>
          </w:tcPr>
          <w:p>
            <w:pPr>
              <w:jc w:val="center"/>
              <w:ind w:left="891"/>
              <w:spacing w:after="0"/>
              <w:rPr>
                <w:sz w:val="20"/>
                <w:szCs w:val="20"/>
                <w:color w:val="auto"/>
              </w:rPr>
            </w:pPr>
            <w:r>
              <w:rPr>
                <w:rFonts w:ascii="Arial" w:cs="Arial" w:eastAsia="Arial" w:hAnsi="Arial"/>
                <w:sz w:val="18"/>
                <w:szCs w:val="18"/>
                <w:color w:val="auto"/>
                <w:w w:val="89"/>
              </w:rPr>
              <w:t>5,908,259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Robert E. Sadler, Jr.</w:t>
            </w:r>
          </w:p>
        </w:tc>
        <w:tc>
          <w:tcPr>
            <w:tcW w:w="1720" w:type="dxa"/>
            <w:vAlign w:val="bottom"/>
          </w:tcPr>
          <w:p>
            <w:pPr>
              <w:jc w:val="center"/>
              <w:ind w:left="511"/>
              <w:spacing w:after="0"/>
              <w:rPr>
                <w:sz w:val="20"/>
                <w:szCs w:val="20"/>
                <w:color w:val="auto"/>
              </w:rPr>
            </w:pPr>
            <w:r>
              <w:rPr>
                <w:rFonts w:ascii="Arial" w:cs="Arial" w:eastAsia="Arial" w:hAnsi="Arial"/>
                <w:sz w:val="18"/>
                <w:szCs w:val="18"/>
                <w:color w:val="auto"/>
                <w:w w:val="88"/>
              </w:rPr>
              <w:t>95,626,864</w:t>
            </w:r>
          </w:p>
        </w:tc>
        <w:tc>
          <w:tcPr>
            <w:tcW w:w="3100" w:type="dxa"/>
            <w:vAlign w:val="bottom"/>
            <w:gridSpan w:val="3"/>
          </w:tcPr>
          <w:p>
            <w:pPr>
              <w:jc w:val="center"/>
              <w:ind w:left="891"/>
              <w:spacing w:after="0"/>
              <w:rPr>
                <w:sz w:val="20"/>
                <w:szCs w:val="20"/>
                <w:color w:val="auto"/>
              </w:rPr>
            </w:pPr>
            <w:r>
              <w:rPr>
                <w:rFonts w:ascii="Arial" w:cs="Arial" w:eastAsia="Arial" w:hAnsi="Arial"/>
                <w:sz w:val="18"/>
                <w:szCs w:val="18"/>
                <w:color w:val="auto"/>
                <w:w w:val="89"/>
              </w:rPr>
              <w:t>5,928,457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Eugene J. Sheehy</w:t>
            </w:r>
          </w:p>
        </w:tc>
        <w:tc>
          <w:tcPr>
            <w:tcW w:w="1720" w:type="dxa"/>
            <w:vAlign w:val="bottom"/>
            <w:shd w:val="clear" w:color="auto" w:fill="EEEEEE"/>
          </w:tcPr>
          <w:p>
            <w:pPr>
              <w:jc w:val="center"/>
              <w:ind w:left="511"/>
              <w:spacing w:after="0"/>
              <w:rPr>
                <w:sz w:val="20"/>
                <w:szCs w:val="20"/>
                <w:color w:val="auto"/>
              </w:rPr>
            </w:pPr>
            <w:r>
              <w:rPr>
                <w:rFonts w:ascii="Arial" w:cs="Arial" w:eastAsia="Arial" w:hAnsi="Arial"/>
                <w:sz w:val="18"/>
                <w:szCs w:val="18"/>
                <w:color w:val="auto"/>
                <w:w w:val="88"/>
              </w:rPr>
              <w:t>95,595,563</w:t>
            </w:r>
          </w:p>
        </w:tc>
        <w:tc>
          <w:tcPr>
            <w:tcW w:w="3100" w:type="dxa"/>
            <w:vAlign w:val="bottom"/>
            <w:gridSpan w:val="3"/>
            <w:shd w:val="clear" w:color="auto" w:fill="EEEEEE"/>
          </w:tcPr>
          <w:p>
            <w:pPr>
              <w:jc w:val="center"/>
              <w:ind w:left="891"/>
              <w:spacing w:after="0"/>
              <w:rPr>
                <w:sz w:val="20"/>
                <w:szCs w:val="20"/>
                <w:color w:val="auto"/>
              </w:rPr>
            </w:pPr>
            <w:r>
              <w:rPr>
                <w:rFonts w:ascii="Arial" w:cs="Arial" w:eastAsia="Arial" w:hAnsi="Arial"/>
                <w:sz w:val="18"/>
                <w:szCs w:val="18"/>
                <w:color w:val="auto"/>
                <w:w w:val="89"/>
              </w:rPr>
              <w:t>5,959,758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Stephen G. Sheetz</w:t>
            </w:r>
          </w:p>
        </w:tc>
        <w:tc>
          <w:tcPr>
            <w:tcW w:w="1720" w:type="dxa"/>
            <w:vAlign w:val="bottom"/>
          </w:tcPr>
          <w:p>
            <w:pPr>
              <w:jc w:val="center"/>
              <w:ind w:left="511"/>
              <w:spacing w:after="0"/>
              <w:rPr>
                <w:sz w:val="20"/>
                <w:szCs w:val="20"/>
                <w:color w:val="auto"/>
              </w:rPr>
            </w:pPr>
            <w:r>
              <w:rPr>
                <w:rFonts w:ascii="Arial" w:cs="Arial" w:eastAsia="Arial" w:hAnsi="Arial"/>
                <w:sz w:val="18"/>
                <w:szCs w:val="18"/>
                <w:color w:val="auto"/>
                <w:w w:val="88"/>
              </w:rPr>
              <w:t>95,865,935</w:t>
            </w:r>
          </w:p>
        </w:tc>
        <w:tc>
          <w:tcPr>
            <w:tcW w:w="3100" w:type="dxa"/>
            <w:vAlign w:val="bottom"/>
            <w:gridSpan w:val="3"/>
          </w:tcPr>
          <w:p>
            <w:pPr>
              <w:jc w:val="center"/>
              <w:ind w:left="891"/>
              <w:spacing w:after="0"/>
              <w:rPr>
                <w:sz w:val="20"/>
                <w:szCs w:val="20"/>
                <w:color w:val="auto"/>
              </w:rPr>
            </w:pPr>
            <w:r>
              <w:rPr>
                <w:rFonts w:ascii="Arial" w:cs="Arial" w:eastAsia="Arial" w:hAnsi="Arial"/>
                <w:sz w:val="18"/>
                <w:szCs w:val="18"/>
                <w:color w:val="auto"/>
                <w:w w:val="89"/>
              </w:rPr>
              <w:t>5,689,386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Herbert L. Washington</w:t>
            </w:r>
          </w:p>
        </w:tc>
        <w:tc>
          <w:tcPr>
            <w:tcW w:w="1720" w:type="dxa"/>
            <w:vAlign w:val="bottom"/>
            <w:shd w:val="clear" w:color="auto" w:fill="EEEEEE"/>
          </w:tcPr>
          <w:p>
            <w:pPr>
              <w:jc w:val="center"/>
              <w:ind w:left="511"/>
              <w:spacing w:after="0"/>
              <w:rPr>
                <w:sz w:val="20"/>
                <w:szCs w:val="20"/>
                <w:color w:val="auto"/>
              </w:rPr>
            </w:pPr>
            <w:r>
              <w:rPr>
                <w:rFonts w:ascii="Arial" w:cs="Arial" w:eastAsia="Arial" w:hAnsi="Arial"/>
                <w:sz w:val="18"/>
                <w:szCs w:val="18"/>
                <w:color w:val="auto"/>
                <w:w w:val="88"/>
              </w:rPr>
              <w:t>95,677,001</w:t>
            </w:r>
          </w:p>
        </w:tc>
        <w:tc>
          <w:tcPr>
            <w:tcW w:w="3100" w:type="dxa"/>
            <w:vAlign w:val="bottom"/>
            <w:gridSpan w:val="3"/>
            <w:shd w:val="clear" w:color="auto" w:fill="EEEEEE"/>
          </w:tcPr>
          <w:p>
            <w:pPr>
              <w:jc w:val="center"/>
              <w:ind w:left="891"/>
              <w:spacing w:after="0"/>
              <w:rPr>
                <w:sz w:val="20"/>
                <w:szCs w:val="20"/>
                <w:color w:val="auto"/>
              </w:rPr>
            </w:pPr>
            <w:r>
              <w:rPr>
                <w:rFonts w:ascii="Arial" w:cs="Arial" w:eastAsia="Arial" w:hAnsi="Arial"/>
                <w:sz w:val="18"/>
                <w:szCs w:val="18"/>
                <w:color w:val="auto"/>
                <w:w w:val="89"/>
              </w:rPr>
              <w:t>5,878,320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Robert G. Wilmers</w:t>
            </w:r>
          </w:p>
        </w:tc>
        <w:tc>
          <w:tcPr>
            <w:tcW w:w="1720" w:type="dxa"/>
            <w:vAlign w:val="bottom"/>
          </w:tcPr>
          <w:p>
            <w:pPr>
              <w:jc w:val="center"/>
              <w:ind w:left="511"/>
              <w:spacing w:after="0"/>
              <w:rPr>
                <w:sz w:val="20"/>
                <w:szCs w:val="20"/>
                <w:color w:val="auto"/>
              </w:rPr>
            </w:pPr>
            <w:r>
              <w:rPr>
                <w:rFonts w:ascii="Arial" w:cs="Arial" w:eastAsia="Arial" w:hAnsi="Arial"/>
                <w:sz w:val="18"/>
                <w:szCs w:val="18"/>
                <w:color w:val="auto"/>
                <w:w w:val="88"/>
              </w:rPr>
              <w:t>95,636,242</w:t>
            </w:r>
          </w:p>
        </w:tc>
        <w:tc>
          <w:tcPr>
            <w:tcW w:w="3100" w:type="dxa"/>
            <w:vAlign w:val="bottom"/>
            <w:gridSpan w:val="3"/>
          </w:tcPr>
          <w:p>
            <w:pPr>
              <w:jc w:val="center"/>
              <w:ind w:left="891"/>
              <w:spacing w:after="0"/>
              <w:rPr>
                <w:sz w:val="20"/>
                <w:szCs w:val="20"/>
                <w:color w:val="auto"/>
              </w:rPr>
            </w:pPr>
            <w:r>
              <w:rPr>
                <w:rFonts w:ascii="Arial" w:cs="Arial" w:eastAsia="Arial" w:hAnsi="Arial"/>
                <w:sz w:val="18"/>
                <w:szCs w:val="18"/>
                <w:color w:val="auto"/>
                <w:w w:val="89"/>
              </w:rPr>
              <w:t>5,919,079</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firstLine="215"/>
        <w:spacing w:after="0" w:line="342" w:lineRule="auto"/>
        <w:rPr>
          <w:sz w:val="20"/>
          <w:szCs w:val="20"/>
          <w:color w:val="auto"/>
        </w:rPr>
      </w:pPr>
      <w:r>
        <w:rPr>
          <w:rFonts w:ascii="Arial" w:cs="Arial" w:eastAsia="Arial" w:hAnsi="Arial"/>
          <w:sz w:val="16"/>
          <w:szCs w:val="16"/>
          <w:color w:val="auto"/>
        </w:rPr>
        <w:t>At the 2007 Annual Meeting, stockholders also ratified the appointment of PricewaterhouseCoopers LLP as the independent public accountant of M&amp;T Bank Corporation for the year ending December 31, 2007. The following table presents the tabulation of the votes with respect to such ratification.</w:t>
      </w:r>
    </w:p>
    <w:p>
      <w:pPr>
        <w:spacing w:after="0" w:line="291"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Number of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49530</wp:posOffset>
            </wp:positionV>
            <wp:extent cx="39789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30" w:lineRule="exact"/>
        <w:rPr>
          <w:sz w:val="20"/>
          <w:szCs w:val="20"/>
          <w:color w:val="auto"/>
        </w:rPr>
      </w:pPr>
    </w:p>
    <w:tbl>
      <w:tblPr>
        <w:tblLayout w:type="fixed"/>
        <w:tblInd w:w="2580" w:type="dxa"/>
        <w:tblCellMar>
          <w:top w:w="0" w:type="dxa"/>
          <w:left w:w="0" w:type="dxa"/>
          <w:bottom w:w="0" w:type="dxa"/>
          <w:right w:w="0" w:type="dxa"/>
        </w:tblCellMar>
      </w:tblP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60" w:type="dxa"/>
            <w:vAlign w:val="bottom"/>
          </w:tcPr>
          <w:p>
            <w:pPr>
              <w:spacing w:after="0"/>
              <w:rPr>
                <w:sz w:val="16"/>
                <w:szCs w:val="16"/>
                <w:color w:val="auto"/>
              </w:rPr>
            </w:pPr>
          </w:p>
        </w:tc>
        <w:tc>
          <w:tcPr>
            <w:tcW w:w="1800" w:type="dxa"/>
            <w:vAlign w:val="bottom"/>
          </w:tcPr>
          <w:p>
            <w:pPr>
              <w:jc w:val="right"/>
              <w:ind w:right="608"/>
              <w:spacing w:after="0"/>
              <w:rPr>
                <w:sz w:val="20"/>
                <w:szCs w:val="20"/>
                <w:color w:val="auto"/>
              </w:rPr>
            </w:pPr>
            <w:r>
              <w:rPr>
                <w:rFonts w:ascii="Arial" w:cs="Arial" w:eastAsia="Arial" w:hAnsi="Arial"/>
                <w:sz w:val="14"/>
                <w:szCs w:val="14"/>
                <w:b w:val="1"/>
                <w:bCs w:val="1"/>
                <w:color w:val="auto"/>
              </w:rPr>
              <w:t>Against</w:t>
            </w:r>
          </w:p>
        </w:tc>
        <w:tc>
          <w:tcPr>
            <w:tcW w:w="260" w:type="dxa"/>
            <w:vAlign w:val="bottom"/>
          </w:tcPr>
          <w:p>
            <w:pPr>
              <w:spacing w:after="0"/>
              <w:rPr>
                <w:sz w:val="16"/>
                <w:szCs w:val="16"/>
                <w:color w:val="auto"/>
              </w:rPr>
            </w:pPr>
          </w:p>
        </w:tc>
        <w:tc>
          <w:tcPr>
            <w:tcW w:w="1480" w:type="dxa"/>
            <w:vAlign w:val="bottom"/>
          </w:tcPr>
          <w:p>
            <w:pPr>
              <w:jc w:val="right"/>
              <w:ind w:right="428"/>
              <w:spacing w:after="0"/>
              <w:rPr>
                <w:sz w:val="20"/>
                <w:szCs w:val="20"/>
                <w:color w:val="auto"/>
              </w:rPr>
            </w:pPr>
            <w:r>
              <w:rPr>
                <w:rFonts w:ascii="Arial" w:cs="Arial" w:eastAsia="Arial" w:hAnsi="Arial"/>
                <w:sz w:val="14"/>
                <w:szCs w:val="14"/>
                <w:b w:val="1"/>
                <w:bCs w:val="1"/>
                <w:color w:val="auto"/>
              </w:rPr>
              <w:t>Abstain</w:t>
            </w:r>
          </w:p>
        </w:tc>
      </w:tr>
      <w:tr>
        <w:trPr>
          <w:trHeight w:val="53"/>
        </w:trPr>
        <w:tc>
          <w:tcPr>
            <w:tcW w:w="24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8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r>
      <w:tr>
        <w:trPr>
          <w:trHeight w:val="291"/>
        </w:trPr>
        <w:tc>
          <w:tcPr>
            <w:tcW w:w="2480" w:type="dxa"/>
            <w:vAlign w:val="bottom"/>
          </w:tcPr>
          <w:p>
            <w:pPr>
              <w:jc w:val="right"/>
              <w:ind w:right="719"/>
              <w:spacing w:after="0"/>
              <w:rPr>
                <w:sz w:val="20"/>
                <w:szCs w:val="20"/>
                <w:color w:val="auto"/>
              </w:rPr>
            </w:pPr>
            <w:r>
              <w:rPr>
                <w:rFonts w:ascii="Arial" w:cs="Arial" w:eastAsia="Arial" w:hAnsi="Arial"/>
                <w:sz w:val="18"/>
                <w:szCs w:val="18"/>
                <w:color w:val="auto"/>
              </w:rPr>
              <w:t>101,094,698</w:t>
            </w:r>
          </w:p>
        </w:tc>
        <w:tc>
          <w:tcPr>
            <w:tcW w:w="2060" w:type="dxa"/>
            <w:vAlign w:val="bottom"/>
            <w:gridSpan w:val="2"/>
          </w:tcPr>
          <w:p>
            <w:pPr>
              <w:jc w:val="right"/>
              <w:ind w:right="568"/>
              <w:spacing w:after="0"/>
              <w:rPr>
                <w:sz w:val="20"/>
                <w:szCs w:val="20"/>
                <w:color w:val="auto"/>
              </w:rPr>
            </w:pPr>
            <w:r>
              <w:rPr>
                <w:rFonts w:ascii="Arial" w:cs="Arial" w:eastAsia="Arial" w:hAnsi="Arial"/>
                <w:sz w:val="18"/>
                <w:szCs w:val="18"/>
                <w:color w:val="auto"/>
              </w:rPr>
              <w:t>393,578</w:t>
            </w:r>
          </w:p>
        </w:tc>
        <w:tc>
          <w:tcPr>
            <w:tcW w:w="1740" w:type="dxa"/>
            <w:vAlign w:val="bottom"/>
            <w:gridSpan w:val="2"/>
          </w:tcPr>
          <w:p>
            <w:pPr>
              <w:jc w:val="right"/>
              <w:ind w:right="448"/>
              <w:spacing w:after="0"/>
              <w:rPr>
                <w:sz w:val="20"/>
                <w:szCs w:val="20"/>
                <w:color w:val="auto"/>
              </w:rPr>
            </w:pPr>
            <w:r>
              <w:rPr>
                <w:rFonts w:ascii="Arial" w:cs="Arial" w:eastAsia="Arial" w:hAnsi="Arial"/>
                <w:sz w:val="18"/>
                <w:szCs w:val="18"/>
                <w:color w:val="auto"/>
              </w:rPr>
              <w:t>67,045</w:t>
            </w:r>
          </w:p>
        </w:tc>
      </w:tr>
    </w:tbl>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00" w:lineRule="exact"/>
        <w:rPr>
          <w:sz w:val="20"/>
          <w:szCs w:val="20"/>
          <w:color w:val="auto"/>
        </w:rPr>
      </w:pPr>
    </w:p>
    <w:p>
      <w:pPr>
        <w:spacing w:after="0" w:line="206" w:lineRule="exact"/>
        <w:rPr>
          <w:sz w:val="20"/>
          <w:szCs w:val="20"/>
          <w:color w:val="auto"/>
        </w:rPr>
      </w:pPr>
    </w:p>
    <w:p>
      <w:pPr>
        <w:jc w:val="center"/>
        <w:ind w:right="85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right="85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39370</wp:posOffset>
            </wp:positionV>
            <wp:extent cx="5575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2"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Incentive Stock Option Agreement. Filed herewith.</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Nonqualified Stock Option Agreement. Filed herewith.</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Restricted Stock Award Agreement. Filed herewith.</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Chief Executive Officer under Section 302 of the Sarbanes-Oxley Act of 2002. Filed herewith.</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Chief Financial Officer under Section 302 of the Sarbanes-Oxley Act of 2002. Filed herewith.</w:t>
      </w:r>
    </w:p>
    <w:p>
      <w:pPr>
        <w:spacing w:after="0" w:line="225" w:lineRule="exact"/>
        <w:rPr>
          <w:sz w:val="20"/>
          <w:szCs w:val="20"/>
          <w:color w:val="auto"/>
        </w:rPr>
      </w:pPr>
    </w:p>
    <w:p>
      <w:pPr>
        <w:ind w:left="2040" w:right="780" w:hanging="892"/>
        <w:spacing w:after="0" w:line="277" w:lineRule="auto"/>
        <w:tabs>
          <w:tab w:leader="none" w:pos="2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Under 18 U.S.C. §1350 pursuant to Section 906 of the Sarbanes-Oxley Act of 2002. Filed herewith.</w:t>
      </w:r>
    </w:p>
    <w:p>
      <w:pPr>
        <w:spacing w:after="0" w:line="170"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2002. Filed herewith.</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May 7,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6" w:lineRule="exact"/>
        <w:rPr>
          <w:sz w:val="20"/>
          <w:szCs w:val="20"/>
          <w:color w:val="auto"/>
        </w:rPr>
      </w:pPr>
    </w:p>
    <w:p>
      <w:pPr>
        <w:jc w:val="center"/>
        <w:ind w:right="86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right="86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39370</wp:posOffset>
            </wp:positionV>
            <wp:extent cx="5575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2"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Incentive Stock Option Agreement. Filed herewith.</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Nonqualified Stock Option Agreement. Filed herewith.</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Restricted Stock Award Agreement. Filed herewith.</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25"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ind w:left="2040" w:right="840" w:hanging="892"/>
        <w:spacing w:after="0" w:line="277" w:lineRule="auto"/>
        <w:tabs>
          <w:tab w:leader="none" w:pos="2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Under 18 U.S.C. §1350 pursuant to Section 906 of the Sarbanes-Oxley Act of 2002. Filed herewith.</w:t>
      </w:r>
    </w:p>
    <w:p>
      <w:pPr>
        <w:spacing w:after="0" w:line="170"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2002. Filed herewith.</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19"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2005 INCENTIVE COMPENSATION PLAN</w:t>
      </w:r>
    </w:p>
    <w:p>
      <w:pPr>
        <w:spacing w:after="0" w:line="185"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INCENTIVE STOCK OPTION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OPTIONEE: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COVERED SHARES:</w:t>
      </w:r>
    </w:p>
    <w:p>
      <w:pPr>
        <w:spacing w:after="0" w:line="18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M&amp;T Bank Corporation (the “Company”) hereby grants to the Optionee or his or her successors an Incentive Stock Option to purchase from the Company that number of shares of Common Stock equal to the Covered Shares, exercisable at the Exercise Price. This grant is made pursuant to the M&amp;T Bank Corporation 2005 Incentive Compensation Plan (the “Plan”) and is subject to the terms and conditions of the Plan and is subject further to the terms and conditions of this Agreement. As used herein, the term “Agreement” shall mean, collectively, this cover page and the Terms and Conditions of Incentive Stock Option delivered to Optionee with this cover page. Capitalized terms used on this cover page without definition shall have the meanings assigned to them in the Plan. A copy of the Plan can be viewed and downloaded from the Company’s Intranet under the Human Resources page.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exercise of the Option is subject to the following vesting schedule, which may be accelerated under the circumstances described in Paragraph 3(c)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 and Conditions of Incentive Stock Option:</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w w:val="92"/>
              </w:rPr>
              <w:t>No part of the Option may be exercised prior to</w:t>
            </w:r>
          </w:p>
        </w:tc>
        <w:tc>
          <w:tcPr>
            <w:tcW w:w="900" w:type="dxa"/>
            <w:vAlign w:val="bottom"/>
            <w:tcBorders>
              <w:bottom w:val="single" w:sz="8" w:color="auto"/>
            </w:tcBorders>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 200___[</w:t>
            </w:r>
            <w:r>
              <w:rPr>
                <w:rFonts w:ascii="Arial" w:cs="Arial" w:eastAsia="Arial" w:hAnsi="Arial"/>
                <w:sz w:val="18"/>
                <w:szCs w:val="18"/>
                <w:i w:val="1"/>
                <w:iCs w:val="1"/>
                <w:color w:val="auto"/>
              </w:rPr>
              <w:t>generally 1 year from the Date of Grant</w:t>
            </w:r>
            <w:r>
              <w:rPr>
                <w:rFonts w:ascii="Arial" w:cs="Arial" w:eastAsia="Arial" w:hAnsi="Arial"/>
                <w:sz w:val="18"/>
                <w:szCs w:val="18"/>
                <w:color w:val="auto"/>
              </w:rPr>
              <w:t>];</w:t>
            </w:r>
          </w:p>
        </w:tc>
      </w:tr>
      <w:tr>
        <w:trPr>
          <w:trHeight w:val="41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w w:val="95"/>
              </w:rPr>
              <w:t>On or after</w:t>
            </w:r>
          </w:p>
        </w:tc>
        <w:tc>
          <w:tcPr>
            <w:tcW w:w="900" w:type="dxa"/>
            <w:vAlign w:val="bottom"/>
            <w:tcBorders>
              <w:bottom w:val="single" w:sz="8" w:color="auto"/>
            </w:tcBorders>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w w:val="90"/>
              </w:rPr>
              <w:t>, 200___[</w:t>
            </w:r>
            <w:r>
              <w:rPr>
                <w:rFonts w:ascii="Arial" w:cs="Arial" w:eastAsia="Arial" w:hAnsi="Arial"/>
                <w:sz w:val="18"/>
                <w:szCs w:val="18"/>
                <w:i w:val="1"/>
                <w:iCs w:val="1"/>
                <w:color w:val="auto"/>
                <w:w w:val="90"/>
              </w:rPr>
              <w:t>generally 1 year from the Date of Grant</w:t>
            </w:r>
            <w:r>
              <w:rPr>
                <w:rFonts w:ascii="Arial" w:cs="Arial" w:eastAsia="Arial" w:hAnsi="Arial"/>
                <w:sz w:val="18"/>
                <w:szCs w:val="18"/>
                <w:color w:val="auto"/>
                <w:w w:val="90"/>
              </w:rPr>
              <w:t>], the Option may be exercised as to ___of the Covered Shares [</w:t>
            </w:r>
            <w:r>
              <w:rPr>
                <w:rFonts w:ascii="Arial" w:cs="Arial" w:eastAsia="Arial" w:hAnsi="Arial"/>
                <w:sz w:val="18"/>
                <w:szCs w:val="18"/>
                <w:i w:val="1"/>
                <w:iCs w:val="1"/>
                <w:color w:val="auto"/>
                <w:w w:val="90"/>
              </w:rPr>
              <w:t>generally</w:t>
            </w:r>
          </w:p>
        </w:tc>
      </w:tr>
      <w:tr>
        <w:trPr>
          <w:trHeight w:val="237"/>
        </w:trPr>
        <w:tc>
          <w:tcPr>
            <w:tcW w:w="260" w:type="dxa"/>
            <w:vAlign w:val="bottom"/>
          </w:tcPr>
          <w:p>
            <w:pPr>
              <w:spacing w:after="0"/>
              <w:rPr>
                <w:sz w:val="20"/>
                <w:szCs w:val="20"/>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i w:val="1"/>
                <w:iCs w:val="1"/>
                <w:color w:val="auto"/>
              </w:rPr>
              <w:t>10% of the Covered Shares</w:t>
            </w:r>
            <w:r>
              <w:rPr>
                <w:rFonts w:ascii="Arial" w:cs="Arial" w:eastAsia="Arial" w:hAnsi="Arial"/>
                <w:sz w:val="18"/>
                <w:szCs w:val="18"/>
                <w:color w:val="auto"/>
              </w:rPr>
              <w:t>];</w:t>
            </w:r>
          </w:p>
        </w:tc>
        <w:tc>
          <w:tcPr>
            <w:tcW w:w="6220" w:type="dxa"/>
            <w:vAlign w:val="bottom"/>
          </w:tcPr>
          <w:p>
            <w:pPr>
              <w:spacing w:after="0"/>
              <w:rPr>
                <w:sz w:val="20"/>
                <w:szCs w:val="20"/>
                <w:color w:val="auto"/>
              </w:rPr>
            </w:pPr>
          </w:p>
        </w:tc>
      </w:tr>
      <w:tr>
        <w:trPr>
          <w:trHeight w:val="39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w w:val="95"/>
              </w:rPr>
              <w:t>On or after</w:t>
            </w:r>
          </w:p>
        </w:tc>
        <w:tc>
          <w:tcPr>
            <w:tcW w:w="900" w:type="dxa"/>
            <w:vAlign w:val="bottom"/>
            <w:tcBorders>
              <w:bottom w:val="single" w:sz="8" w:color="auto"/>
            </w:tcBorders>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w w:val="93"/>
              </w:rPr>
              <w:t>, 200___[</w:t>
            </w:r>
            <w:r>
              <w:rPr>
                <w:rFonts w:ascii="Arial" w:cs="Arial" w:eastAsia="Arial" w:hAnsi="Arial"/>
                <w:sz w:val="18"/>
                <w:szCs w:val="18"/>
                <w:i w:val="1"/>
                <w:iCs w:val="1"/>
                <w:color w:val="auto"/>
                <w:w w:val="93"/>
              </w:rPr>
              <w:t>generally 2 years from the Date of Grant</w:t>
            </w:r>
            <w:r>
              <w:rPr>
                <w:rFonts w:ascii="Arial" w:cs="Arial" w:eastAsia="Arial" w:hAnsi="Arial"/>
                <w:sz w:val="18"/>
                <w:szCs w:val="18"/>
                <w:color w:val="auto"/>
                <w:w w:val="93"/>
              </w:rPr>
              <w:t>], the Option may be exercised as to an additional ___of the Covered</w:t>
            </w:r>
          </w:p>
        </w:tc>
      </w:tr>
      <w:tr>
        <w:trPr>
          <w:trHeight w:val="237"/>
        </w:trPr>
        <w:tc>
          <w:tcPr>
            <w:tcW w:w="260" w:type="dxa"/>
            <w:vAlign w:val="bottom"/>
          </w:tcPr>
          <w:p>
            <w:pPr>
              <w:spacing w:after="0"/>
              <w:rPr>
                <w:sz w:val="20"/>
                <w:szCs w:val="20"/>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Shares [</w:t>
            </w:r>
            <w:r>
              <w:rPr>
                <w:rFonts w:ascii="Arial" w:cs="Arial" w:eastAsia="Arial" w:hAnsi="Arial"/>
                <w:sz w:val="18"/>
                <w:szCs w:val="18"/>
                <w:i w:val="1"/>
                <w:iCs w:val="1"/>
                <w:color w:val="auto"/>
              </w:rPr>
              <w:t>generally 20% of the Covered Shares</w:t>
            </w:r>
            <w:r>
              <w:rPr>
                <w:rFonts w:ascii="Arial" w:cs="Arial" w:eastAsia="Arial" w:hAnsi="Arial"/>
                <w:sz w:val="18"/>
                <w:szCs w:val="18"/>
                <w:color w:val="auto"/>
              </w:rPr>
              <w:t>];</w:t>
            </w:r>
          </w:p>
        </w:tc>
        <w:tc>
          <w:tcPr>
            <w:tcW w:w="6220" w:type="dxa"/>
            <w:vAlign w:val="bottom"/>
          </w:tcPr>
          <w:p>
            <w:pPr>
              <w:spacing w:after="0"/>
              <w:rPr>
                <w:sz w:val="20"/>
                <w:szCs w:val="20"/>
                <w:color w:val="auto"/>
              </w:rPr>
            </w:pPr>
          </w:p>
        </w:tc>
      </w:tr>
      <w:tr>
        <w:trPr>
          <w:trHeight w:val="39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w w:val="95"/>
              </w:rPr>
              <w:t>On or after</w:t>
            </w:r>
          </w:p>
        </w:tc>
        <w:tc>
          <w:tcPr>
            <w:tcW w:w="900" w:type="dxa"/>
            <w:vAlign w:val="bottom"/>
            <w:tcBorders>
              <w:bottom w:val="single" w:sz="8" w:color="auto"/>
            </w:tcBorders>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w w:val="93"/>
              </w:rPr>
              <w:t>, 200___[</w:t>
            </w:r>
            <w:r>
              <w:rPr>
                <w:rFonts w:ascii="Arial" w:cs="Arial" w:eastAsia="Arial" w:hAnsi="Arial"/>
                <w:sz w:val="18"/>
                <w:szCs w:val="18"/>
                <w:i w:val="1"/>
                <w:iCs w:val="1"/>
                <w:color w:val="auto"/>
                <w:w w:val="93"/>
              </w:rPr>
              <w:t>generally 3 years from the Date of Grant</w:t>
            </w:r>
            <w:r>
              <w:rPr>
                <w:rFonts w:ascii="Arial" w:cs="Arial" w:eastAsia="Arial" w:hAnsi="Arial"/>
                <w:sz w:val="18"/>
                <w:szCs w:val="18"/>
                <w:color w:val="auto"/>
                <w:w w:val="93"/>
              </w:rPr>
              <w:t>], the Option may be exercised as to an additional ___of the Covered</w:t>
            </w:r>
          </w:p>
        </w:tc>
      </w:tr>
      <w:tr>
        <w:trPr>
          <w:trHeight w:val="237"/>
        </w:trPr>
        <w:tc>
          <w:tcPr>
            <w:tcW w:w="260" w:type="dxa"/>
            <w:vAlign w:val="bottom"/>
          </w:tcPr>
          <w:p>
            <w:pPr>
              <w:spacing w:after="0"/>
              <w:rPr>
                <w:sz w:val="20"/>
                <w:szCs w:val="20"/>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Shares [</w:t>
            </w:r>
            <w:r>
              <w:rPr>
                <w:rFonts w:ascii="Arial" w:cs="Arial" w:eastAsia="Arial" w:hAnsi="Arial"/>
                <w:sz w:val="18"/>
                <w:szCs w:val="18"/>
                <w:i w:val="1"/>
                <w:iCs w:val="1"/>
                <w:color w:val="auto"/>
              </w:rPr>
              <w:t>generally 30% of the Covered Shares</w:t>
            </w:r>
            <w:r>
              <w:rPr>
                <w:rFonts w:ascii="Arial" w:cs="Arial" w:eastAsia="Arial" w:hAnsi="Arial"/>
                <w:sz w:val="18"/>
                <w:szCs w:val="18"/>
                <w:color w:val="auto"/>
              </w:rPr>
              <w:t>]; and</w:t>
            </w:r>
          </w:p>
        </w:tc>
        <w:tc>
          <w:tcPr>
            <w:tcW w:w="6220" w:type="dxa"/>
            <w:vAlign w:val="bottom"/>
          </w:tcPr>
          <w:p>
            <w:pPr>
              <w:spacing w:after="0"/>
              <w:rPr>
                <w:sz w:val="20"/>
                <w:szCs w:val="20"/>
                <w:color w:val="auto"/>
              </w:rPr>
            </w:pPr>
          </w:p>
        </w:tc>
      </w:tr>
      <w:tr>
        <w:trPr>
          <w:trHeight w:val="39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w w:val="95"/>
              </w:rPr>
              <w:t>On or after</w:t>
            </w:r>
          </w:p>
        </w:tc>
        <w:tc>
          <w:tcPr>
            <w:tcW w:w="900" w:type="dxa"/>
            <w:vAlign w:val="bottom"/>
            <w:tcBorders>
              <w:bottom w:val="single" w:sz="8" w:color="auto"/>
            </w:tcBorders>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w w:val="92"/>
              </w:rPr>
              <w:t>, 200___[</w:t>
            </w:r>
            <w:r>
              <w:rPr>
                <w:rFonts w:ascii="Arial" w:cs="Arial" w:eastAsia="Arial" w:hAnsi="Arial"/>
                <w:sz w:val="18"/>
                <w:szCs w:val="18"/>
                <w:i w:val="1"/>
                <w:iCs w:val="1"/>
                <w:color w:val="auto"/>
                <w:w w:val="92"/>
              </w:rPr>
              <w:t>generally 4 years from the Date of Grant</w:t>
            </w:r>
            <w:r>
              <w:rPr>
                <w:rFonts w:ascii="Arial" w:cs="Arial" w:eastAsia="Arial" w:hAnsi="Arial"/>
                <w:sz w:val="18"/>
                <w:szCs w:val="18"/>
                <w:color w:val="auto"/>
                <w:w w:val="92"/>
              </w:rPr>
              <w:t>], the Option may be exercised as to the remaining ___of the Covered</w:t>
            </w:r>
          </w:p>
        </w:tc>
      </w:tr>
      <w:tr>
        <w:trPr>
          <w:trHeight w:val="237"/>
        </w:trPr>
        <w:tc>
          <w:tcPr>
            <w:tcW w:w="260" w:type="dxa"/>
            <w:vAlign w:val="bottom"/>
          </w:tcPr>
          <w:p>
            <w:pPr>
              <w:spacing w:after="0"/>
              <w:rPr>
                <w:sz w:val="20"/>
                <w:szCs w:val="20"/>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Shares [</w:t>
            </w:r>
            <w:r>
              <w:rPr>
                <w:rFonts w:ascii="Arial" w:cs="Arial" w:eastAsia="Arial" w:hAnsi="Arial"/>
                <w:sz w:val="18"/>
                <w:szCs w:val="18"/>
                <w:i w:val="1"/>
                <w:iCs w:val="1"/>
                <w:color w:val="auto"/>
              </w:rPr>
              <w:t>generally 40% of the Covered Shares</w:t>
            </w:r>
            <w:r>
              <w:rPr>
                <w:rFonts w:ascii="Arial" w:cs="Arial" w:eastAsia="Arial" w:hAnsi="Arial"/>
                <w:sz w:val="18"/>
                <w:szCs w:val="18"/>
                <w:color w:val="auto"/>
              </w:rPr>
              <w:t>].</w:t>
            </w:r>
          </w:p>
        </w:tc>
        <w:tc>
          <w:tcPr>
            <w:tcW w:w="6220" w:type="dxa"/>
            <w:vAlign w:val="bottom"/>
          </w:tcPr>
          <w:p>
            <w:pPr>
              <w:spacing w:after="0"/>
              <w:rPr>
                <w:sz w:val="20"/>
                <w:szCs w:val="20"/>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order to exercise the Option, you should refer to the EquiServe brochure which describes the procedures you must follow to exercise the Option and other important matters. EquiServe is the current Third Party Administrator. If the Company changes the Third Party Administrator or if the EquiServe brochure becomes outdated, you will be notified of any changes. The most current EquiServe brochure can be viewed and downloaded from the Company’s Intranet under the Human Resources page.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Agreement to be signed on its behalf effective as of the Date of Grant.</w:t>
      </w:r>
    </w:p>
    <w:p>
      <w:pPr>
        <w:spacing w:after="0" w:line="200" w:lineRule="exact"/>
        <w:rPr>
          <w:sz w:val="20"/>
          <w:szCs w:val="20"/>
          <w:color w:val="auto"/>
        </w:rPr>
      </w:pPr>
    </w:p>
    <w:p>
      <w:pPr>
        <w:spacing w:after="0" w:line="201" w:lineRule="exact"/>
        <w:rPr>
          <w:sz w:val="20"/>
          <w:szCs w:val="20"/>
          <w:color w:val="auto"/>
        </w:rPr>
      </w:pPr>
    </w:p>
    <w:p>
      <w:pPr>
        <w:spacing w:after="0"/>
        <w:tabs>
          <w:tab w:leader="none" w:pos="690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M&amp;T BANK CORPORATION</w:t>
      </w:r>
    </w:p>
    <w:p>
      <w:pPr>
        <w:spacing w:after="0" w:line="2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5779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23495</wp:posOffset>
            </wp:positionV>
            <wp:extent cx="1929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29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2005 INCENTIVE COMPENSATION PLAN</w:t>
      </w:r>
    </w:p>
    <w:p>
      <w:pPr>
        <w:spacing w:after="0" w:line="18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  *</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TERMS AND CONDITIONS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INCENTIVE STOCK OPTION</w:t>
      </w:r>
    </w:p>
    <w:p>
      <w:pPr>
        <w:spacing w:after="0" w:line="170" w:lineRule="exact"/>
        <w:rPr>
          <w:sz w:val="20"/>
          <w:szCs w:val="20"/>
          <w:color w:val="auto"/>
        </w:rPr>
      </w:pPr>
    </w:p>
    <w:p>
      <w:pPr>
        <w:ind w:right="360" w:firstLine="233"/>
        <w:spacing w:after="0" w:line="277" w:lineRule="auto"/>
        <w:tabs>
          <w:tab w:leader="none" w:pos="40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except where the context otherwise indicates, the following definitions apply. Capitalized terms used herein without definition shall have the meanings assigned to them in the Plan.</w:t>
      </w:r>
    </w:p>
    <w:p>
      <w:pPr>
        <w:spacing w:after="0" w:line="143" w:lineRule="exact"/>
        <w:rPr>
          <w:rFonts w:ascii="Arial" w:cs="Arial" w:eastAsia="Arial" w:hAnsi="Arial"/>
          <w:sz w:val="18"/>
          <w:szCs w:val="18"/>
          <w:color w:val="auto"/>
        </w:rPr>
      </w:pPr>
    </w:p>
    <w:p>
      <w:pPr>
        <w:ind w:left="920" w:hanging="237"/>
        <w:spacing w:after="0"/>
        <w:tabs>
          <w:tab w:leader="none" w:pos="9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“Covered Shares” means the shares of Common Stock subject to the Option set forth as the “Covered Shares” on the cover page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70" w:lineRule="exact"/>
        <w:rPr>
          <w:rFonts w:ascii="Arial" w:cs="Arial" w:eastAsia="Arial" w:hAnsi="Arial"/>
          <w:sz w:val="17"/>
          <w:szCs w:val="17"/>
          <w:color w:val="auto"/>
        </w:rPr>
      </w:pPr>
    </w:p>
    <w:p>
      <w:pPr>
        <w:ind w:left="940" w:hanging="257"/>
        <w:spacing w:after="0"/>
        <w:tabs>
          <w:tab w:leader="none" w:pos="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“Date of Expiration” means the date on which the Option shall expire, which shall be the earliest of the following times:</w:t>
      </w:r>
    </w:p>
    <w:p>
      <w:pPr>
        <w:spacing w:after="0" w:line="184" w:lineRule="exact"/>
        <w:rPr>
          <w:rFonts w:ascii="Arial" w:cs="Arial" w:eastAsia="Arial" w:hAnsi="Arial"/>
          <w:sz w:val="18"/>
          <w:szCs w:val="18"/>
          <w:color w:val="auto"/>
        </w:rPr>
      </w:pPr>
    </w:p>
    <w:p>
      <w:pPr>
        <w:ind w:left="1400" w:hanging="222"/>
        <w:spacing w:after="0"/>
        <w:tabs>
          <w:tab w:leader="none" w:pos="14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upon termination of the Optionee’s employment or service with the Company or an Affiliate for Cause;</w:t>
      </w:r>
    </w:p>
    <w:p>
      <w:pPr>
        <w:spacing w:after="0" w:line="198" w:lineRule="exact"/>
        <w:rPr>
          <w:rFonts w:ascii="Arial" w:cs="Arial" w:eastAsia="Arial" w:hAnsi="Arial"/>
          <w:sz w:val="18"/>
          <w:szCs w:val="18"/>
          <w:color w:val="auto"/>
        </w:rPr>
      </w:pPr>
    </w:p>
    <w:p>
      <w:pPr>
        <w:ind w:left="1440" w:hanging="307"/>
        <w:spacing w:after="0"/>
        <w:tabs>
          <w:tab w:leader="none" w:pos="1440" w:val="left"/>
        </w:tabs>
        <w:numPr>
          <w:ilvl w:val="2"/>
          <w:numId w:val="14"/>
        </w:numPr>
        <w:rPr>
          <w:rFonts w:ascii="Arial" w:cs="Arial" w:eastAsia="Arial" w:hAnsi="Arial"/>
          <w:sz w:val="17"/>
          <w:szCs w:val="17"/>
          <w:color w:val="auto"/>
        </w:rPr>
      </w:pPr>
      <w:r>
        <w:rPr>
          <w:rFonts w:ascii="Arial" w:cs="Arial" w:eastAsia="Arial" w:hAnsi="Arial"/>
          <w:sz w:val="17"/>
          <w:szCs w:val="17"/>
          <w:color w:val="auto"/>
        </w:rPr>
        <w:t>30 days after termination of the Optionee’s employment or service with the Company or an Affiliate by reason of the Optionee’s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Resignation;</w:t>
      </w:r>
    </w:p>
    <w:p>
      <w:pPr>
        <w:spacing w:after="0" w:line="170" w:lineRule="exact"/>
        <w:rPr>
          <w:rFonts w:ascii="Arial" w:cs="Arial" w:eastAsia="Arial" w:hAnsi="Arial"/>
          <w:sz w:val="17"/>
          <w:szCs w:val="17"/>
          <w:color w:val="auto"/>
        </w:rPr>
      </w:pPr>
    </w:p>
    <w:p>
      <w:pPr>
        <w:ind w:firstLine="1133"/>
        <w:spacing w:after="0" w:line="277" w:lineRule="auto"/>
        <w:tabs>
          <w:tab w:leader="none" w:pos="1440" w:val="left"/>
        </w:tabs>
        <w:numPr>
          <w:ilvl w:val="3"/>
          <w:numId w:val="14"/>
        </w:numPr>
        <w:rPr>
          <w:rFonts w:ascii="Arial" w:cs="Arial" w:eastAsia="Arial" w:hAnsi="Arial"/>
          <w:sz w:val="18"/>
          <w:szCs w:val="18"/>
          <w:color w:val="auto"/>
        </w:rPr>
      </w:pPr>
      <w:r>
        <w:rPr>
          <w:rFonts w:ascii="Arial" w:cs="Arial" w:eastAsia="Arial" w:hAnsi="Arial"/>
          <w:sz w:val="18"/>
          <w:szCs w:val="18"/>
          <w:color w:val="auto"/>
        </w:rPr>
        <w:t>90 days after termination of the Optionee’s employment or service with the Company or an Affiliate for any reason, including Retirement, except Cause, Resignation, death or Disability;</w:t>
      </w:r>
    </w:p>
    <w:p>
      <w:pPr>
        <w:spacing w:after="0" w:line="129" w:lineRule="exact"/>
        <w:rPr>
          <w:rFonts w:ascii="Arial" w:cs="Arial" w:eastAsia="Arial" w:hAnsi="Arial"/>
          <w:sz w:val="18"/>
          <w:szCs w:val="18"/>
          <w:color w:val="auto"/>
        </w:rPr>
      </w:pPr>
    </w:p>
    <w:p>
      <w:pPr>
        <w:ind w:left="1440" w:hanging="307"/>
        <w:spacing w:after="0"/>
        <w:tabs>
          <w:tab w:leader="none" w:pos="1440" w:val="left"/>
        </w:tabs>
        <w:numPr>
          <w:ilvl w:val="3"/>
          <w:numId w:val="14"/>
        </w:numPr>
        <w:rPr>
          <w:rFonts w:ascii="Arial" w:cs="Arial" w:eastAsia="Arial" w:hAnsi="Arial"/>
          <w:sz w:val="16"/>
          <w:szCs w:val="16"/>
          <w:color w:val="auto"/>
        </w:rPr>
      </w:pPr>
      <w:r>
        <w:rPr>
          <w:rFonts w:ascii="Arial" w:cs="Arial" w:eastAsia="Arial" w:hAnsi="Arial"/>
          <w:sz w:val="16"/>
          <w:szCs w:val="16"/>
          <w:color w:val="auto"/>
        </w:rPr>
        <w:t>one year after termination of the Optionee’s employment or service with the Company or an Affiliate by reason of death or Disability; or</w:t>
      </w:r>
    </w:p>
    <w:p>
      <w:pPr>
        <w:spacing w:after="0" w:line="221"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8"/>
          <w:szCs w:val="18"/>
          <w:color w:val="auto"/>
        </w:rPr>
        <w:t>(v) ten years after the Date of Grant.</w:t>
      </w:r>
    </w:p>
    <w:p>
      <w:pPr>
        <w:spacing w:after="0" w:line="184" w:lineRule="exact"/>
        <w:rPr>
          <w:rFonts w:ascii="Arial" w:cs="Arial" w:eastAsia="Arial" w:hAnsi="Arial"/>
          <w:sz w:val="16"/>
          <w:szCs w:val="16"/>
          <w:color w:val="auto"/>
        </w:rPr>
      </w:pPr>
    </w:p>
    <w:p>
      <w:pPr>
        <w:ind w:left="920" w:hanging="237"/>
        <w:spacing w:after="0"/>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“Date of Grant” means the date set forth as the “Date of Grant” on the cover page of this Agreement.</w:t>
      </w:r>
    </w:p>
    <w:p>
      <w:pPr>
        <w:spacing w:after="0" w:line="184" w:lineRule="exact"/>
        <w:rPr>
          <w:rFonts w:ascii="Arial" w:cs="Arial" w:eastAsia="Arial" w:hAnsi="Arial"/>
          <w:sz w:val="18"/>
          <w:szCs w:val="18"/>
          <w:color w:val="auto"/>
        </w:rPr>
      </w:pPr>
    </w:p>
    <w:p>
      <w:pPr>
        <w:ind w:left="940" w:hanging="257"/>
        <w:spacing w:after="0"/>
        <w:tabs>
          <w:tab w:leader="none" w:pos="9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“Exercise Price” means the dollar amount per share of Common Stock set forth as the “Exercise Price” on the cover page of this Agreement.</w:t>
      </w:r>
    </w:p>
    <w:p>
      <w:pPr>
        <w:spacing w:after="0" w:line="221" w:lineRule="exact"/>
        <w:rPr>
          <w:rFonts w:ascii="Arial" w:cs="Arial" w:eastAsia="Arial" w:hAnsi="Arial"/>
          <w:sz w:val="16"/>
          <w:szCs w:val="16"/>
          <w:color w:val="auto"/>
        </w:rPr>
      </w:pPr>
    </w:p>
    <w:p>
      <w:pPr>
        <w:ind w:left="920" w:hanging="237"/>
        <w:spacing w:after="0"/>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“Option” means the incentive stock option granted to the Optionee on the cover page of this Agreement.</w:t>
      </w:r>
    </w:p>
    <w:p>
      <w:pPr>
        <w:spacing w:after="0" w:line="184" w:lineRule="exact"/>
        <w:rPr>
          <w:rFonts w:ascii="Arial" w:cs="Arial" w:eastAsia="Arial" w:hAnsi="Arial"/>
          <w:sz w:val="18"/>
          <w:szCs w:val="18"/>
          <w:color w:val="auto"/>
        </w:rPr>
      </w:pPr>
    </w:p>
    <w:p>
      <w:pPr>
        <w:ind w:left="900" w:hanging="217"/>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“Optionee” means the person identified as the “Optionee” on the cover page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ind w:right="400" w:firstLine="683"/>
        <w:spacing w:after="0" w:line="277" w:lineRule="auto"/>
        <w:tabs>
          <w:tab w:leader="none" w:pos="93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“Third Party Administrator” means the entity to which the Committee has delegated its authority to administer the exercise of stock options granted under the Plan.</w:t>
      </w:r>
    </w:p>
    <w:p>
      <w:pPr>
        <w:spacing w:after="0" w:line="143" w:lineRule="exact"/>
        <w:rPr>
          <w:rFonts w:ascii="Arial" w:cs="Arial" w:eastAsia="Arial" w:hAnsi="Arial"/>
          <w:sz w:val="18"/>
          <w:szCs w:val="18"/>
          <w:color w:val="auto"/>
        </w:rPr>
      </w:pPr>
    </w:p>
    <w:p>
      <w:pPr>
        <w:ind w:left="420" w:hanging="187"/>
        <w:spacing w:after="0"/>
        <w:tabs>
          <w:tab w:leader="none" w:pos="42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Option granted hereby is granted in accordance with the cover page of this Agreement.</w:t>
      </w:r>
    </w:p>
    <w:p>
      <w:pPr>
        <w:spacing w:after="0" w:line="184" w:lineRule="exact"/>
        <w:rPr>
          <w:rFonts w:ascii="Arial" w:cs="Arial" w:eastAsia="Arial" w:hAnsi="Arial"/>
          <w:sz w:val="18"/>
          <w:szCs w:val="18"/>
          <w:color w:val="auto"/>
        </w:rPr>
      </w:pPr>
    </w:p>
    <w:p>
      <w:pPr>
        <w:ind w:left="420" w:hanging="187"/>
        <w:spacing w:after="0"/>
        <w:tabs>
          <w:tab w:leader="none" w:pos="42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Terms of the Option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920" w:hanging="237"/>
        <w:spacing w:after="0"/>
        <w:tabs>
          <w:tab w:leader="none" w:pos="920"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Type of Option</w:t>
      </w:r>
      <w:r>
        <w:rPr>
          <w:rFonts w:ascii="Arial" w:cs="Arial" w:eastAsia="Arial" w:hAnsi="Arial"/>
          <w:sz w:val="16"/>
          <w:szCs w:val="16"/>
          <w:color w:val="auto"/>
        </w:rPr>
        <w:t>. The Option is intended to be an incentive stock option under Section 422 of the Code to the maximum extent permissible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183" w:lineRule="exact"/>
        <w:rPr>
          <w:rFonts w:ascii="Arial" w:cs="Arial" w:eastAsia="Arial" w:hAnsi="Arial"/>
          <w:sz w:val="16"/>
          <w:szCs w:val="16"/>
          <w:color w:val="auto"/>
        </w:rPr>
      </w:pPr>
    </w:p>
    <w:p>
      <w:pPr>
        <w:ind w:right="20" w:firstLine="683"/>
        <w:spacing w:after="0" w:line="264" w:lineRule="auto"/>
        <w:tabs>
          <w:tab w:leader="none" w:pos="930"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Option Period</w:t>
      </w:r>
      <w:r>
        <w:rPr>
          <w:rFonts w:ascii="Arial" w:cs="Arial" w:eastAsia="Arial" w:hAnsi="Arial"/>
          <w:sz w:val="18"/>
          <w:szCs w:val="18"/>
          <w:color w:val="auto"/>
        </w:rPr>
        <w:t>. During the period commencing on the Date of Grant and terminating on the Date of Expiration, the Option may be exercised with respect to all or a portion of the Covered Shares (in full shares) to the extent that the Option has not been previously exercised with respect to such Covered Shares and subject to the vesting schedule on the cover page of this Agreement.</w:t>
      </w:r>
    </w:p>
    <w:p>
      <w:pPr>
        <w:spacing w:after="0" w:line="140" w:lineRule="exact"/>
        <w:rPr>
          <w:rFonts w:ascii="Arial" w:cs="Arial" w:eastAsia="Arial" w:hAnsi="Arial"/>
          <w:sz w:val="18"/>
          <w:szCs w:val="18"/>
          <w:color w:val="auto"/>
        </w:rPr>
      </w:pPr>
    </w:p>
    <w:p>
      <w:pPr>
        <w:ind w:firstLine="683"/>
        <w:spacing w:after="0" w:line="284" w:lineRule="auto"/>
        <w:tabs>
          <w:tab w:leader="none" w:pos="920"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Acceleration of Vesting</w:t>
      </w:r>
      <w:r>
        <w:rPr>
          <w:rFonts w:ascii="Arial" w:cs="Arial" w:eastAsia="Arial" w:hAnsi="Arial"/>
          <w:sz w:val="16"/>
          <w:szCs w:val="16"/>
          <w:color w:val="auto"/>
        </w:rPr>
        <w:t>. Notwithstanding the above provisions of Paragraph 3(b) and the vesting schedule on the cover page of this Agreement, the Option may be exercised in full during the period commencing on the Date of Grant and ending on the Date of Expiration (i) following a Change in Control or (ii) upon the Optionee’s termination of employment or service with the Company or an Affiliate due to the Optionee’s death, Retirement, or Disability. In addition, upon the Optionee’s termination of employment or service with the Company or an Affiliate, other than for Cause, during the one-year period following a Change in Control, any Option held by the Optionee as of the date of the Change in Control that remains outstanding as of the date of such termination of employment may thereafter be exercised, until the earlier of (i) the expiration date of such Option, which is ten years after the Date of Grant, or</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year after the date of such termination of employment.</w:t>
      </w:r>
    </w:p>
    <w:p>
      <w:pPr>
        <w:spacing w:after="0" w:line="170" w:lineRule="exact"/>
        <w:rPr>
          <w:rFonts w:ascii="Arial" w:cs="Arial" w:eastAsia="Arial" w:hAnsi="Arial"/>
          <w:sz w:val="18"/>
          <w:szCs w:val="18"/>
          <w:color w:val="auto"/>
        </w:rPr>
      </w:pPr>
    </w:p>
    <w:p>
      <w:pPr>
        <w:ind w:right="840" w:firstLine="683"/>
        <w:spacing w:after="0" w:line="264" w:lineRule="auto"/>
        <w:tabs>
          <w:tab w:leader="none" w:pos="930"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is not transferable by the Optionee other than by will or by the laws of descent and distribution, and is exercisable, during the Optionee’s lifetime, only by the Optionee or, in the event of the Optionee’s Disability, by the Optionee’s guardian or legal representative.</w:t>
      </w:r>
    </w:p>
    <w:p>
      <w:pPr>
        <w:spacing w:after="0" w:line="154" w:lineRule="exact"/>
        <w:rPr>
          <w:rFonts w:ascii="Arial" w:cs="Arial" w:eastAsia="Arial" w:hAnsi="Arial"/>
          <w:sz w:val="18"/>
          <w:szCs w:val="18"/>
          <w:color w:val="auto"/>
        </w:rPr>
      </w:pPr>
    </w:p>
    <w:p>
      <w:pPr>
        <w:ind w:right="180" w:firstLine="683"/>
        <w:spacing w:after="0" w:line="277" w:lineRule="auto"/>
        <w:tabs>
          <w:tab w:leader="none" w:pos="965"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Payment of the Exercise Price</w:t>
      </w:r>
      <w:r>
        <w:rPr>
          <w:rFonts w:ascii="Arial" w:cs="Arial" w:eastAsia="Arial" w:hAnsi="Arial"/>
          <w:sz w:val="18"/>
          <w:szCs w:val="18"/>
          <w:color w:val="auto"/>
        </w:rPr>
        <w:t>. The Optionee, upon exercise, in whole or in part, of the Option, may pay the Exercise Price by any or all of the following means, either alone or in combination:</w:t>
      </w:r>
    </w:p>
    <w:p>
      <w:pPr>
        <w:spacing w:after="0" w:line="129" w:lineRule="exact"/>
        <w:rPr>
          <w:rFonts w:ascii="Arial" w:cs="Arial" w:eastAsia="Arial" w:hAnsi="Arial"/>
          <w:sz w:val="18"/>
          <w:szCs w:val="18"/>
          <w:color w:val="auto"/>
        </w:rPr>
      </w:pPr>
    </w:p>
    <w:p>
      <w:pPr>
        <w:ind w:left="1340" w:hanging="207"/>
        <w:spacing w:after="0"/>
        <w:tabs>
          <w:tab w:leader="none" w:pos="1340" w:val="left"/>
        </w:tabs>
        <w:numPr>
          <w:ilvl w:val="3"/>
          <w:numId w:val="17"/>
        </w:numPr>
        <w:rPr>
          <w:rFonts w:ascii="Arial" w:cs="Arial" w:eastAsia="Arial" w:hAnsi="Arial"/>
          <w:sz w:val="18"/>
          <w:szCs w:val="18"/>
          <w:color w:val="auto"/>
        </w:rPr>
      </w:pPr>
      <w:r>
        <w:rPr>
          <w:rFonts w:ascii="Arial" w:cs="Arial" w:eastAsia="Arial" w:hAnsi="Arial"/>
          <w:sz w:val="18"/>
          <w:szCs w:val="18"/>
          <w:color w:val="auto"/>
        </w:rPr>
        <w:t>Cash or check payable to the order of the Third Party Administrator, unless the Company notifies the Optionee otherwise; or</w:t>
      </w:r>
    </w:p>
    <w:p>
      <w:pPr>
        <w:spacing w:after="0" w:line="184" w:lineRule="exact"/>
        <w:rPr>
          <w:rFonts w:ascii="Arial" w:cs="Arial" w:eastAsia="Arial" w:hAnsi="Arial"/>
          <w:sz w:val="18"/>
          <w:szCs w:val="18"/>
          <w:color w:val="auto"/>
        </w:rPr>
      </w:pPr>
    </w:p>
    <w:p>
      <w:pPr>
        <w:ind w:right="100" w:firstLine="1133"/>
        <w:spacing w:after="0" w:line="277" w:lineRule="auto"/>
        <w:tabs>
          <w:tab w:leader="none" w:pos="1390" w:val="left"/>
        </w:tabs>
        <w:numPr>
          <w:ilvl w:val="3"/>
          <w:numId w:val="17"/>
        </w:numPr>
        <w:rPr>
          <w:rFonts w:ascii="Arial" w:cs="Arial" w:eastAsia="Arial" w:hAnsi="Arial"/>
          <w:sz w:val="18"/>
          <w:szCs w:val="18"/>
          <w:color w:val="auto"/>
        </w:rPr>
      </w:pPr>
      <w:r>
        <w:rPr>
          <w:rFonts w:ascii="Arial" w:cs="Arial" w:eastAsia="Arial" w:hAnsi="Arial"/>
          <w:sz w:val="18"/>
          <w:szCs w:val="18"/>
          <w:color w:val="auto"/>
        </w:rPr>
        <w:t>Delivery or deemed delivery through attestation of Previously-Acquired Shares having a Fair Market Value on the Date of Exercise equal to the Exercise Price aggregating not more than that portion of the Exercise Price being paid by delivery of such shares.</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4"/>
          <w:numId w:val="17"/>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ind w:left="-8" w:right="100" w:firstLine="233"/>
        <w:spacing w:after="0" w:line="277" w:lineRule="auto"/>
        <w:tabs>
          <w:tab w:leader="none" w:pos="39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Capital Adjustments</w:t>
      </w:r>
      <w:r>
        <w:rPr>
          <w:rFonts w:ascii="Arial" w:cs="Arial" w:eastAsia="Arial" w:hAnsi="Arial"/>
          <w:sz w:val="18"/>
          <w:szCs w:val="18"/>
          <w:color w:val="auto"/>
        </w:rPr>
        <w:t>. The number of Covered Shares and the Exercise Price are subject to adjustment, in accordance with Section 4.2 of the Plan, on an equitable and proportionate basis in the manner deemed appropriate by the Committee.</w:t>
      </w:r>
    </w:p>
    <w:p>
      <w:pPr>
        <w:spacing w:after="0" w:line="143" w:lineRule="exact"/>
        <w:rPr>
          <w:rFonts w:ascii="Arial" w:cs="Arial" w:eastAsia="Arial" w:hAnsi="Arial"/>
          <w:sz w:val="18"/>
          <w:szCs w:val="18"/>
          <w:color w:val="auto"/>
        </w:rPr>
      </w:pPr>
    </w:p>
    <w:p>
      <w:pPr>
        <w:ind w:left="412" w:hanging="187"/>
        <w:spacing w:after="0"/>
        <w:tabs>
          <w:tab w:leader="none" w:pos="41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8" w:firstLine="683"/>
        <w:spacing w:after="0" w:line="273" w:lineRule="auto"/>
        <w:tabs>
          <w:tab w:leader="none" w:pos="912" w:val="left"/>
        </w:tabs>
        <w:numPr>
          <w:ilvl w:val="2"/>
          <w:numId w:val="1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To the extent exercisable and not expired or forfeited, cancelled or otherwise terminated, the Option shall be exercised, in whole or in part, by the delivery to the Third Party Administrator, unless the Company notifies the Optionee otherwise, (i) of written notice of such exercise, in such form as the Third Party Administrator or the Committee may from time to time prescribe, (ii) accompanied (A) by full payment of the Exercise Price with respect to that portion of the Option being exercised, as provided in Paragraph 3(e) of these Terms and Conditions of Incentive Stock Option, or (B) by the delivery of irrevocable instructions to the Third Party Administrator or to the Optionee’s broker to promptly sell all or a portion of the Covered Shares being exercised and to deliver or cause to be delivered to the Company cash equal to the Exercise Price.</w:t>
      </w:r>
    </w:p>
    <w:p>
      <w:pPr>
        <w:spacing w:after="0" w:line="137" w:lineRule="exact"/>
        <w:rPr>
          <w:rFonts w:ascii="Arial" w:cs="Arial" w:eastAsia="Arial" w:hAnsi="Arial"/>
          <w:sz w:val="17"/>
          <w:szCs w:val="17"/>
          <w:color w:val="auto"/>
        </w:rPr>
      </w:pPr>
    </w:p>
    <w:p>
      <w:pPr>
        <w:ind w:left="-8" w:right="160" w:firstLine="683"/>
        <w:spacing w:after="0" w:line="286" w:lineRule="auto"/>
        <w:tabs>
          <w:tab w:leader="none" w:pos="922" w:val="left"/>
        </w:tabs>
        <w:numPr>
          <w:ilvl w:val="2"/>
          <w:numId w:val="1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Company’s obligation to issue or deliver shares of Common Stock upon the exercise of the Option shall be subject to the satisfaction of any applicable federal, state, local or foreign tax withholding requirements (including the Optionee’s FICA obligation). The Optionee may satisfy any such withholding obligation by any of the following means or by a combination of such means: (a) tendering a cash payment; (b) authorizing the Company or the Third Party Administrator to withhold shares of Common Stock otherwise issuable to the Optionee upon exercise of the Option; or</w:t>
      </w:r>
    </w:p>
    <w:p>
      <w:pPr>
        <w:spacing w:after="0" w:line="1" w:lineRule="exact"/>
        <w:rPr>
          <w:rFonts w:ascii="Arial" w:cs="Arial" w:eastAsia="Arial" w:hAnsi="Arial"/>
          <w:sz w:val="16"/>
          <w:szCs w:val="16"/>
          <w:color w:val="auto"/>
        </w:rPr>
      </w:pPr>
    </w:p>
    <w:p>
      <w:pPr>
        <w:ind w:left="-8" w:right="240" w:firstLine="8"/>
        <w:spacing w:after="0" w:line="255" w:lineRule="auto"/>
        <w:tabs>
          <w:tab w:leader="none" w:pos="2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delivering to the Company or the Third Party Administrator Previously-Acquired Shares. For purposes of this Paragraph 5(b), shares of Common Stock that are withheld or delivered to satisfy applicable withholding taxes shall be valued at their Fair Market Value on the date the withholding tax obligation arises.</w:t>
      </w:r>
    </w:p>
    <w:p>
      <w:pPr>
        <w:spacing w:after="0" w:line="163" w:lineRule="exact"/>
        <w:rPr>
          <w:rFonts w:ascii="Arial" w:cs="Arial" w:eastAsia="Arial" w:hAnsi="Arial"/>
          <w:sz w:val="18"/>
          <w:szCs w:val="18"/>
          <w:color w:val="auto"/>
        </w:rPr>
      </w:pPr>
    </w:p>
    <w:p>
      <w:pPr>
        <w:ind w:left="-8" w:right="120" w:firstLine="683"/>
        <w:spacing w:after="0" w:line="277" w:lineRule="auto"/>
        <w:tabs>
          <w:tab w:leader="none" w:pos="912"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Effect</w:t>
      </w:r>
      <w:r>
        <w:rPr>
          <w:rFonts w:ascii="Arial" w:cs="Arial" w:eastAsia="Arial" w:hAnsi="Arial"/>
          <w:sz w:val="18"/>
          <w:szCs w:val="18"/>
          <w:color w:val="auto"/>
        </w:rPr>
        <w:t>. The exercise, in whole or in part, of the Option shall cause a reduction in the number of Covered Shares equal to the number of shares of Common Stock with respect to which the Option is exercised.</w:t>
      </w:r>
    </w:p>
    <w:p>
      <w:pPr>
        <w:spacing w:after="0" w:line="129" w:lineRule="exact"/>
        <w:rPr>
          <w:rFonts w:ascii="Arial" w:cs="Arial" w:eastAsia="Arial" w:hAnsi="Arial"/>
          <w:sz w:val="18"/>
          <w:szCs w:val="18"/>
          <w:color w:val="auto"/>
        </w:rPr>
      </w:pPr>
    </w:p>
    <w:p>
      <w:pPr>
        <w:ind w:left="-8" w:right="80" w:firstLine="233"/>
        <w:spacing w:after="0" w:line="284" w:lineRule="auto"/>
        <w:tabs>
          <w:tab w:leader="none" w:pos="397"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Restriction on Exercise and Upon Shares of Common Stock Issued Upon Exercise</w:t>
      </w:r>
      <w:r>
        <w:rPr>
          <w:rFonts w:ascii="Arial" w:cs="Arial" w:eastAsia="Arial" w:hAnsi="Arial"/>
          <w:sz w:val="16"/>
          <w:szCs w:val="16"/>
          <w:color w:val="auto"/>
        </w:rPr>
        <w:t>. Notwithstanding any other provision of this Agreement, the Optionee agrees, for himself and his successors, that the Option may not be exercised at any time that the Company does not have in effect a registration statement under the Securities Act of 1933, as amended, relating to the offer of Common Stock to the Optionee under the Plan, unless the Company agrees to permit such exercise. The Optionee further agrees, for himself and his successors, that, upon the issuance of any shares of Common Stock upon the exercise of the Option, he will, upon the request of the Company, agree in writing that he is acquiring such shares for investment only and not with a view to resale, and that he will not sell, pledge or otherwise dispose of such shares so issued unless and until (a) the Company is furnished with an opinion of counsel to the effect that registration of such shares pursuant to the Securities Act of 1933, as amended, is not required by that Act and the rules and regulations thereunder;</w:t>
      </w:r>
    </w:p>
    <w:p>
      <w:pPr>
        <w:spacing w:after="0" w:line="2" w:lineRule="exact"/>
        <w:rPr>
          <w:rFonts w:ascii="Arial" w:cs="Arial" w:eastAsia="Arial" w:hAnsi="Arial"/>
          <w:sz w:val="16"/>
          <w:szCs w:val="16"/>
          <w:color w:val="auto"/>
        </w:rPr>
      </w:pPr>
    </w:p>
    <w:p>
      <w:pPr>
        <w:ind w:left="-8" w:right="20" w:firstLine="8"/>
        <w:spacing w:after="0" w:line="323" w:lineRule="auto"/>
        <w:tabs>
          <w:tab w:leader="none" w:pos="24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staff of the Securities and Exchange Commission has issued a “no-action” letter with respect to such disposition; or (c) such registration or notification as is, in the opinion of counsel for the Company, required for the lawful disposition of such shares has been filed by the Company and has become effective;</w:t>
      </w:r>
    </w:p>
    <w:p>
      <w:pPr>
        <w:spacing w:after="0" w:line="98" w:lineRule="exact"/>
        <w:rPr>
          <w:rFonts w:ascii="Arial" w:cs="Arial" w:eastAsia="Arial" w:hAnsi="Arial"/>
          <w:sz w:val="16"/>
          <w:szCs w:val="16"/>
          <w:color w:val="auto"/>
        </w:rPr>
      </w:pPr>
    </w:p>
    <w:p>
      <w:pPr>
        <w:ind w:left="5652" w:hanging="96"/>
        <w:spacing w:after="0"/>
        <w:tabs>
          <w:tab w:leader="none" w:pos="5652" w:val="left"/>
        </w:tabs>
        <w:numPr>
          <w:ilvl w:val="3"/>
          <w:numId w:val="2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provided, however, that the Company is not obligated hereby to file any such registration or notification. The Optionee further agrees that the Company may place a legend embodying such restriction on the certificates evidencing such shares.</w:t>
      </w:r>
    </w:p>
    <w:p>
      <w:pPr>
        <w:spacing w:after="0" w:line="143" w:lineRule="exact"/>
        <w:rPr>
          <w:sz w:val="20"/>
          <w:szCs w:val="20"/>
          <w:color w:val="auto"/>
        </w:rPr>
      </w:pPr>
    </w:p>
    <w:p>
      <w:pPr>
        <w:jc w:val="both"/>
        <w:ind w:right="20" w:firstLine="233"/>
        <w:spacing w:after="0" w:line="259"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The Optionee shall have no rights as a stockholder with respect to any shares of Common Stock subject to the Option until and unless a certificate or certificates representing such shares are issued to the Optionee pursuant to this Agreement. Except as provided in Paragraph 4 of these Terms and Conditions of Incentive Stock Option, no adjustment shall be made for dividends or other rights for which the record date is prior to the issuance of such certificate or certificates.</w:t>
      </w:r>
    </w:p>
    <w:p>
      <w:pPr>
        <w:spacing w:after="0" w:line="146" w:lineRule="exact"/>
        <w:rPr>
          <w:rFonts w:ascii="Arial" w:cs="Arial" w:eastAsia="Arial" w:hAnsi="Arial"/>
          <w:sz w:val="18"/>
          <w:szCs w:val="18"/>
          <w:color w:val="auto"/>
        </w:rPr>
      </w:pPr>
    </w:p>
    <w:p>
      <w:pPr>
        <w:ind w:right="320" w:firstLine="233"/>
        <w:spacing w:after="0" w:line="286" w:lineRule="auto"/>
        <w:tabs>
          <w:tab w:leader="none" w:pos="40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Neither the granting of the Option evidenced by this Agreement nor any term or provision of this Agreement shall constitute or be evidence of any understanding, express or implied, on the part of the Company or any of its Affiliates to employ the Optionee for any period. Whenever reference is made in this Agreement to the employment of the Optionee, it means employment by the Company or an Affiliate.</w:t>
      </w:r>
    </w:p>
    <w:p>
      <w:pPr>
        <w:spacing w:after="0" w:line="125" w:lineRule="exact"/>
        <w:rPr>
          <w:rFonts w:ascii="Arial" w:cs="Arial" w:eastAsia="Arial" w:hAnsi="Arial"/>
          <w:sz w:val="17"/>
          <w:szCs w:val="17"/>
          <w:color w:val="auto"/>
        </w:rPr>
      </w:pPr>
    </w:p>
    <w:p>
      <w:pPr>
        <w:ind w:right="260" w:firstLine="233"/>
        <w:spacing w:after="0" w:line="286" w:lineRule="auto"/>
        <w:tabs>
          <w:tab w:leader="none" w:pos="40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Subject to the Plan</w:t>
      </w:r>
      <w:r>
        <w:rPr>
          <w:rFonts w:ascii="Arial" w:cs="Arial" w:eastAsia="Arial" w:hAnsi="Arial"/>
          <w:sz w:val="17"/>
          <w:szCs w:val="17"/>
          <w:color w:val="auto"/>
        </w:rPr>
        <w:t>. The Option evidenced by this Agreement and the exercise thereof are subject to the terms and conditions of the Plan, which are incorporated herein by reference and made a part hereof, but the terms of the Plan shall not be considered an enlargement of any benefits under this Agreement. In addition, the Option is subject to any rules and regulations promulgated by the Committee.</w:t>
      </w:r>
    </w:p>
    <w:p>
      <w:pPr>
        <w:spacing w:after="0" w:line="138" w:lineRule="exact"/>
        <w:rPr>
          <w:rFonts w:ascii="Arial" w:cs="Arial" w:eastAsia="Arial" w:hAnsi="Arial"/>
          <w:sz w:val="17"/>
          <w:szCs w:val="17"/>
          <w:color w:val="auto"/>
        </w:rPr>
      </w:pPr>
    </w:p>
    <w:p>
      <w:pPr>
        <w:ind w:right="160" w:firstLine="233"/>
        <w:spacing w:after="0" w:line="277"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interpretation and enforceability of this Agreement shall be determined and governed by the laws of the State of New York without giving effect to the principles of conflicts of laws.</w:t>
      </w:r>
    </w:p>
    <w:p>
      <w:pPr>
        <w:spacing w:after="0" w:line="129" w:lineRule="exact"/>
        <w:rPr>
          <w:rFonts w:ascii="Arial" w:cs="Arial" w:eastAsia="Arial" w:hAnsi="Arial"/>
          <w:sz w:val="18"/>
          <w:szCs w:val="18"/>
          <w:color w:val="auto"/>
        </w:rPr>
      </w:pPr>
    </w:p>
    <w:p>
      <w:pPr>
        <w:ind w:left="5660" w:hanging="96"/>
        <w:spacing w:after="0"/>
        <w:tabs>
          <w:tab w:leader="none" w:pos="5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280"/>
          </w:cols>
          <w:pgMar w:left="240" w:top="936"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2005 INCENTIVE COMPENSATION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OPTIONEE: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COVERED SHARES: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M&amp;T Bank Corporation (the “Company”) hereby grants to the Optionee a Nonqualified Stock Option to purchase from the Company that number of shares of Common Stock equal to the Covered Shares, exercisable at the Exercise Price. This grant is made pursuant to the M&amp;T Bank Corporation 2005 Incentive Compensation Plan (the “Plan”) and is subject to the terms and conditions of the Plan and is subject further to the terms and conditions of this Agreement. As used herein, the term “Agreement” shall mean, collectively, this cover page and the related Terms and Conditions of Nonqualified Stock Option delivered to the Optionee with this cover page. Capitalized terms used in this Agreement without definition shall have the meanings assigned to them in the Plan. A copy of the Plan can be viewed and downloaded from the Company’s Intranet under the Human Resources page.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exercise of the Option is subject to the following vesting schedule, which may be accelerated under the circumstances described in Paragraph 3(c)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 and Conditions of Nonqualified Stock Option:</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w w:val="92"/>
              </w:rPr>
              <w:t>No part of the Option may be exercised prior to</w:t>
            </w:r>
          </w:p>
        </w:tc>
        <w:tc>
          <w:tcPr>
            <w:tcW w:w="900" w:type="dxa"/>
            <w:vAlign w:val="bottom"/>
            <w:tcBorders>
              <w:bottom w:val="single" w:sz="8" w:color="auto"/>
            </w:tcBorders>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 200___[</w:t>
            </w:r>
            <w:r>
              <w:rPr>
                <w:rFonts w:ascii="Arial" w:cs="Arial" w:eastAsia="Arial" w:hAnsi="Arial"/>
                <w:sz w:val="18"/>
                <w:szCs w:val="18"/>
                <w:i w:val="1"/>
                <w:iCs w:val="1"/>
                <w:color w:val="auto"/>
              </w:rPr>
              <w:t>generally 1 year from the Date of Grant</w:t>
            </w:r>
            <w:r>
              <w:rPr>
                <w:rFonts w:ascii="Arial" w:cs="Arial" w:eastAsia="Arial" w:hAnsi="Arial"/>
                <w:sz w:val="18"/>
                <w:szCs w:val="18"/>
                <w:color w:val="auto"/>
              </w:rPr>
              <w:t>];</w:t>
            </w:r>
          </w:p>
        </w:tc>
      </w:tr>
      <w:tr>
        <w:trPr>
          <w:trHeight w:val="41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w w:val="95"/>
              </w:rPr>
              <w:t>On or after</w:t>
            </w:r>
          </w:p>
        </w:tc>
        <w:tc>
          <w:tcPr>
            <w:tcW w:w="900" w:type="dxa"/>
            <w:vAlign w:val="bottom"/>
            <w:tcBorders>
              <w:bottom w:val="single" w:sz="8" w:color="auto"/>
            </w:tcBorders>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w w:val="90"/>
              </w:rPr>
              <w:t>, 200___[</w:t>
            </w:r>
            <w:r>
              <w:rPr>
                <w:rFonts w:ascii="Arial" w:cs="Arial" w:eastAsia="Arial" w:hAnsi="Arial"/>
                <w:sz w:val="18"/>
                <w:szCs w:val="18"/>
                <w:i w:val="1"/>
                <w:iCs w:val="1"/>
                <w:color w:val="auto"/>
                <w:w w:val="90"/>
              </w:rPr>
              <w:t>generally 1 year from the Date of Grant</w:t>
            </w:r>
            <w:r>
              <w:rPr>
                <w:rFonts w:ascii="Arial" w:cs="Arial" w:eastAsia="Arial" w:hAnsi="Arial"/>
                <w:sz w:val="18"/>
                <w:szCs w:val="18"/>
                <w:color w:val="auto"/>
                <w:w w:val="90"/>
              </w:rPr>
              <w:t>], the Option may be exercised as to ___of the Covered Shares [</w:t>
            </w:r>
            <w:r>
              <w:rPr>
                <w:rFonts w:ascii="Arial" w:cs="Arial" w:eastAsia="Arial" w:hAnsi="Arial"/>
                <w:sz w:val="18"/>
                <w:szCs w:val="18"/>
                <w:i w:val="1"/>
                <w:iCs w:val="1"/>
                <w:color w:val="auto"/>
                <w:w w:val="90"/>
              </w:rPr>
              <w:t>generally</w:t>
            </w:r>
          </w:p>
        </w:tc>
      </w:tr>
      <w:tr>
        <w:trPr>
          <w:trHeight w:val="237"/>
        </w:trPr>
        <w:tc>
          <w:tcPr>
            <w:tcW w:w="260" w:type="dxa"/>
            <w:vAlign w:val="bottom"/>
          </w:tcPr>
          <w:p>
            <w:pPr>
              <w:spacing w:after="0"/>
              <w:rPr>
                <w:sz w:val="20"/>
                <w:szCs w:val="20"/>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i w:val="1"/>
                <w:iCs w:val="1"/>
                <w:color w:val="auto"/>
              </w:rPr>
              <w:t>10% of the Covered Shares</w:t>
            </w:r>
            <w:r>
              <w:rPr>
                <w:rFonts w:ascii="Arial" w:cs="Arial" w:eastAsia="Arial" w:hAnsi="Arial"/>
                <w:sz w:val="18"/>
                <w:szCs w:val="18"/>
                <w:color w:val="auto"/>
              </w:rPr>
              <w:t>];</w:t>
            </w:r>
          </w:p>
        </w:tc>
        <w:tc>
          <w:tcPr>
            <w:tcW w:w="6220" w:type="dxa"/>
            <w:vAlign w:val="bottom"/>
          </w:tcPr>
          <w:p>
            <w:pPr>
              <w:spacing w:after="0"/>
              <w:rPr>
                <w:sz w:val="20"/>
                <w:szCs w:val="20"/>
                <w:color w:val="auto"/>
              </w:rPr>
            </w:pPr>
          </w:p>
        </w:tc>
      </w:tr>
      <w:tr>
        <w:trPr>
          <w:trHeight w:val="39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w w:val="95"/>
              </w:rPr>
              <w:t>On or after</w:t>
            </w:r>
          </w:p>
        </w:tc>
        <w:tc>
          <w:tcPr>
            <w:tcW w:w="900" w:type="dxa"/>
            <w:vAlign w:val="bottom"/>
            <w:tcBorders>
              <w:bottom w:val="single" w:sz="8" w:color="auto"/>
            </w:tcBorders>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w w:val="93"/>
              </w:rPr>
              <w:t>, 200___[</w:t>
            </w:r>
            <w:r>
              <w:rPr>
                <w:rFonts w:ascii="Arial" w:cs="Arial" w:eastAsia="Arial" w:hAnsi="Arial"/>
                <w:sz w:val="18"/>
                <w:szCs w:val="18"/>
                <w:i w:val="1"/>
                <w:iCs w:val="1"/>
                <w:color w:val="auto"/>
                <w:w w:val="93"/>
              </w:rPr>
              <w:t>generally 2 years from the Date of Grant</w:t>
            </w:r>
            <w:r>
              <w:rPr>
                <w:rFonts w:ascii="Arial" w:cs="Arial" w:eastAsia="Arial" w:hAnsi="Arial"/>
                <w:sz w:val="18"/>
                <w:szCs w:val="18"/>
                <w:color w:val="auto"/>
                <w:w w:val="93"/>
              </w:rPr>
              <w:t>], the Option may be exercised as to an additional ___of the Covered</w:t>
            </w:r>
          </w:p>
        </w:tc>
      </w:tr>
      <w:tr>
        <w:trPr>
          <w:trHeight w:val="237"/>
        </w:trPr>
        <w:tc>
          <w:tcPr>
            <w:tcW w:w="260" w:type="dxa"/>
            <w:vAlign w:val="bottom"/>
          </w:tcPr>
          <w:p>
            <w:pPr>
              <w:spacing w:after="0"/>
              <w:rPr>
                <w:sz w:val="20"/>
                <w:szCs w:val="20"/>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Shares [</w:t>
            </w:r>
            <w:r>
              <w:rPr>
                <w:rFonts w:ascii="Arial" w:cs="Arial" w:eastAsia="Arial" w:hAnsi="Arial"/>
                <w:sz w:val="18"/>
                <w:szCs w:val="18"/>
                <w:i w:val="1"/>
                <w:iCs w:val="1"/>
                <w:color w:val="auto"/>
              </w:rPr>
              <w:t>generally 20% of the Covered Shares</w:t>
            </w:r>
            <w:r>
              <w:rPr>
                <w:rFonts w:ascii="Arial" w:cs="Arial" w:eastAsia="Arial" w:hAnsi="Arial"/>
                <w:sz w:val="18"/>
                <w:szCs w:val="18"/>
                <w:color w:val="auto"/>
              </w:rPr>
              <w:t>];</w:t>
            </w:r>
          </w:p>
        </w:tc>
        <w:tc>
          <w:tcPr>
            <w:tcW w:w="6220" w:type="dxa"/>
            <w:vAlign w:val="bottom"/>
          </w:tcPr>
          <w:p>
            <w:pPr>
              <w:spacing w:after="0"/>
              <w:rPr>
                <w:sz w:val="20"/>
                <w:szCs w:val="20"/>
                <w:color w:val="auto"/>
              </w:rPr>
            </w:pPr>
          </w:p>
        </w:tc>
      </w:tr>
      <w:tr>
        <w:trPr>
          <w:trHeight w:val="39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w w:val="95"/>
              </w:rPr>
              <w:t>On or after</w:t>
            </w:r>
          </w:p>
        </w:tc>
        <w:tc>
          <w:tcPr>
            <w:tcW w:w="900" w:type="dxa"/>
            <w:vAlign w:val="bottom"/>
            <w:tcBorders>
              <w:bottom w:val="single" w:sz="8" w:color="auto"/>
            </w:tcBorders>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w w:val="93"/>
              </w:rPr>
              <w:t>, 200___[</w:t>
            </w:r>
            <w:r>
              <w:rPr>
                <w:rFonts w:ascii="Arial" w:cs="Arial" w:eastAsia="Arial" w:hAnsi="Arial"/>
                <w:sz w:val="18"/>
                <w:szCs w:val="18"/>
                <w:i w:val="1"/>
                <w:iCs w:val="1"/>
                <w:color w:val="auto"/>
                <w:w w:val="93"/>
              </w:rPr>
              <w:t>generally 3 years from the Date of Grant</w:t>
            </w:r>
            <w:r>
              <w:rPr>
                <w:rFonts w:ascii="Arial" w:cs="Arial" w:eastAsia="Arial" w:hAnsi="Arial"/>
                <w:sz w:val="18"/>
                <w:szCs w:val="18"/>
                <w:color w:val="auto"/>
                <w:w w:val="93"/>
              </w:rPr>
              <w:t>], the Option may be exercised as to an additional ___of the Covered</w:t>
            </w:r>
          </w:p>
        </w:tc>
      </w:tr>
      <w:tr>
        <w:trPr>
          <w:trHeight w:val="237"/>
        </w:trPr>
        <w:tc>
          <w:tcPr>
            <w:tcW w:w="260" w:type="dxa"/>
            <w:vAlign w:val="bottom"/>
          </w:tcPr>
          <w:p>
            <w:pPr>
              <w:spacing w:after="0"/>
              <w:rPr>
                <w:sz w:val="20"/>
                <w:szCs w:val="20"/>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Shares [</w:t>
            </w:r>
            <w:r>
              <w:rPr>
                <w:rFonts w:ascii="Arial" w:cs="Arial" w:eastAsia="Arial" w:hAnsi="Arial"/>
                <w:sz w:val="18"/>
                <w:szCs w:val="18"/>
                <w:i w:val="1"/>
                <w:iCs w:val="1"/>
                <w:color w:val="auto"/>
              </w:rPr>
              <w:t>generally 30% of the Covered Shares</w:t>
            </w:r>
            <w:r>
              <w:rPr>
                <w:rFonts w:ascii="Arial" w:cs="Arial" w:eastAsia="Arial" w:hAnsi="Arial"/>
                <w:sz w:val="18"/>
                <w:szCs w:val="18"/>
                <w:color w:val="auto"/>
              </w:rPr>
              <w:t>]; and</w:t>
            </w:r>
          </w:p>
        </w:tc>
        <w:tc>
          <w:tcPr>
            <w:tcW w:w="6220" w:type="dxa"/>
            <w:vAlign w:val="bottom"/>
          </w:tcPr>
          <w:p>
            <w:pPr>
              <w:spacing w:after="0"/>
              <w:rPr>
                <w:sz w:val="20"/>
                <w:szCs w:val="20"/>
                <w:color w:val="auto"/>
              </w:rPr>
            </w:pPr>
          </w:p>
        </w:tc>
      </w:tr>
      <w:tr>
        <w:trPr>
          <w:trHeight w:val="39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w w:val="95"/>
              </w:rPr>
              <w:t>On or after</w:t>
            </w:r>
          </w:p>
        </w:tc>
        <w:tc>
          <w:tcPr>
            <w:tcW w:w="900" w:type="dxa"/>
            <w:vAlign w:val="bottom"/>
            <w:tcBorders>
              <w:bottom w:val="single" w:sz="8" w:color="auto"/>
            </w:tcBorders>
          </w:tcPr>
          <w:p>
            <w:pPr>
              <w:spacing w:after="0"/>
              <w:rPr>
                <w:sz w:val="24"/>
                <w:szCs w:val="24"/>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w w:val="92"/>
              </w:rPr>
              <w:t>, 200___[</w:t>
            </w:r>
            <w:r>
              <w:rPr>
                <w:rFonts w:ascii="Arial" w:cs="Arial" w:eastAsia="Arial" w:hAnsi="Arial"/>
                <w:sz w:val="18"/>
                <w:szCs w:val="18"/>
                <w:i w:val="1"/>
                <w:iCs w:val="1"/>
                <w:color w:val="auto"/>
                <w:w w:val="92"/>
              </w:rPr>
              <w:t>generally 4 years from the Date of Grant</w:t>
            </w:r>
            <w:r>
              <w:rPr>
                <w:rFonts w:ascii="Arial" w:cs="Arial" w:eastAsia="Arial" w:hAnsi="Arial"/>
                <w:sz w:val="18"/>
                <w:szCs w:val="18"/>
                <w:color w:val="auto"/>
                <w:w w:val="92"/>
              </w:rPr>
              <w:t>], the Option may be exercised as to the remaining ___of the Covered</w:t>
            </w:r>
          </w:p>
        </w:tc>
      </w:tr>
      <w:tr>
        <w:trPr>
          <w:trHeight w:val="237"/>
        </w:trPr>
        <w:tc>
          <w:tcPr>
            <w:tcW w:w="260" w:type="dxa"/>
            <w:vAlign w:val="bottom"/>
          </w:tcPr>
          <w:p>
            <w:pPr>
              <w:spacing w:after="0"/>
              <w:rPr>
                <w:sz w:val="20"/>
                <w:szCs w:val="20"/>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Shares [</w:t>
            </w:r>
            <w:r>
              <w:rPr>
                <w:rFonts w:ascii="Arial" w:cs="Arial" w:eastAsia="Arial" w:hAnsi="Arial"/>
                <w:sz w:val="18"/>
                <w:szCs w:val="18"/>
                <w:i w:val="1"/>
                <w:iCs w:val="1"/>
                <w:color w:val="auto"/>
              </w:rPr>
              <w:t>generally 40% of the Covered Shares</w:t>
            </w:r>
            <w:r>
              <w:rPr>
                <w:rFonts w:ascii="Arial" w:cs="Arial" w:eastAsia="Arial" w:hAnsi="Arial"/>
                <w:sz w:val="18"/>
                <w:szCs w:val="18"/>
                <w:color w:val="auto"/>
              </w:rPr>
              <w:t>].</w:t>
            </w:r>
          </w:p>
        </w:tc>
        <w:tc>
          <w:tcPr>
            <w:tcW w:w="6220" w:type="dxa"/>
            <w:vAlign w:val="bottom"/>
          </w:tcPr>
          <w:p>
            <w:pPr>
              <w:spacing w:after="0"/>
              <w:rPr>
                <w:sz w:val="20"/>
                <w:szCs w:val="20"/>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order to exercise the Option, you should refer to the EquiServe brochure which describes the procedures you must follow to exercise the Option and other important matters. EquiServe is the current Third Party Administrator. If the Company changes the Third Party Administrator or if the EquiServe brochure becomes outdated, you will be notified of any changes. The most current EquiServe brochure can be viewed and downloaded from the Company’s Intranet under the Human Resources page.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Agreement to be signed on its behalf effective as of the Date of Grant.</w:t>
      </w:r>
    </w:p>
    <w:p>
      <w:pPr>
        <w:spacing w:after="0" w:line="200" w:lineRule="exact"/>
        <w:rPr>
          <w:sz w:val="20"/>
          <w:szCs w:val="20"/>
          <w:color w:val="auto"/>
        </w:rPr>
      </w:pPr>
    </w:p>
    <w:p>
      <w:pPr>
        <w:spacing w:after="0" w:line="201"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M&amp;T BANK CORPORATION</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058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2005 INCENTIVE COMPENSATION PLAN</w:t>
      </w:r>
    </w:p>
    <w:p>
      <w:pPr>
        <w:spacing w:after="0" w:line="18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  *</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TERMS AND CONDITIONS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NONQUALIFIED STOCK OPTION</w:t>
      </w:r>
    </w:p>
    <w:p>
      <w:pPr>
        <w:spacing w:after="0" w:line="170" w:lineRule="exact"/>
        <w:rPr>
          <w:sz w:val="20"/>
          <w:szCs w:val="20"/>
          <w:color w:val="auto"/>
        </w:rPr>
      </w:pPr>
    </w:p>
    <w:p>
      <w:pPr>
        <w:ind w:right="360" w:firstLine="233"/>
        <w:spacing w:after="0" w:line="277" w:lineRule="auto"/>
        <w:tabs>
          <w:tab w:leader="none" w:pos="40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except where the context otherwise indicates, the following definitions apply. Capitalized terms used herein without definition shall have the meanings assigned to them in the Plan.</w:t>
      </w:r>
    </w:p>
    <w:p>
      <w:pPr>
        <w:spacing w:after="0" w:line="143" w:lineRule="exact"/>
        <w:rPr>
          <w:rFonts w:ascii="Arial" w:cs="Arial" w:eastAsia="Arial" w:hAnsi="Arial"/>
          <w:sz w:val="18"/>
          <w:szCs w:val="18"/>
          <w:color w:val="auto"/>
        </w:rPr>
      </w:pPr>
    </w:p>
    <w:p>
      <w:pPr>
        <w:ind w:left="920" w:hanging="237"/>
        <w:spacing w:after="0"/>
        <w:tabs>
          <w:tab w:leader="none" w:pos="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“Covered Shares” means the shares of Common Stock subject to the Option set forth as the “Covered Shares” on the cover page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70" w:lineRule="exact"/>
        <w:rPr>
          <w:rFonts w:ascii="Arial" w:cs="Arial" w:eastAsia="Arial" w:hAnsi="Arial"/>
          <w:sz w:val="17"/>
          <w:szCs w:val="17"/>
          <w:color w:val="auto"/>
        </w:rPr>
      </w:pPr>
    </w:p>
    <w:p>
      <w:pPr>
        <w:ind w:left="940" w:hanging="257"/>
        <w:spacing w:after="0"/>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“Date of Expiration” means the date on which the Option shall expire which shall be the earliest of the following times:</w:t>
      </w:r>
    </w:p>
    <w:p>
      <w:pPr>
        <w:spacing w:after="0" w:line="184" w:lineRule="exact"/>
        <w:rPr>
          <w:rFonts w:ascii="Arial" w:cs="Arial" w:eastAsia="Arial" w:hAnsi="Arial"/>
          <w:sz w:val="18"/>
          <w:szCs w:val="18"/>
          <w:color w:val="auto"/>
        </w:rPr>
      </w:pPr>
    </w:p>
    <w:p>
      <w:pPr>
        <w:ind w:left="1340" w:hanging="207"/>
        <w:spacing w:after="0"/>
        <w:tabs>
          <w:tab w:leader="none" w:pos="13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upon termination of the Optionee’s employment or service with the Company or an Affiliate for Cause;</w:t>
      </w:r>
    </w:p>
    <w:p>
      <w:pPr>
        <w:spacing w:after="0" w:line="198" w:lineRule="exact"/>
        <w:rPr>
          <w:rFonts w:ascii="Arial" w:cs="Arial" w:eastAsia="Arial" w:hAnsi="Arial"/>
          <w:sz w:val="18"/>
          <w:szCs w:val="18"/>
          <w:color w:val="auto"/>
        </w:rPr>
      </w:pPr>
    </w:p>
    <w:p>
      <w:pPr>
        <w:ind w:left="1400" w:hanging="267"/>
        <w:spacing w:after="0"/>
        <w:tabs>
          <w:tab w:leader="none" w:pos="1400" w:val="left"/>
        </w:tabs>
        <w:numPr>
          <w:ilvl w:val="2"/>
          <w:numId w:val="22"/>
        </w:numPr>
        <w:rPr>
          <w:rFonts w:ascii="Arial" w:cs="Arial" w:eastAsia="Arial" w:hAnsi="Arial"/>
          <w:sz w:val="17"/>
          <w:szCs w:val="17"/>
          <w:color w:val="auto"/>
        </w:rPr>
      </w:pPr>
      <w:r>
        <w:rPr>
          <w:rFonts w:ascii="Arial" w:cs="Arial" w:eastAsia="Arial" w:hAnsi="Arial"/>
          <w:sz w:val="17"/>
          <w:szCs w:val="17"/>
          <w:color w:val="auto"/>
        </w:rPr>
        <w:t>30 days after termination of the Optionee’s employment or service with the Company or an Affiliate by reason of the Optionee’s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Resignation;</w:t>
      </w:r>
    </w:p>
    <w:p>
      <w:pPr>
        <w:spacing w:after="0" w:line="170" w:lineRule="exact"/>
        <w:rPr>
          <w:rFonts w:ascii="Arial" w:cs="Arial" w:eastAsia="Arial" w:hAnsi="Arial"/>
          <w:sz w:val="17"/>
          <w:szCs w:val="17"/>
          <w:color w:val="auto"/>
        </w:rPr>
      </w:pPr>
    </w:p>
    <w:p>
      <w:pPr>
        <w:ind w:firstLine="1133"/>
        <w:spacing w:after="0" w:line="277" w:lineRule="auto"/>
        <w:tabs>
          <w:tab w:leader="none" w:pos="14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90 days after termination of the Optionee’s employment or service with the Company or an Affiliate for any reason, including Retirement, except Cause, Resignation, death or Disability;</w:t>
      </w:r>
    </w:p>
    <w:p>
      <w:pPr>
        <w:spacing w:after="0" w:line="129" w:lineRule="exact"/>
        <w:rPr>
          <w:rFonts w:ascii="Arial" w:cs="Arial" w:eastAsia="Arial" w:hAnsi="Arial"/>
          <w:sz w:val="18"/>
          <w:szCs w:val="18"/>
          <w:color w:val="auto"/>
        </w:rPr>
      </w:pPr>
    </w:p>
    <w:p>
      <w:pPr>
        <w:ind w:left="1440" w:hanging="307"/>
        <w:spacing w:after="0"/>
        <w:tabs>
          <w:tab w:leader="none" w:pos="1440" w:val="left"/>
        </w:tabs>
        <w:numPr>
          <w:ilvl w:val="2"/>
          <w:numId w:val="22"/>
        </w:numPr>
        <w:rPr>
          <w:rFonts w:ascii="Arial" w:cs="Arial" w:eastAsia="Arial" w:hAnsi="Arial"/>
          <w:sz w:val="16"/>
          <w:szCs w:val="16"/>
          <w:color w:val="auto"/>
        </w:rPr>
      </w:pPr>
      <w:r>
        <w:rPr>
          <w:rFonts w:ascii="Arial" w:cs="Arial" w:eastAsia="Arial" w:hAnsi="Arial"/>
          <w:sz w:val="16"/>
          <w:szCs w:val="16"/>
          <w:color w:val="auto"/>
        </w:rPr>
        <w:t>one year after termination of the Optionee’s employment or service with the Company or an Affiliate by reason of death or Disability; or</w:t>
      </w:r>
    </w:p>
    <w:p>
      <w:pPr>
        <w:spacing w:after="0" w:line="221" w:lineRule="exact"/>
        <w:rPr>
          <w:rFonts w:ascii="Arial" w:cs="Arial" w:eastAsia="Arial" w:hAnsi="Arial"/>
          <w:sz w:val="16"/>
          <w:szCs w:val="16"/>
          <w:color w:val="auto"/>
        </w:rPr>
      </w:pPr>
    </w:p>
    <w:p>
      <w:pPr>
        <w:ind w:left="1380" w:hanging="247"/>
        <w:spacing w:after="0"/>
        <w:tabs>
          <w:tab w:leader="none" w:pos="13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ten years and one day after the Date of Grant.</w:t>
      </w:r>
    </w:p>
    <w:p>
      <w:pPr>
        <w:spacing w:after="0" w:line="184" w:lineRule="exact"/>
        <w:rPr>
          <w:rFonts w:ascii="Arial" w:cs="Arial" w:eastAsia="Arial" w:hAnsi="Arial"/>
          <w:sz w:val="18"/>
          <w:szCs w:val="18"/>
          <w:color w:val="auto"/>
        </w:rPr>
      </w:pPr>
    </w:p>
    <w:p>
      <w:pPr>
        <w:ind w:left="920" w:hanging="237"/>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“Date of Grant” means the date set forth as the “Date of Grant” on the cover page of this Agreement.</w:t>
      </w:r>
    </w:p>
    <w:p>
      <w:pPr>
        <w:spacing w:after="0" w:line="184" w:lineRule="exact"/>
        <w:rPr>
          <w:rFonts w:ascii="Arial" w:cs="Arial" w:eastAsia="Arial" w:hAnsi="Arial"/>
          <w:sz w:val="18"/>
          <w:szCs w:val="18"/>
          <w:color w:val="auto"/>
        </w:rPr>
      </w:pPr>
    </w:p>
    <w:p>
      <w:pPr>
        <w:ind w:left="940" w:hanging="257"/>
        <w:spacing w:after="0"/>
        <w:tabs>
          <w:tab w:leader="none" w:pos="9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“Exercise Price” means the dollar amount per share of Common Stock set forth as the “Exercise Price” on the cover page of this Agreement.</w:t>
      </w:r>
    </w:p>
    <w:p>
      <w:pPr>
        <w:spacing w:after="0" w:line="221" w:lineRule="exact"/>
        <w:rPr>
          <w:rFonts w:ascii="Arial" w:cs="Arial" w:eastAsia="Arial" w:hAnsi="Arial"/>
          <w:sz w:val="16"/>
          <w:szCs w:val="16"/>
          <w:color w:val="auto"/>
        </w:rPr>
      </w:pPr>
    </w:p>
    <w:p>
      <w:pPr>
        <w:ind w:left="920" w:hanging="237"/>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“Option” means the nonqualified stock option granted to the Optionee on the cover page of this Agreement.</w:t>
      </w:r>
    </w:p>
    <w:p>
      <w:pPr>
        <w:spacing w:after="0" w:line="184" w:lineRule="exact"/>
        <w:rPr>
          <w:rFonts w:ascii="Arial" w:cs="Arial" w:eastAsia="Arial" w:hAnsi="Arial"/>
          <w:sz w:val="18"/>
          <w:szCs w:val="18"/>
          <w:color w:val="auto"/>
        </w:rPr>
      </w:pPr>
    </w:p>
    <w:p>
      <w:pPr>
        <w:ind w:left="900" w:hanging="217"/>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“Optionee” means the person identified as the “Optionee” on the cover page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ind w:right="380" w:firstLine="683"/>
        <w:spacing w:after="0" w:line="277" w:lineRule="auto"/>
        <w:tabs>
          <w:tab w:leader="none" w:pos="9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“Third Party Administrator” means the entity to which the Committee has delegated its authority to administer the exercise of stock options granted under the Plan.</w:t>
      </w:r>
    </w:p>
    <w:p>
      <w:pPr>
        <w:spacing w:after="0" w:line="143" w:lineRule="exact"/>
        <w:rPr>
          <w:rFonts w:ascii="Arial" w:cs="Arial" w:eastAsia="Arial" w:hAnsi="Arial"/>
          <w:sz w:val="18"/>
          <w:szCs w:val="18"/>
          <w:color w:val="auto"/>
        </w:rPr>
      </w:pPr>
    </w:p>
    <w:p>
      <w:pPr>
        <w:ind w:left="420" w:hanging="187"/>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Option granted hereby is granted in accordance with the cover page of this Agreement.</w:t>
      </w:r>
    </w:p>
    <w:p>
      <w:pPr>
        <w:spacing w:after="0" w:line="184" w:lineRule="exact"/>
        <w:rPr>
          <w:rFonts w:ascii="Arial" w:cs="Arial" w:eastAsia="Arial" w:hAnsi="Arial"/>
          <w:sz w:val="18"/>
          <w:szCs w:val="18"/>
          <w:color w:val="auto"/>
        </w:rPr>
      </w:pPr>
    </w:p>
    <w:p>
      <w:pPr>
        <w:ind w:left="420" w:hanging="187"/>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Terms of the Option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920" w:hanging="237"/>
        <w:spacing w:after="0"/>
        <w:tabs>
          <w:tab w:leader="none" w:pos="920"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Type of Option</w:t>
      </w:r>
      <w:r>
        <w:rPr>
          <w:rFonts w:ascii="Arial" w:cs="Arial" w:eastAsia="Arial" w:hAnsi="Arial"/>
          <w:sz w:val="16"/>
          <w:szCs w:val="16"/>
          <w:color w:val="auto"/>
        </w:rPr>
        <w:t>. The Option is intended to be a nonqualified stock option, and is not an incentive stock option within the meaning of section 422</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Code.</w:t>
      </w:r>
    </w:p>
    <w:p>
      <w:pPr>
        <w:spacing w:after="0" w:line="183" w:lineRule="exact"/>
        <w:rPr>
          <w:rFonts w:ascii="Arial" w:cs="Arial" w:eastAsia="Arial" w:hAnsi="Arial"/>
          <w:sz w:val="16"/>
          <w:szCs w:val="16"/>
          <w:color w:val="auto"/>
        </w:rPr>
      </w:pPr>
    </w:p>
    <w:p>
      <w:pPr>
        <w:ind w:firstLine="683"/>
        <w:spacing w:after="0" w:line="264" w:lineRule="auto"/>
        <w:tabs>
          <w:tab w:leader="none" w:pos="93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Option Period</w:t>
      </w:r>
      <w:r>
        <w:rPr>
          <w:rFonts w:ascii="Arial" w:cs="Arial" w:eastAsia="Arial" w:hAnsi="Arial"/>
          <w:sz w:val="18"/>
          <w:szCs w:val="18"/>
          <w:color w:val="auto"/>
        </w:rPr>
        <w:t>. During the period commencing on the Date of Grant and terminating on the Date of Expiration, the Option may be exercised with respect to all or a portion of the Covered Shares (in full shares) to the extent that the Option has not been previously exercised with respect to such Covered Shares and subject to the vesting schedule on the cover page of this Agreement.</w:t>
      </w:r>
    </w:p>
    <w:p>
      <w:pPr>
        <w:spacing w:after="0" w:line="140" w:lineRule="exact"/>
        <w:rPr>
          <w:rFonts w:ascii="Arial" w:cs="Arial" w:eastAsia="Arial" w:hAnsi="Arial"/>
          <w:sz w:val="18"/>
          <w:szCs w:val="18"/>
          <w:color w:val="auto"/>
        </w:rPr>
      </w:pPr>
    </w:p>
    <w:p>
      <w:pPr>
        <w:ind w:firstLine="683"/>
        <w:spacing w:after="0" w:line="272" w:lineRule="auto"/>
        <w:tabs>
          <w:tab w:leader="none" w:pos="920"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Acceleration of Vesting</w:t>
      </w:r>
      <w:r>
        <w:rPr>
          <w:rFonts w:ascii="Arial" w:cs="Arial" w:eastAsia="Arial" w:hAnsi="Arial"/>
          <w:sz w:val="17"/>
          <w:szCs w:val="17"/>
          <w:color w:val="auto"/>
        </w:rPr>
        <w:t>. Notwithstanding the above provisions of Paragraph 3(b) and the vesting schedule on the cover page of this Agreement, the Option may be exercised in full during the period commencing on the Date of Grant and ending on the Date of Expiration (i) following a Change in Control or (ii) upon the Optionee’s termination of employment or service with the Company or an Affiliate due to the Optionee’s death, Retirement, or Disability. In addition, upon the Optionee’s termination of employment or service with the Company or an Affiliate, other than for Cause, during the one-year period following a Change in Control, any Option held by the Optionee as of the date of the Change in Control that remains outstanding as of the date of such termination of employment may thereafter be exercised, until the earlier of (i) the expiration date of such Option, which is ten years and one day after the Date of Grant, or (ii) one year after the date of such termination of employment.</w:t>
      </w:r>
    </w:p>
    <w:p>
      <w:pPr>
        <w:spacing w:after="0" w:line="137" w:lineRule="exact"/>
        <w:rPr>
          <w:rFonts w:ascii="Arial" w:cs="Arial" w:eastAsia="Arial" w:hAnsi="Arial"/>
          <w:sz w:val="17"/>
          <w:szCs w:val="17"/>
          <w:color w:val="auto"/>
        </w:rPr>
      </w:pPr>
    </w:p>
    <w:p>
      <w:pPr>
        <w:ind w:right="820" w:firstLine="683"/>
        <w:spacing w:after="0" w:line="264" w:lineRule="auto"/>
        <w:tabs>
          <w:tab w:leader="none" w:pos="93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is not transferable by the Optionee other than by will or by the laws of descent and distribution, and is exercisable, during the Optionee’s lifetime, only by the Optionee or, in the event of the Optionee’s Disability, by the Optionee’s guardian or legal representative.</w:t>
      </w:r>
    </w:p>
    <w:p>
      <w:pPr>
        <w:spacing w:after="0" w:line="154" w:lineRule="exact"/>
        <w:rPr>
          <w:rFonts w:ascii="Arial" w:cs="Arial" w:eastAsia="Arial" w:hAnsi="Arial"/>
          <w:sz w:val="18"/>
          <w:szCs w:val="18"/>
          <w:color w:val="auto"/>
        </w:rPr>
      </w:pPr>
    </w:p>
    <w:p>
      <w:pPr>
        <w:ind w:right="200" w:firstLine="683"/>
        <w:spacing w:after="0" w:line="277"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Payment of the Exercise Price</w:t>
      </w:r>
      <w:r>
        <w:rPr>
          <w:rFonts w:ascii="Arial" w:cs="Arial" w:eastAsia="Arial" w:hAnsi="Arial"/>
          <w:sz w:val="18"/>
          <w:szCs w:val="18"/>
          <w:color w:val="auto"/>
        </w:rPr>
        <w:t>. The Optionee, upon exercise, in whole or in part, of the Option, may pay the Exercise Price by any or all of the following means, either alone or in combination:</w:t>
      </w:r>
    </w:p>
    <w:p>
      <w:pPr>
        <w:spacing w:after="0" w:line="129" w:lineRule="exact"/>
        <w:rPr>
          <w:rFonts w:ascii="Arial" w:cs="Arial" w:eastAsia="Arial" w:hAnsi="Arial"/>
          <w:sz w:val="18"/>
          <w:szCs w:val="18"/>
          <w:color w:val="auto"/>
        </w:rPr>
      </w:pPr>
    </w:p>
    <w:p>
      <w:pPr>
        <w:ind w:left="1340" w:hanging="207"/>
        <w:spacing w:after="0"/>
        <w:tabs>
          <w:tab w:leader="none" w:pos="13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Cash or check payable to the order of the Third Party Administrator, unless the Company notifies the Optionee otherwise; or</w:t>
      </w:r>
    </w:p>
    <w:p>
      <w:pPr>
        <w:spacing w:after="0" w:line="184" w:lineRule="exact"/>
        <w:rPr>
          <w:rFonts w:ascii="Arial" w:cs="Arial" w:eastAsia="Arial" w:hAnsi="Arial"/>
          <w:sz w:val="18"/>
          <w:szCs w:val="18"/>
          <w:color w:val="auto"/>
        </w:rPr>
      </w:pPr>
    </w:p>
    <w:p>
      <w:pPr>
        <w:ind w:right="80" w:firstLine="1133"/>
        <w:spacing w:after="0" w:line="277" w:lineRule="auto"/>
        <w:tabs>
          <w:tab w:leader="none" w:pos="1390" w:val="left"/>
        </w:tabs>
        <w:numPr>
          <w:ilvl w:val="2"/>
          <w:numId w:val="24"/>
        </w:numPr>
        <w:rPr>
          <w:rFonts w:ascii="Arial" w:cs="Arial" w:eastAsia="Arial" w:hAnsi="Arial"/>
          <w:sz w:val="18"/>
          <w:szCs w:val="18"/>
          <w:color w:val="auto"/>
        </w:rPr>
      </w:pPr>
      <w:r>
        <w:rPr>
          <w:rFonts w:ascii="Arial" w:cs="Arial" w:eastAsia="Arial" w:hAnsi="Arial"/>
          <w:sz w:val="18"/>
          <w:szCs w:val="18"/>
          <w:color w:val="auto"/>
        </w:rPr>
        <w:t>Delivery or deemed delivery through attestation of Previously-Acquired Shares having a Fair Market Value on the Date of Exercise equal to the Exercise Price aggregating not more than that portion of the Exercise Price being paid by delivery of such shares.</w:t>
      </w:r>
    </w:p>
    <w:p>
      <w:pPr>
        <w:spacing w:after="0" w:line="143" w:lineRule="exact"/>
        <w:rPr>
          <w:rFonts w:ascii="Arial" w:cs="Arial" w:eastAsia="Arial" w:hAnsi="Arial"/>
          <w:sz w:val="18"/>
          <w:szCs w:val="18"/>
          <w:color w:val="auto"/>
        </w:rPr>
      </w:pPr>
    </w:p>
    <w:p>
      <w:pPr>
        <w:ind w:right="60" w:firstLine="233"/>
        <w:spacing w:after="0" w:line="277" w:lineRule="auto"/>
        <w:tabs>
          <w:tab w:leader="none" w:pos="40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Capital Adjustments</w:t>
      </w:r>
      <w:r>
        <w:rPr>
          <w:rFonts w:ascii="Arial" w:cs="Arial" w:eastAsia="Arial" w:hAnsi="Arial"/>
          <w:sz w:val="18"/>
          <w:szCs w:val="18"/>
          <w:color w:val="auto"/>
        </w:rPr>
        <w:t>. The number of Covered Shares and the Exercise Price are subject to adjustment, in accordance with Section 4.2 of the Plan, on an equitable and proportionate basis in the manner deemed appropriate by the Committee.</w:t>
      </w:r>
    </w:p>
    <w:p>
      <w:pPr>
        <w:spacing w:after="0" w:line="129" w:lineRule="exact"/>
        <w:rPr>
          <w:rFonts w:ascii="Arial" w:cs="Arial" w:eastAsia="Arial" w:hAnsi="Arial"/>
          <w:sz w:val="18"/>
          <w:szCs w:val="18"/>
          <w:color w:val="auto"/>
        </w:rPr>
      </w:pPr>
    </w:p>
    <w:p>
      <w:pPr>
        <w:ind w:left="5660" w:hanging="96"/>
        <w:spacing w:after="0"/>
        <w:tabs>
          <w:tab w:leader="none" w:pos="5660" w:val="left"/>
        </w:tabs>
        <w:numPr>
          <w:ilvl w:val="3"/>
          <w:numId w:val="2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8" w:name="page59"/>
    <w:bookmarkEnd w:id="58"/>
    <w:p>
      <w:pPr>
        <w:ind w:left="412" w:hanging="187"/>
        <w:spacing w:after="0"/>
        <w:tabs>
          <w:tab w:leader="none" w:pos="41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 w:right="40" w:firstLine="683"/>
        <w:spacing w:after="0" w:line="273" w:lineRule="auto"/>
        <w:tabs>
          <w:tab w:leader="none" w:pos="912" w:val="left"/>
        </w:tabs>
        <w:numPr>
          <w:ilvl w:val="2"/>
          <w:numId w:val="2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To the extent exercisable and not expired or forfeited, cancelled or otherwise terminated, the Option shall be exercised, in whole or in part, by the delivery to the Third Party Administrator, unless the Company notifies the Optionee otherwise, (i) of written notice of such exercise, in such form as the Third Party Administrator or the Committee may from time to time prescribe, (ii) accompanied (A) by full payment of the Exercise Price with respect to that portion of the Option being exercised, as provided in Paragraph 3(e) of these Terms and Conditions of Nonqualified Stock Option, or (B) by the delivery of irrevocable instructions to the Third Party Administrator or to the Optionee’s broker to promptly sell all or a portion of the Covered Shares being exercised and to deliver or cause to be delivered to the Company cash equal to the Exercise Price.</w:t>
      </w:r>
    </w:p>
    <w:p>
      <w:pPr>
        <w:spacing w:after="0" w:line="137" w:lineRule="exact"/>
        <w:rPr>
          <w:rFonts w:ascii="Arial" w:cs="Arial" w:eastAsia="Arial" w:hAnsi="Arial"/>
          <w:sz w:val="17"/>
          <w:szCs w:val="17"/>
          <w:color w:val="auto"/>
        </w:rPr>
      </w:pPr>
    </w:p>
    <w:p>
      <w:pPr>
        <w:ind w:left="-8" w:right="140" w:firstLine="683"/>
        <w:spacing w:after="0" w:line="286" w:lineRule="auto"/>
        <w:tabs>
          <w:tab w:leader="none" w:pos="922" w:val="left"/>
        </w:tabs>
        <w:numPr>
          <w:ilvl w:val="2"/>
          <w:numId w:val="25"/>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Company’s obligation to issue or deliver shares of Common Stock upon the exercise of the Option shall be subject to the satisfaction of any applicable federal, state, local or foreign tax withholding requirements (including the Optionee’s FICA obligation). The Optionee may satisfy any such withholding obligation by any of the following means or by a combination of such means: (a) tendering a cash payment; (b) authorizing the Company or the Third Party Administrator to withhold shares of Common Stock otherwise issuable to the Optionee upon exercise of the Option; or</w:t>
      </w:r>
    </w:p>
    <w:p>
      <w:pPr>
        <w:spacing w:after="0" w:line="1" w:lineRule="exact"/>
        <w:rPr>
          <w:rFonts w:ascii="Arial" w:cs="Arial" w:eastAsia="Arial" w:hAnsi="Arial"/>
          <w:sz w:val="16"/>
          <w:szCs w:val="16"/>
          <w:color w:val="auto"/>
        </w:rPr>
      </w:pPr>
    </w:p>
    <w:p>
      <w:pPr>
        <w:ind w:left="-8" w:right="220" w:firstLine="8"/>
        <w:spacing w:after="0" w:line="255" w:lineRule="auto"/>
        <w:tabs>
          <w:tab w:leader="none" w:pos="2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delivering to the Company or the Third Party Administrator Previously-Acquired Shares. For purposes of this Paragraph 5(b), shares of Common Stock that are withheld or delivered to satisfy applicable withholding taxes shall be valued at their Fair Market Value on the date the withholding tax obligation arises.</w:t>
      </w:r>
    </w:p>
    <w:p>
      <w:pPr>
        <w:spacing w:after="0" w:line="149" w:lineRule="exact"/>
        <w:rPr>
          <w:rFonts w:ascii="Arial" w:cs="Arial" w:eastAsia="Arial" w:hAnsi="Arial"/>
          <w:sz w:val="18"/>
          <w:szCs w:val="18"/>
          <w:color w:val="auto"/>
        </w:rPr>
      </w:pPr>
    </w:p>
    <w:p>
      <w:pPr>
        <w:ind w:left="-8" w:right="100" w:firstLine="683"/>
        <w:spacing w:after="0" w:line="277" w:lineRule="auto"/>
        <w:tabs>
          <w:tab w:leader="none" w:pos="912" w:val="left"/>
        </w:tabs>
        <w:numPr>
          <w:ilvl w:val="2"/>
          <w:numId w:val="26"/>
        </w:numPr>
        <w:rPr>
          <w:rFonts w:ascii="Arial" w:cs="Arial" w:eastAsia="Arial" w:hAnsi="Arial"/>
          <w:sz w:val="18"/>
          <w:szCs w:val="18"/>
          <w:color w:val="auto"/>
        </w:rPr>
      </w:pPr>
      <w:r>
        <w:rPr>
          <w:rFonts w:ascii="Arial" w:cs="Arial" w:eastAsia="Arial" w:hAnsi="Arial"/>
          <w:sz w:val="18"/>
          <w:szCs w:val="18"/>
          <w:u w:val="single" w:color="auto"/>
          <w:color w:val="auto"/>
        </w:rPr>
        <w:t>Effect</w:t>
      </w:r>
      <w:r>
        <w:rPr>
          <w:rFonts w:ascii="Arial" w:cs="Arial" w:eastAsia="Arial" w:hAnsi="Arial"/>
          <w:sz w:val="18"/>
          <w:szCs w:val="18"/>
          <w:color w:val="auto"/>
        </w:rPr>
        <w:t>. The exercise, in whole or in part, of the Option shall cause a reduction in the number of Covered Shares equal to the number of shares of Common Stock with respect to which the Option is exercised.</w:t>
      </w:r>
    </w:p>
    <w:p>
      <w:pPr>
        <w:spacing w:after="0" w:line="143" w:lineRule="exact"/>
        <w:rPr>
          <w:rFonts w:ascii="Arial" w:cs="Arial" w:eastAsia="Arial" w:hAnsi="Arial"/>
          <w:sz w:val="18"/>
          <w:szCs w:val="18"/>
          <w:color w:val="auto"/>
        </w:rPr>
      </w:pPr>
    </w:p>
    <w:p>
      <w:pPr>
        <w:ind w:left="-8" w:right="60" w:firstLine="233"/>
        <w:spacing w:after="0" w:line="284" w:lineRule="auto"/>
        <w:tabs>
          <w:tab w:leader="none" w:pos="397"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Restriction on Exercise and Upon Shares of Common Stock Issued Upon Exercise</w:t>
      </w:r>
      <w:r>
        <w:rPr>
          <w:rFonts w:ascii="Arial" w:cs="Arial" w:eastAsia="Arial" w:hAnsi="Arial"/>
          <w:sz w:val="16"/>
          <w:szCs w:val="16"/>
          <w:color w:val="auto"/>
        </w:rPr>
        <w:t>. Notwithstanding any other provision of this Agreement, the Optionee agrees, for himself and his successors, that the Option may not be exercised at any time that the Company does not have in effect a registration statement under the Securities Act of 1933, as amended, relating to the offer of Common Stock to the Optionee under the Plan, unless the Company agrees to permit such exercise. The Optionee further agrees, for himself and his successors, that, upon the issuance of any shares of Common Stock upon the exercise of the Option, he will, upon the request of the Company, agree in writing that he is acquiring such shares for investment only and not with a view to resale, and that he will not sell, pledge or otherwise dispose of such shares so issued unless and until (a) the Company is furnished with an opinion of counsel to the effect that registration of such shares pursuant to the Securities Act of 1933, as amended, is not required by that Act and the rules and regulations thereunder;</w:t>
      </w:r>
    </w:p>
    <w:p>
      <w:pPr>
        <w:spacing w:after="0" w:line="2" w:lineRule="exact"/>
        <w:rPr>
          <w:rFonts w:ascii="Arial" w:cs="Arial" w:eastAsia="Arial" w:hAnsi="Arial"/>
          <w:sz w:val="16"/>
          <w:szCs w:val="16"/>
          <w:color w:val="auto"/>
        </w:rPr>
      </w:pPr>
    </w:p>
    <w:p>
      <w:pPr>
        <w:ind w:left="-8" w:firstLine="8"/>
        <w:spacing w:after="0" w:line="254" w:lineRule="auto"/>
        <w:tabs>
          <w:tab w:leader="none" w:pos="2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staff of the Securities and Exchange Commission has issued a “no-action” letter with respect to such disposition; or (c) such registration or notification as is, in the opinion of counsel for the Company, required for the lawful disposition of such shares has been filed by the Company and has become effective; provided, however, that the Company is not obligated hereby to file any such registration or notification. The Optionee further agrees that the Company may place a legend embodying such restriction on the certificates evidencing such shares.</w:t>
      </w:r>
    </w:p>
    <w:p>
      <w:pPr>
        <w:spacing w:after="0" w:line="149" w:lineRule="exact"/>
        <w:rPr>
          <w:rFonts w:ascii="Arial" w:cs="Arial" w:eastAsia="Arial" w:hAnsi="Arial"/>
          <w:sz w:val="18"/>
          <w:szCs w:val="18"/>
          <w:color w:val="auto"/>
        </w:rPr>
      </w:pPr>
    </w:p>
    <w:p>
      <w:pPr>
        <w:jc w:val="both"/>
        <w:ind w:left="-8" w:right="140" w:firstLine="233"/>
        <w:spacing w:after="0" w:line="264" w:lineRule="auto"/>
        <w:tabs>
          <w:tab w:leader="none" w:pos="397"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The Optionee shall have no rights as a stockholder with respect to any shares of Common Stock subject to the Option until and unless a certificate or certificates representing such shares are issued to the Optionee pursuant to this Agreement. Except as provided in Paragraph 4 of these Terms and Conditions of Nonqualified Stock Option, no adjustment shall be made</w:t>
      </w:r>
    </w:p>
    <w:p>
      <w:pPr>
        <w:spacing w:after="0" w:line="140" w:lineRule="exact"/>
        <w:rPr>
          <w:rFonts w:ascii="Arial" w:cs="Arial" w:eastAsia="Arial" w:hAnsi="Arial"/>
          <w:sz w:val="18"/>
          <w:szCs w:val="18"/>
          <w:color w:val="auto"/>
        </w:rPr>
      </w:pPr>
    </w:p>
    <w:p>
      <w:pPr>
        <w:ind w:left="5652" w:hanging="96"/>
        <w:spacing w:after="0"/>
        <w:tabs>
          <w:tab w:leader="none" w:pos="5652" w:val="left"/>
        </w:tabs>
        <w:numPr>
          <w:ilvl w:val="3"/>
          <w:numId w:val="27"/>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for dividends or other rights for which the record date is prior to the issuance of such certificate or certificates.</w:t>
      </w:r>
    </w:p>
    <w:p>
      <w:pPr>
        <w:spacing w:after="0" w:line="198" w:lineRule="exact"/>
        <w:rPr>
          <w:sz w:val="20"/>
          <w:szCs w:val="20"/>
          <w:color w:val="auto"/>
        </w:rPr>
      </w:pPr>
    </w:p>
    <w:p>
      <w:pPr>
        <w:ind w:right="160" w:firstLine="233"/>
        <w:spacing w:after="0" w:line="286" w:lineRule="auto"/>
        <w:tabs>
          <w:tab w:leader="none" w:pos="40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Neither the granting of the Option evidenced by this Agreement nor any term or provision of this Agreement shall constitute or be evidence of any understanding, express or implied, on the part of the Company or any of its Affiliates to employ the Optionee for any period. Whenever reference is made in this Agreement to the employment of the Optionee, it means employment by the Company or an Affiliate.</w:t>
      </w:r>
    </w:p>
    <w:p>
      <w:pPr>
        <w:spacing w:after="0" w:line="125" w:lineRule="exact"/>
        <w:rPr>
          <w:rFonts w:ascii="Arial" w:cs="Arial" w:eastAsia="Arial" w:hAnsi="Arial"/>
          <w:sz w:val="17"/>
          <w:szCs w:val="17"/>
          <w:color w:val="auto"/>
        </w:rPr>
      </w:pPr>
    </w:p>
    <w:p>
      <w:pPr>
        <w:ind w:right="100" w:firstLine="233"/>
        <w:spacing w:after="0" w:line="286" w:lineRule="auto"/>
        <w:tabs>
          <w:tab w:leader="none" w:pos="40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Subject to the Plan</w:t>
      </w:r>
      <w:r>
        <w:rPr>
          <w:rFonts w:ascii="Arial" w:cs="Arial" w:eastAsia="Arial" w:hAnsi="Arial"/>
          <w:sz w:val="17"/>
          <w:szCs w:val="17"/>
          <w:color w:val="auto"/>
        </w:rPr>
        <w:t>. The Option evidenced by this Agreement and the exercise thereof are subject to the terms and conditions of the Plan, which are incorporated herein by reference and made a part hereof, but the terms of the Plan shall not be considered an enlargement of any benefits under this Agreement. In addition, the Option is subject to any rules and regulations promulgated by the Committee.</w:t>
      </w:r>
    </w:p>
    <w:p>
      <w:pPr>
        <w:spacing w:after="0" w:line="125" w:lineRule="exact"/>
        <w:rPr>
          <w:rFonts w:ascii="Arial" w:cs="Arial" w:eastAsia="Arial" w:hAnsi="Arial"/>
          <w:sz w:val="17"/>
          <w:szCs w:val="17"/>
          <w:color w:val="auto"/>
        </w:rPr>
      </w:pPr>
    </w:p>
    <w:p>
      <w:pPr>
        <w:ind w:firstLine="233"/>
        <w:spacing w:after="0" w:line="277"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interpretation and enforceability of this Agreement shall be determined and governed by the laws of the State of New York without giving effect to the principles of conflicts of laws.</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120"/>
          </w:cols>
          <w:pgMar w:left="240" w:top="935" w:right="5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2005 INCENTIVE COMPENSATION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AWARD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COVERED SHARES:</w:t>
      </w:r>
    </w:p>
    <w:p>
      <w:pPr>
        <w:spacing w:after="0" w:line="1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M&amp;T Bank Corporation (the “Company”) hereby grants to the Grantee a Restricted Stock Award for that number of shares of Common Stock equal to the Covered Shares. This grant is made pursuant to the M&amp;T Bank Corporation 2005 Incentive Compensation Plan (the “Plan”) and is subject to the terms and conditions of the Plan and this Agreement. As used herein, the term “Agreement” shall mean, collectively, this cover page and the related Terms and Conditions of Restricted Stock Award delivered to the Grantee with this cover page. As used herein, the term “vest” shall mean the lapsing of the restrictions described herein and in the Plan with respect to one or more Covered Shares. Capitalized terms used in this Agreement without definition shall have the meanings assigned to them in the Plan. A copy of the Plan can be viewed and downloaded from the Company’s Intranet under the Human Resources page.</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Subject to the terms of the Plan and this Agreement, including without limitation, the Grantee’s fulfillment of the employment requirements in Paragraph 3(b) of the Terms and Conditions of Restricted Stock Award, the Covered Shares acquired hereunder shall vest in accordance with the following vesting schedule and the applicable provisions of the Plan and this Agreement:</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On</w:t>
            </w:r>
          </w:p>
        </w:tc>
        <w:tc>
          <w:tcPr>
            <w:tcW w:w="920" w:type="dxa"/>
            <w:vAlign w:val="bottom"/>
            <w:tcBorders>
              <w:bottom w:val="single" w:sz="8" w:color="auto"/>
            </w:tcBorders>
          </w:tcPr>
          <w:p>
            <w:pPr>
              <w:spacing w:after="0"/>
              <w:rPr>
                <w:sz w:val="17"/>
                <w:szCs w:val="17"/>
                <w:color w:val="auto"/>
              </w:rPr>
            </w:pPr>
          </w:p>
        </w:tc>
        <w:tc>
          <w:tcPr>
            <w:tcW w:w="9520" w:type="dxa"/>
            <w:vAlign w:val="bottom"/>
          </w:tcPr>
          <w:p>
            <w:pPr>
              <w:spacing w:after="0"/>
              <w:rPr>
                <w:sz w:val="20"/>
                <w:szCs w:val="20"/>
                <w:color w:val="auto"/>
              </w:rPr>
            </w:pPr>
            <w:r>
              <w:rPr>
                <w:rFonts w:ascii="Arial" w:cs="Arial" w:eastAsia="Arial" w:hAnsi="Arial"/>
                <w:sz w:val="18"/>
                <w:szCs w:val="18"/>
                <w:color w:val="auto"/>
                <w:w w:val="95"/>
              </w:rPr>
              <w:t>, 200___[</w:t>
            </w:r>
            <w:r>
              <w:rPr>
                <w:rFonts w:ascii="Arial" w:cs="Arial" w:eastAsia="Arial" w:hAnsi="Arial"/>
                <w:sz w:val="18"/>
                <w:szCs w:val="18"/>
                <w:i w:val="1"/>
                <w:iCs w:val="1"/>
                <w:color w:val="auto"/>
                <w:w w:val="95"/>
              </w:rPr>
              <w:t>generally 1 year from the Date of Grant</w:t>
            </w:r>
            <w:r>
              <w:rPr>
                <w:rFonts w:ascii="Arial" w:cs="Arial" w:eastAsia="Arial" w:hAnsi="Arial"/>
                <w:sz w:val="18"/>
                <w:szCs w:val="18"/>
                <w:color w:val="auto"/>
                <w:w w:val="95"/>
              </w:rPr>
              <w:t>], ___of the Covered Shares will vest [</w:t>
            </w:r>
            <w:r>
              <w:rPr>
                <w:rFonts w:ascii="Arial" w:cs="Arial" w:eastAsia="Arial" w:hAnsi="Arial"/>
                <w:sz w:val="18"/>
                <w:szCs w:val="18"/>
                <w:i w:val="1"/>
                <w:iCs w:val="1"/>
                <w:color w:val="auto"/>
                <w:w w:val="95"/>
              </w:rPr>
              <w:t>generally 10% of the Covered Shares</w:t>
            </w:r>
            <w:r>
              <w:rPr>
                <w:rFonts w:ascii="Arial" w:cs="Arial" w:eastAsia="Arial" w:hAnsi="Arial"/>
                <w:sz w:val="18"/>
                <w:szCs w:val="18"/>
                <w:color w:val="auto"/>
                <w:w w:val="95"/>
              </w:rPr>
              <w:t>];</w:t>
            </w:r>
          </w:p>
        </w:tc>
      </w:tr>
      <w:tr>
        <w:trPr>
          <w:trHeight w:val="41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On</w:t>
            </w:r>
          </w:p>
        </w:tc>
        <w:tc>
          <w:tcPr>
            <w:tcW w:w="92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18"/>
                <w:szCs w:val="18"/>
                <w:color w:val="auto"/>
                <w:w w:val="91"/>
              </w:rPr>
              <w:t>, 200___[</w:t>
            </w:r>
            <w:r>
              <w:rPr>
                <w:rFonts w:ascii="Arial" w:cs="Arial" w:eastAsia="Arial" w:hAnsi="Arial"/>
                <w:sz w:val="18"/>
                <w:szCs w:val="18"/>
                <w:i w:val="1"/>
                <w:iCs w:val="1"/>
                <w:color w:val="auto"/>
                <w:w w:val="91"/>
              </w:rPr>
              <w:t>generally 2 years from the Date of Grant</w:t>
            </w:r>
            <w:r>
              <w:rPr>
                <w:rFonts w:ascii="Arial" w:cs="Arial" w:eastAsia="Arial" w:hAnsi="Arial"/>
                <w:sz w:val="18"/>
                <w:szCs w:val="18"/>
                <w:color w:val="auto"/>
                <w:w w:val="91"/>
              </w:rPr>
              <w:t>], an additional ___of the Covered Shares will vest [</w:t>
            </w:r>
            <w:r>
              <w:rPr>
                <w:rFonts w:ascii="Arial" w:cs="Arial" w:eastAsia="Arial" w:hAnsi="Arial"/>
                <w:sz w:val="18"/>
                <w:szCs w:val="18"/>
                <w:i w:val="1"/>
                <w:iCs w:val="1"/>
                <w:color w:val="auto"/>
                <w:w w:val="91"/>
              </w:rPr>
              <w:t>generally 20% of the Covered</w:t>
            </w:r>
          </w:p>
        </w:tc>
      </w:tr>
      <w:tr>
        <w:trPr>
          <w:trHeight w:val="20"/>
        </w:trPr>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r>
      <w:tr>
        <w:trPr>
          <w:trHeight w:val="237"/>
        </w:trPr>
        <w:tc>
          <w:tcPr>
            <w:tcW w:w="26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w:t>
            </w:r>
          </w:p>
        </w:tc>
        <w:tc>
          <w:tcPr>
            <w:tcW w:w="9520" w:type="dxa"/>
            <w:vAlign w:val="bottom"/>
          </w:tcPr>
          <w:p>
            <w:pPr>
              <w:spacing w:after="0"/>
              <w:rPr>
                <w:sz w:val="20"/>
                <w:szCs w:val="20"/>
                <w:color w:val="auto"/>
              </w:rPr>
            </w:pPr>
          </w:p>
        </w:tc>
      </w:tr>
      <w:tr>
        <w:trPr>
          <w:trHeight w:val="39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On</w:t>
            </w:r>
          </w:p>
        </w:tc>
        <w:tc>
          <w:tcPr>
            <w:tcW w:w="920" w:type="dxa"/>
            <w:vAlign w:val="bottom"/>
            <w:tcBorders>
              <w:bottom w:val="single" w:sz="8" w:color="auto"/>
            </w:tcBorders>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18"/>
                <w:szCs w:val="18"/>
                <w:color w:val="auto"/>
                <w:w w:val="97"/>
              </w:rPr>
              <w:t>, 200___[</w:t>
            </w:r>
            <w:r>
              <w:rPr>
                <w:rFonts w:ascii="Arial" w:cs="Arial" w:eastAsia="Arial" w:hAnsi="Arial"/>
                <w:sz w:val="18"/>
                <w:szCs w:val="18"/>
                <w:i w:val="1"/>
                <w:iCs w:val="1"/>
                <w:color w:val="auto"/>
                <w:w w:val="97"/>
              </w:rPr>
              <w:t>generally 3 years from the Date of Grant</w:t>
            </w:r>
            <w:r>
              <w:rPr>
                <w:rFonts w:ascii="Arial" w:cs="Arial" w:eastAsia="Arial" w:hAnsi="Arial"/>
                <w:sz w:val="18"/>
                <w:szCs w:val="18"/>
                <w:color w:val="auto"/>
                <w:w w:val="97"/>
              </w:rPr>
              <w:t>], the remaining ___of the Covered Shares will vest [</w:t>
            </w:r>
            <w:r>
              <w:rPr>
                <w:rFonts w:ascii="Arial" w:cs="Arial" w:eastAsia="Arial" w:hAnsi="Arial"/>
                <w:sz w:val="18"/>
                <w:szCs w:val="18"/>
                <w:i w:val="1"/>
                <w:iCs w:val="1"/>
                <w:color w:val="auto"/>
                <w:w w:val="97"/>
              </w:rPr>
              <w:t>generally 30% of the</w:t>
            </w:r>
          </w:p>
        </w:tc>
      </w:tr>
      <w:tr>
        <w:trPr>
          <w:trHeight w:val="237"/>
        </w:trPr>
        <w:tc>
          <w:tcPr>
            <w:tcW w:w="260" w:type="dxa"/>
            <w:vAlign w:val="bottom"/>
          </w:tcPr>
          <w:p>
            <w:pPr>
              <w:spacing w:after="0"/>
              <w:rPr>
                <w:sz w:val="20"/>
                <w:szCs w:val="20"/>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i w:val="1"/>
                <w:iCs w:val="1"/>
                <w:color w:val="auto"/>
              </w:rPr>
              <w:t>Covered Shares</w:t>
            </w:r>
            <w:r>
              <w:rPr>
                <w:rFonts w:ascii="Arial" w:cs="Arial" w:eastAsia="Arial" w:hAnsi="Arial"/>
                <w:sz w:val="18"/>
                <w:szCs w:val="18"/>
                <w:color w:val="auto"/>
              </w:rPr>
              <w:t>];</w:t>
            </w:r>
          </w:p>
        </w:tc>
      </w:tr>
      <w:tr>
        <w:trPr>
          <w:trHeight w:val="39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On</w:t>
            </w:r>
          </w:p>
        </w:tc>
        <w:tc>
          <w:tcPr>
            <w:tcW w:w="92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18"/>
                <w:szCs w:val="18"/>
                <w:color w:val="auto"/>
                <w:w w:val="91"/>
              </w:rPr>
              <w:t>, 200___[</w:t>
            </w:r>
            <w:r>
              <w:rPr>
                <w:rFonts w:ascii="Arial" w:cs="Arial" w:eastAsia="Arial" w:hAnsi="Arial"/>
                <w:sz w:val="18"/>
                <w:szCs w:val="18"/>
                <w:i w:val="1"/>
                <w:iCs w:val="1"/>
                <w:color w:val="auto"/>
                <w:w w:val="91"/>
              </w:rPr>
              <w:t>generally 4 years from the Date of Grant</w:t>
            </w:r>
            <w:r>
              <w:rPr>
                <w:rFonts w:ascii="Arial" w:cs="Arial" w:eastAsia="Arial" w:hAnsi="Arial"/>
                <w:sz w:val="18"/>
                <w:szCs w:val="18"/>
                <w:color w:val="auto"/>
                <w:w w:val="91"/>
              </w:rPr>
              <w:t>], an additional ___of the Covered Shares will vest [</w:t>
            </w:r>
            <w:r>
              <w:rPr>
                <w:rFonts w:ascii="Arial" w:cs="Arial" w:eastAsia="Arial" w:hAnsi="Arial"/>
                <w:sz w:val="18"/>
                <w:szCs w:val="18"/>
                <w:i w:val="1"/>
                <w:iCs w:val="1"/>
                <w:color w:val="auto"/>
                <w:w w:val="91"/>
              </w:rPr>
              <w:t>generally 40% of the Covered</w:t>
            </w:r>
          </w:p>
        </w:tc>
      </w:tr>
      <w:tr>
        <w:trPr>
          <w:trHeight w:val="20"/>
        </w:trPr>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r>
      <w:tr>
        <w:trPr>
          <w:trHeight w:val="237"/>
        </w:trPr>
        <w:tc>
          <w:tcPr>
            <w:tcW w:w="26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w:t>
            </w:r>
          </w:p>
        </w:tc>
        <w:tc>
          <w:tcPr>
            <w:tcW w:w="952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20" w:type="dxa"/>
            <w:vAlign w:val="bottom"/>
          </w:tcPr>
          <w:p>
            <w:pPr>
              <w:ind w:left="3720"/>
              <w:spacing w:after="0"/>
              <w:rPr>
                <w:sz w:val="20"/>
                <w:szCs w:val="20"/>
                <w:color w:val="auto"/>
              </w:rPr>
            </w:pPr>
            <w:r>
              <w:rPr>
                <w:rFonts w:ascii="Arial" w:cs="Arial" w:eastAsia="Arial" w:hAnsi="Arial"/>
                <w:sz w:val="18"/>
                <w:szCs w:val="18"/>
                <w:b w:val="1"/>
                <w:bCs w:val="1"/>
                <w:color w:val="auto"/>
              </w:rPr>
              <w:t>OR</w:t>
            </w:r>
          </w:p>
        </w:tc>
      </w:tr>
      <w:tr>
        <w:trPr>
          <w:trHeight w:val="392"/>
        </w:trPr>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On</w:t>
            </w:r>
          </w:p>
        </w:tc>
        <w:tc>
          <w:tcPr>
            <w:tcW w:w="920" w:type="dxa"/>
            <w:vAlign w:val="bottom"/>
            <w:tcBorders>
              <w:bottom w:val="single" w:sz="8" w:color="auto"/>
            </w:tcBorders>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18"/>
                <w:szCs w:val="18"/>
                <w:color w:val="auto"/>
                <w:w w:val="93"/>
              </w:rPr>
              <w:t>, 200___[</w:t>
            </w:r>
            <w:r>
              <w:rPr>
                <w:rFonts w:ascii="Arial" w:cs="Arial" w:eastAsia="Arial" w:hAnsi="Arial"/>
                <w:sz w:val="18"/>
                <w:szCs w:val="18"/>
                <w:i w:val="1"/>
                <w:iCs w:val="1"/>
                <w:color w:val="auto"/>
                <w:w w:val="93"/>
              </w:rPr>
              <w:t>generally 3 years from the Date of Grant</w:t>
            </w:r>
            <w:r>
              <w:rPr>
                <w:rFonts w:ascii="Arial" w:cs="Arial" w:eastAsia="Arial" w:hAnsi="Arial"/>
                <w:sz w:val="18"/>
                <w:szCs w:val="18"/>
                <w:color w:val="auto"/>
                <w:w w:val="93"/>
              </w:rPr>
              <w:t>], ___of the Covered Shares will vest [</w:t>
            </w:r>
            <w:r>
              <w:rPr>
                <w:rFonts w:ascii="Arial" w:cs="Arial" w:eastAsia="Arial" w:hAnsi="Arial"/>
                <w:sz w:val="18"/>
                <w:szCs w:val="18"/>
                <w:i w:val="1"/>
                <w:iCs w:val="1"/>
                <w:color w:val="auto"/>
                <w:w w:val="93"/>
              </w:rPr>
              <w:t>generally 100% of the Covered Shares</w:t>
            </w:r>
            <w:r>
              <w:rPr>
                <w:rFonts w:ascii="Arial" w:cs="Arial" w:eastAsia="Arial" w:hAnsi="Arial"/>
                <w:sz w:val="18"/>
                <w:szCs w:val="18"/>
                <w:color w:val="auto"/>
                <w:w w:val="93"/>
              </w:rPr>
              <w:t>].</w:t>
            </w:r>
          </w:p>
        </w:tc>
      </w:tr>
    </w:tbl>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unvested portion of the Grantee’s Restricted Stock Award is subject to forfeiture under Paragraph 3(b) of the Terms and Conditions of Restricted Stock Award. The foregoing vesting schedule may be accelerated under the circumstances described in Paragraph 3(c) of the Terms and Conditions of Restricted Stock Award.</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Agreement to be signed on its behalf effective as of the Date of Grant.</w:t>
      </w:r>
    </w:p>
    <w:p>
      <w:pPr>
        <w:spacing w:after="0" w:line="200" w:lineRule="exact"/>
        <w:rPr>
          <w:sz w:val="20"/>
          <w:szCs w:val="20"/>
          <w:color w:val="auto"/>
        </w:rPr>
      </w:pPr>
    </w:p>
    <w:p>
      <w:pPr>
        <w:spacing w:after="0" w:line="20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M&amp;T BANK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80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1" w:name="page62"/>
    <w:bookmarkEnd w:id="61"/>
    <w:p>
      <w:pPr>
        <w:jc w:val="center"/>
        <w:ind w:right="-31"/>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2005 INCENTIVE COMPENSATION PLAN</w:t>
      </w:r>
    </w:p>
    <w:p>
      <w:pPr>
        <w:spacing w:after="0" w:line="184"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  *  *</w:t>
      </w:r>
    </w:p>
    <w:p>
      <w:pPr>
        <w:spacing w:after="0" w:line="185" w:lineRule="exact"/>
        <w:rPr>
          <w:sz w:val="20"/>
          <w:szCs w:val="20"/>
          <w:color w:val="auto"/>
        </w:rPr>
      </w:pPr>
    </w:p>
    <w:p>
      <w:pPr>
        <w:ind w:left="4612"/>
        <w:spacing w:after="0"/>
        <w:rPr>
          <w:sz w:val="20"/>
          <w:szCs w:val="20"/>
          <w:color w:val="auto"/>
        </w:rPr>
      </w:pPr>
      <w:r>
        <w:rPr>
          <w:rFonts w:ascii="Arial" w:cs="Arial" w:eastAsia="Arial" w:hAnsi="Arial"/>
          <w:sz w:val="18"/>
          <w:szCs w:val="18"/>
          <w:color w:val="auto"/>
        </w:rPr>
        <w:t>TERMS AND CONDITIONS</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RESTRICTED STOCK AWARD</w:t>
      </w:r>
    </w:p>
    <w:p>
      <w:pPr>
        <w:spacing w:after="0" w:line="170" w:lineRule="exact"/>
        <w:rPr>
          <w:sz w:val="20"/>
          <w:szCs w:val="20"/>
          <w:color w:val="auto"/>
        </w:rPr>
      </w:pPr>
    </w:p>
    <w:p>
      <w:pPr>
        <w:ind w:left="-8" w:right="360" w:firstLine="233"/>
        <w:spacing w:after="0" w:line="277" w:lineRule="auto"/>
        <w:tabs>
          <w:tab w:leader="none" w:pos="397"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except where the context otherwise indicates, the following definitions apply. Capitalized terms used herein without definition shall have the meanings assigned to them in the Plan.</w:t>
      </w:r>
    </w:p>
    <w:p>
      <w:pPr>
        <w:spacing w:after="0" w:line="143" w:lineRule="exact"/>
        <w:rPr>
          <w:rFonts w:ascii="Arial" w:cs="Arial" w:eastAsia="Arial" w:hAnsi="Arial"/>
          <w:sz w:val="18"/>
          <w:szCs w:val="18"/>
          <w:color w:val="auto"/>
        </w:rPr>
      </w:pPr>
    </w:p>
    <w:p>
      <w:pPr>
        <w:ind w:left="-8" w:right="40" w:firstLine="683"/>
        <w:spacing w:after="0" w:line="277" w:lineRule="auto"/>
        <w:tabs>
          <w:tab w:leader="none" w:pos="912" w:val="left"/>
        </w:tabs>
        <w:numPr>
          <w:ilvl w:val="2"/>
          <w:numId w:val="29"/>
        </w:numPr>
        <w:rPr>
          <w:rFonts w:ascii="Arial" w:cs="Arial" w:eastAsia="Arial" w:hAnsi="Arial"/>
          <w:sz w:val="18"/>
          <w:szCs w:val="18"/>
          <w:color w:val="auto"/>
        </w:rPr>
      </w:pPr>
      <w:r>
        <w:rPr>
          <w:rFonts w:ascii="Arial" w:cs="Arial" w:eastAsia="Arial" w:hAnsi="Arial"/>
          <w:sz w:val="18"/>
          <w:szCs w:val="18"/>
          <w:color w:val="auto"/>
        </w:rPr>
        <w:t>“Covered Shares” means the shares of Common Stock subject to the Restricted Stock Award set forth as the “Covered Shares” on the cover page of this Agreement.</w:t>
      </w:r>
    </w:p>
    <w:p>
      <w:pPr>
        <w:spacing w:after="0" w:line="129" w:lineRule="exact"/>
        <w:rPr>
          <w:rFonts w:ascii="Arial" w:cs="Arial" w:eastAsia="Arial" w:hAnsi="Arial"/>
          <w:sz w:val="18"/>
          <w:szCs w:val="18"/>
          <w:color w:val="auto"/>
        </w:rPr>
      </w:pPr>
    </w:p>
    <w:p>
      <w:pPr>
        <w:ind w:left="932" w:hanging="257"/>
        <w:spacing w:after="0"/>
        <w:tabs>
          <w:tab w:leader="none" w:pos="932" w:val="left"/>
        </w:tabs>
        <w:numPr>
          <w:ilvl w:val="2"/>
          <w:numId w:val="29"/>
        </w:numPr>
        <w:rPr>
          <w:rFonts w:ascii="Arial" w:cs="Arial" w:eastAsia="Arial" w:hAnsi="Arial"/>
          <w:sz w:val="18"/>
          <w:szCs w:val="18"/>
          <w:color w:val="auto"/>
        </w:rPr>
      </w:pPr>
      <w:r>
        <w:rPr>
          <w:rFonts w:ascii="Arial" w:cs="Arial" w:eastAsia="Arial" w:hAnsi="Arial"/>
          <w:sz w:val="18"/>
          <w:szCs w:val="18"/>
          <w:color w:val="auto"/>
        </w:rPr>
        <w:t>“Date of Grant” means the date set forth as the “Date of Grant” on the cover page of this Agreement.</w:t>
      </w:r>
    </w:p>
    <w:p>
      <w:pPr>
        <w:spacing w:after="0" w:line="184" w:lineRule="exact"/>
        <w:rPr>
          <w:rFonts w:ascii="Arial" w:cs="Arial" w:eastAsia="Arial" w:hAnsi="Arial"/>
          <w:sz w:val="18"/>
          <w:szCs w:val="18"/>
          <w:color w:val="auto"/>
        </w:rPr>
      </w:pPr>
    </w:p>
    <w:p>
      <w:pPr>
        <w:ind w:left="912" w:hanging="237"/>
        <w:spacing w:after="0"/>
        <w:tabs>
          <w:tab w:leader="none" w:pos="912" w:val="left"/>
        </w:tabs>
        <w:numPr>
          <w:ilvl w:val="2"/>
          <w:numId w:val="29"/>
        </w:numPr>
        <w:rPr>
          <w:rFonts w:ascii="Arial" w:cs="Arial" w:eastAsia="Arial" w:hAnsi="Arial"/>
          <w:sz w:val="18"/>
          <w:szCs w:val="18"/>
          <w:color w:val="auto"/>
        </w:rPr>
      </w:pPr>
      <w:r>
        <w:rPr>
          <w:rFonts w:ascii="Arial" w:cs="Arial" w:eastAsia="Arial" w:hAnsi="Arial"/>
          <w:sz w:val="18"/>
          <w:szCs w:val="18"/>
          <w:color w:val="auto"/>
        </w:rPr>
        <w:t>“Grantee” means the person identified as the “Grantee” on the cover page of this Agreement.</w:t>
      </w:r>
    </w:p>
    <w:p>
      <w:pPr>
        <w:spacing w:after="0" w:line="198" w:lineRule="exact"/>
        <w:rPr>
          <w:rFonts w:ascii="Arial" w:cs="Arial" w:eastAsia="Arial" w:hAnsi="Arial"/>
          <w:sz w:val="18"/>
          <w:szCs w:val="18"/>
          <w:color w:val="auto"/>
        </w:rPr>
      </w:pPr>
    </w:p>
    <w:p>
      <w:pPr>
        <w:ind w:left="932" w:hanging="257"/>
        <w:spacing w:after="0"/>
        <w:tabs>
          <w:tab w:leader="none" w:pos="932" w:val="left"/>
        </w:tabs>
        <w:numPr>
          <w:ilvl w:val="2"/>
          <w:numId w:val="29"/>
        </w:numPr>
        <w:rPr>
          <w:rFonts w:ascii="Arial" w:cs="Arial" w:eastAsia="Arial" w:hAnsi="Arial"/>
          <w:sz w:val="18"/>
          <w:szCs w:val="18"/>
          <w:color w:val="auto"/>
        </w:rPr>
      </w:pPr>
      <w:r>
        <w:rPr>
          <w:rFonts w:ascii="Arial" w:cs="Arial" w:eastAsia="Arial" w:hAnsi="Arial"/>
          <w:sz w:val="18"/>
          <w:szCs w:val="18"/>
          <w:color w:val="auto"/>
        </w:rPr>
        <w:t>“Restricted Stock Award” means the Restricted Stock granted to the Grantee on the cover page of this Agreement.</w:t>
      </w:r>
    </w:p>
    <w:p>
      <w:pPr>
        <w:spacing w:after="0" w:line="184" w:lineRule="exact"/>
        <w:rPr>
          <w:rFonts w:ascii="Arial" w:cs="Arial" w:eastAsia="Arial" w:hAnsi="Arial"/>
          <w:sz w:val="18"/>
          <w:szCs w:val="18"/>
          <w:color w:val="auto"/>
        </w:rPr>
      </w:pPr>
    </w:p>
    <w:p>
      <w:pPr>
        <w:ind w:left="-8" w:right="160" w:firstLine="683"/>
        <w:spacing w:after="0" w:line="277" w:lineRule="auto"/>
        <w:tabs>
          <w:tab w:leader="none" w:pos="912"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“Third Party Administrator” means the entity to which the Committee has delegated its authority to administer the issuance of Restricted Stock granted under the Plan.</w:t>
      </w:r>
    </w:p>
    <w:p>
      <w:pPr>
        <w:spacing w:after="0" w:line="129" w:lineRule="exact"/>
        <w:rPr>
          <w:rFonts w:ascii="Arial" w:cs="Arial" w:eastAsia="Arial" w:hAnsi="Arial"/>
          <w:sz w:val="18"/>
          <w:szCs w:val="18"/>
          <w:color w:val="auto"/>
        </w:rPr>
      </w:pPr>
    </w:p>
    <w:p>
      <w:pPr>
        <w:ind w:left="412" w:hanging="187"/>
        <w:spacing w:after="0"/>
        <w:tabs>
          <w:tab w:leader="none" w:pos="412"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Award</w:t>
      </w:r>
      <w:r>
        <w:rPr>
          <w:rFonts w:ascii="Arial" w:cs="Arial" w:eastAsia="Arial" w:hAnsi="Arial"/>
          <w:sz w:val="17"/>
          <w:szCs w:val="17"/>
          <w:color w:val="auto"/>
        </w:rPr>
        <w:t>. The Restricted Stock Award granted hereby is granted in accordance with the cover page of this Agreement.</w:t>
      </w:r>
    </w:p>
    <w:p>
      <w:pPr>
        <w:spacing w:after="0" w:line="209" w:lineRule="exact"/>
        <w:rPr>
          <w:rFonts w:ascii="Arial" w:cs="Arial" w:eastAsia="Arial" w:hAnsi="Arial"/>
          <w:sz w:val="17"/>
          <w:szCs w:val="17"/>
          <w:color w:val="auto"/>
        </w:rPr>
      </w:pPr>
    </w:p>
    <w:p>
      <w:pPr>
        <w:ind w:left="412" w:hanging="187"/>
        <w:spacing w:after="0"/>
        <w:tabs>
          <w:tab w:leader="none" w:pos="41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Terms of the Restricted Stock Award</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8" w:right="160" w:firstLine="683"/>
        <w:spacing w:after="0" w:line="308" w:lineRule="auto"/>
        <w:tabs>
          <w:tab w:leader="none" w:pos="912" w:val="left"/>
        </w:tabs>
        <w:numPr>
          <w:ilvl w:val="2"/>
          <w:numId w:val="29"/>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Award</w:t>
      </w:r>
      <w:r>
        <w:rPr>
          <w:rFonts w:ascii="Arial" w:cs="Arial" w:eastAsia="Arial" w:hAnsi="Arial"/>
          <w:sz w:val="17"/>
          <w:szCs w:val="17"/>
          <w:color w:val="auto"/>
        </w:rPr>
        <w:t>. Shares of Restricted Stock are actual shares of Common Stock issued to the Grantee, and shall be evidenced in such manner as the Committee may deem appropriate, including book-entry registration or issuance of one or more stock certificates.</w:t>
      </w:r>
    </w:p>
    <w:p>
      <w:pPr>
        <w:spacing w:after="0" w:line="106" w:lineRule="exact"/>
        <w:rPr>
          <w:rFonts w:ascii="Arial" w:cs="Arial" w:eastAsia="Arial" w:hAnsi="Arial"/>
          <w:sz w:val="17"/>
          <w:szCs w:val="17"/>
          <w:color w:val="auto"/>
        </w:rPr>
      </w:pPr>
    </w:p>
    <w:p>
      <w:pPr>
        <w:ind w:left="-8" w:firstLine="683"/>
        <w:spacing w:after="0" w:line="285" w:lineRule="auto"/>
        <w:tabs>
          <w:tab w:leader="none" w:pos="922" w:val="left"/>
        </w:tabs>
        <w:numPr>
          <w:ilvl w:val="2"/>
          <w:numId w:val="29"/>
        </w:numPr>
        <w:rPr>
          <w:rFonts w:ascii="Arial" w:cs="Arial" w:eastAsia="Arial" w:hAnsi="Arial"/>
          <w:sz w:val="16"/>
          <w:szCs w:val="16"/>
          <w:color w:val="auto"/>
        </w:rPr>
      </w:pPr>
      <w:r>
        <w:rPr>
          <w:rFonts w:ascii="Arial" w:cs="Arial" w:eastAsia="Arial" w:hAnsi="Arial"/>
          <w:sz w:val="16"/>
          <w:szCs w:val="16"/>
          <w:u w:val="single" w:color="auto"/>
          <w:color w:val="auto"/>
        </w:rPr>
        <w:t>Employment Requirement; Forfeiture</w:t>
      </w:r>
      <w:r>
        <w:rPr>
          <w:rFonts w:ascii="Arial" w:cs="Arial" w:eastAsia="Arial" w:hAnsi="Arial"/>
          <w:sz w:val="16"/>
          <w:szCs w:val="16"/>
          <w:color w:val="auto"/>
        </w:rPr>
        <w:t>. Except as provided herein, the Grantee must remain continuously employed by the Company or one of its Affiliates since the Date of Grant and until the Restricted Stock Award (or a portion thereof) has vested in order to retain the Restricted Stock Award (or portion thereof, as the case may be). If the Grantee’s employment with the Company or an Affiliate terminates for any reason, including for Cause or as a result of the Grantee’s Resignation (other than due to death, Retirement or Disability), before the Grantee’s entire Restricted Stock Award has fully vested, the Grantee will forfeit that portion of the Covered Shares that have not vested as of the date of the Grantee’s termination of employment. The Grantee hereby</w:t>
      </w:r>
    </w:p>
    <w:p>
      <w:pPr>
        <w:spacing w:after="0" w:line="2" w:lineRule="exact"/>
        <w:rPr>
          <w:rFonts w:ascii="Arial" w:cs="Arial" w:eastAsia="Arial" w:hAnsi="Arial"/>
          <w:sz w:val="16"/>
          <w:szCs w:val="16"/>
          <w:color w:val="auto"/>
        </w:rPr>
      </w:pPr>
    </w:p>
    <w:p>
      <w:pPr>
        <w:ind w:left="212" w:hanging="212"/>
        <w:spacing w:after="0"/>
        <w:tabs>
          <w:tab w:leader="none" w:pos="2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acknowledges that the Covered Shares may be held in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62" w:name="page63"/>
    <w:bookmarkEnd w:id="62"/>
    <w:p>
      <w:pPr>
        <w:spacing w:after="0" w:line="257" w:lineRule="auto"/>
        <w:rPr>
          <w:sz w:val="20"/>
          <w:szCs w:val="20"/>
          <w:color w:val="auto"/>
        </w:rPr>
      </w:pPr>
      <w:r>
        <w:rPr>
          <w:rFonts w:ascii="Arial" w:cs="Arial" w:eastAsia="Arial" w:hAnsi="Arial"/>
          <w:sz w:val="18"/>
          <w:szCs w:val="18"/>
          <w:color w:val="auto"/>
        </w:rPr>
        <w:t>entry form on the books of Registrar and Transfer Company (or another institution specified by the Company), and irrevocably authorizes the Company to take such actions as may be necessary or appropriate to effectuate a transfer of the record ownership of any such shares that are unvested and forfeited hereunder, (ii) agrees to deliver to the Company, as a condition to the issuance of any stock certificates or certificates with respect to unvested Covered Shares, one or more stock powers, endorsed in blank, with respect to such shares, and (iii) agrees to sign such other powers and take such other actions as the Company may reasonably request to accomplish the transfer or forfeiture hereunder.</w:t>
      </w:r>
    </w:p>
    <w:p>
      <w:pPr>
        <w:spacing w:after="0" w:line="161" w:lineRule="exact"/>
        <w:rPr>
          <w:sz w:val="20"/>
          <w:szCs w:val="20"/>
          <w:color w:val="auto"/>
        </w:rPr>
      </w:pPr>
    </w:p>
    <w:p>
      <w:pPr>
        <w:ind w:right="60" w:firstLine="683"/>
        <w:spacing w:after="0" w:line="264" w:lineRule="auto"/>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Acceleration of Vesting</w:t>
      </w:r>
      <w:r>
        <w:rPr>
          <w:rFonts w:ascii="Arial" w:cs="Arial" w:eastAsia="Arial" w:hAnsi="Arial"/>
          <w:sz w:val="18"/>
          <w:szCs w:val="18"/>
          <w:color w:val="auto"/>
        </w:rPr>
        <w:t>. Notwithstanding the above provisions of Paragraph 3(b) and the vesting schedule on the cover page of this Agreement, the unvested portion of the Restricted Stock Award shall vest in full (i) on the date a Change in Control occurs or (ii) upon the Grantee’s termination of employment with the Company or an Affiliate due to the Grantee’s death, Retirement or Disability.</w:t>
      </w:r>
    </w:p>
    <w:p>
      <w:pPr>
        <w:spacing w:after="0" w:line="140" w:lineRule="exact"/>
        <w:rPr>
          <w:rFonts w:ascii="Arial" w:cs="Arial" w:eastAsia="Arial" w:hAnsi="Arial"/>
          <w:sz w:val="18"/>
          <w:szCs w:val="18"/>
          <w:color w:val="auto"/>
        </w:rPr>
      </w:pPr>
    </w:p>
    <w:p>
      <w:pPr>
        <w:ind w:right="860" w:firstLine="683"/>
        <w:spacing w:after="0" w:line="277" w:lineRule="auto"/>
        <w:tabs>
          <w:tab w:leader="none" w:pos="93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Until they have vested, Covered Shares may not be sold, transferred, pledged, assigned, or otherwise alienated or hypothecated other than by will or by the laws of descent and distribution.</w:t>
      </w:r>
    </w:p>
    <w:p>
      <w:pPr>
        <w:spacing w:after="0" w:line="129" w:lineRule="exact"/>
        <w:rPr>
          <w:rFonts w:ascii="Arial" w:cs="Arial" w:eastAsia="Arial" w:hAnsi="Arial"/>
          <w:sz w:val="18"/>
          <w:szCs w:val="18"/>
          <w:color w:val="auto"/>
        </w:rPr>
      </w:pPr>
    </w:p>
    <w:p>
      <w:pPr>
        <w:ind w:right="40" w:firstLine="233"/>
        <w:spacing w:after="0" w:line="276" w:lineRule="auto"/>
        <w:tabs>
          <w:tab w:leader="none" w:pos="40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Voting and Dividends</w:t>
      </w:r>
      <w:r>
        <w:rPr>
          <w:rFonts w:ascii="Arial" w:cs="Arial" w:eastAsia="Arial" w:hAnsi="Arial"/>
          <w:sz w:val="17"/>
          <w:szCs w:val="17"/>
          <w:color w:val="auto"/>
        </w:rPr>
        <w:t>. The Grantee shall have the right to vote unvested Covered Shares and to receive any cash dividends or cash distributions that may be paid with respect thereto. In the event of a stock dividend, stock distribution, stock split, division of shares or other corporate structure change which results in the issuance of additional shares with respect to any unvested Covered Share, such additional shares will be subject to the restrictions of this Restricted Stock Award in the same manner and for so long as such unvested Covered Share remains subject to such restrictions, and such additional shares shall be promptly forfeited to the Company if and when such unvested Covered Share is so forfeited.</w:t>
      </w:r>
    </w:p>
    <w:p>
      <w:pPr>
        <w:spacing w:after="0" w:line="145" w:lineRule="exact"/>
        <w:rPr>
          <w:rFonts w:ascii="Arial" w:cs="Arial" w:eastAsia="Arial" w:hAnsi="Arial"/>
          <w:sz w:val="17"/>
          <w:szCs w:val="17"/>
          <w:color w:val="auto"/>
        </w:rPr>
      </w:pPr>
    </w:p>
    <w:p>
      <w:pPr>
        <w:ind w:right="740" w:firstLine="233"/>
        <w:spacing w:after="0" w:line="277" w:lineRule="auto"/>
        <w:tabs>
          <w:tab w:leader="none" w:pos="40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Capital Adjustments</w:t>
      </w:r>
      <w:r>
        <w:rPr>
          <w:rFonts w:ascii="Arial" w:cs="Arial" w:eastAsia="Arial" w:hAnsi="Arial"/>
          <w:sz w:val="18"/>
          <w:szCs w:val="18"/>
          <w:color w:val="auto"/>
        </w:rPr>
        <w:t>. The number of Covered Shares is subject to adjustment, in accordance with Section 4.2 of the Plan, on an equitable and proportionate basis in the manner deemed appropriate by the Committee.</w:t>
      </w:r>
    </w:p>
    <w:p>
      <w:pPr>
        <w:spacing w:after="0" w:line="129" w:lineRule="exact"/>
        <w:rPr>
          <w:rFonts w:ascii="Arial" w:cs="Arial" w:eastAsia="Arial" w:hAnsi="Arial"/>
          <w:sz w:val="18"/>
          <w:szCs w:val="18"/>
          <w:color w:val="auto"/>
        </w:rPr>
      </w:pPr>
    </w:p>
    <w:p>
      <w:pPr>
        <w:ind w:right="380" w:firstLine="233"/>
        <w:spacing w:after="0" w:line="264" w:lineRule="auto"/>
        <w:tabs>
          <w:tab w:leader="none" w:pos="40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Stock Certificates; Legend</w:t>
      </w:r>
      <w:r>
        <w:rPr>
          <w:rFonts w:ascii="Arial" w:cs="Arial" w:eastAsia="Arial" w:hAnsi="Arial"/>
          <w:sz w:val="18"/>
          <w:szCs w:val="18"/>
          <w:color w:val="auto"/>
        </w:rPr>
        <w:t>. Any stock certificate or certificates representing unvested Covered Shares shall be held by the Company, and any such certificate (and to the extent determined necessary or appropriate by the Company, any other evidence of ownership of unvested Covered Shares) shall contain the following legend:</w:t>
      </w:r>
    </w:p>
    <w:p>
      <w:pPr>
        <w:spacing w:after="0" w:line="141" w:lineRule="exact"/>
        <w:rPr>
          <w:sz w:val="20"/>
          <w:szCs w:val="20"/>
          <w:color w:val="auto"/>
        </w:rPr>
      </w:pPr>
    </w:p>
    <w:p>
      <w:pPr>
        <w:ind w:left="700" w:right="300"/>
        <w:spacing w:after="0" w:line="257"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M&amp;T BANK CORPORATION 2005 INCENTIVE COMPENSATION PLAN AND A RESTRICTED STOCK AWARD AGREEMENT ENTERED INTO BETWEEN THE REGISTERED OWNER HEREOF AND M&amp;T BANK CORPORATION. COPIES OF SUCH PLAN AND AGREEMENT ARE ON FILE IN THE OFFICES OF M&amp;T BANK CORPORATION.</w:t>
      </w:r>
    </w:p>
    <w:p>
      <w:pPr>
        <w:spacing w:after="0" w:line="1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soon as administratively feasible after the vesting of Covered Shares (or any portion thereof) and the Grantee’s payment of any applicable taxes, the Company will deliver to the Grantee evidence of the Grantee’s ownership (by book entry or certificate) of the Covered Shares that have vested and for which any applicable taxes have been paid, without the aforesaid legend.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63" w:name="page64"/>
    <w:bookmarkEnd w:id="63"/>
    <w:p>
      <w:pPr>
        <w:ind w:left="187" w:hanging="187"/>
        <w:spacing w:after="0"/>
        <w:tabs>
          <w:tab w:leader="none" w:pos="18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233" w:firstLine="683"/>
        <w:spacing w:after="0" w:line="264" w:lineRule="auto"/>
        <w:tabs>
          <w:tab w:leader="none" w:pos="687"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Grantee expressly acknowledges that the vesting of Covered Shares acquired under this Restricted Stock Award will give rise to ordinary income that is subject to tax withholding. The amount of income realized will be the Fair Market Value of the Covered Shares upon vesting when the substantial risk of forfeiture lapses.</w:t>
      </w:r>
    </w:p>
    <w:p>
      <w:pPr>
        <w:spacing w:after="0" w:line="140" w:lineRule="exact"/>
        <w:rPr>
          <w:rFonts w:ascii="Arial" w:cs="Arial" w:eastAsia="Arial" w:hAnsi="Arial"/>
          <w:sz w:val="18"/>
          <w:szCs w:val="18"/>
          <w:color w:val="auto"/>
        </w:rPr>
      </w:pPr>
    </w:p>
    <w:p>
      <w:pPr>
        <w:ind w:left="-233" w:right="60" w:firstLine="683"/>
        <w:spacing w:after="0" w:line="255" w:lineRule="auto"/>
        <w:tabs>
          <w:tab w:leader="none" w:pos="697"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Company’s obligation to issue or deliver shares of Common Stock upon the vesting of Covered Shares that are free of restrictions shall be subject to the satisfaction of any applicable federal, state, local or foreign tax withholding requirements (including the Grantee’s FICA obligation). The Grantee may satisfy any such withholding obligation by any of the following means or by a combination of such means: (a) tendering a cash payment; (b) authorizing the Company or the Third Party Administrator to cancel or sell shares of Common Stock otherwise issuable to the Grantee upon vesting of Covered Shares; or (c) delivering to the Company or the Third Party Administrator Previously-Acquired Shares. For purposes of this Paragraph 7(b), shares of Common Stock that are cancelled, sold and/or delivered to satisfy applicable withholding taxes shall be valued at their Fair Market Value on the date the withholding tax obligation arises.</w:t>
      </w:r>
    </w:p>
    <w:p>
      <w:pPr>
        <w:spacing w:after="0" w:line="148" w:lineRule="exact"/>
        <w:rPr>
          <w:rFonts w:ascii="Arial" w:cs="Arial" w:eastAsia="Arial" w:hAnsi="Arial"/>
          <w:sz w:val="18"/>
          <w:szCs w:val="18"/>
          <w:color w:val="auto"/>
        </w:rPr>
      </w:pPr>
    </w:p>
    <w:p>
      <w:pPr>
        <w:ind w:left="-233" w:firstLine="683"/>
        <w:spacing w:after="0" w:line="279" w:lineRule="auto"/>
        <w:tabs>
          <w:tab w:leader="none" w:pos="687"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Section 83(b) Election</w:t>
      </w:r>
      <w:r>
        <w:rPr>
          <w:rFonts w:ascii="Arial" w:cs="Arial" w:eastAsia="Arial" w:hAnsi="Arial"/>
          <w:sz w:val="17"/>
          <w:szCs w:val="17"/>
          <w:color w:val="auto"/>
        </w:rPr>
        <w:t>. The Grantee may elect, within thirty (30) days of the Date of Grant, under Section 83(b) of the Code, to recognize income at the time the Restricted Stock Award is made. If the Grantee makes a Section 83(b) election, the Grantee must pay tax withholding based on the Fair Market Value of the Covered Shares on the Date of Grant. If the Covered Shares (or a portion thereof) are subsequently forfeited, the taxes paid are forfeited, and the Grantee may not claim a loss with respect to the income recognized or on the Covered Shares forfeited.</w:t>
      </w:r>
    </w:p>
    <w:p>
      <w:pPr>
        <w:spacing w:after="0" w:line="144" w:lineRule="exact"/>
        <w:rPr>
          <w:sz w:val="20"/>
          <w:szCs w:val="20"/>
          <w:color w:val="auto"/>
        </w:rPr>
      </w:pPr>
    </w:p>
    <w:p>
      <w:pPr>
        <w:ind w:left="-233" w:right="20" w:firstLine="683"/>
        <w:spacing w:after="0" w:line="269" w:lineRule="auto"/>
        <w:tabs>
          <w:tab w:leader="none" w:pos="62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Restriction on Issuance of Covered Shares</w:t>
      </w:r>
      <w:r>
        <w:rPr>
          <w:rFonts w:ascii="Arial" w:cs="Arial" w:eastAsia="Arial" w:hAnsi="Arial"/>
          <w:sz w:val="17"/>
          <w:szCs w:val="17"/>
          <w:color w:val="auto"/>
        </w:rPr>
        <w:t>. Notwithstanding any other provision of this Agreement, the Grantee agrees, for himself or herself and his or her successors, that the Covered Shares will not be issued at any time that the Company does not have in effect a registration statement under the Securities Act of 1933, as amended, relating to the offer of Common Stock to the Grantee under the Plan, unless the Company agrees to permit such issuance. The Grantee further agrees, for himself or herself and his or her successors, that, upon the issuance of any Covered Shares, he or she will, upon the request of the Company, agree in writing that he or she is acquiring such shares for investment only and not with a view to resale, and that he or she will not sell, pledge or otherwise dispose of such shares so issued unless and until (a) the Company is furnished with an opinion of counsel to the effect that registration of such shares pursuant to the Securities Act of 1933, as amended, is not required by that Act and the rules and regulations thereunder; (b) the staff of the Securities and Exchange Commission has issued a “no-action” letter with respect to such disposition; or (c) such registration or notification as is, in the opinion of counsel for the Company, required for the lawful disposition of such shares has been filed by the Company and has become effective; provided, however, that the Company is not obligated hereby to file any such registration or notification. The Grantee further agrees that the Company may place a legend embodying such restriction on the certificates evidencing such shares.</w:t>
      </w:r>
    </w:p>
    <w:p>
      <w:pPr>
        <w:spacing w:after="0" w:line="142" w:lineRule="exact"/>
        <w:rPr>
          <w:rFonts w:ascii="Arial" w:cs="Arial" w:eastAsia="Arial" w:hAnsi="Arial"/>
          <w:sz w:val="17"/>
          <w:szCs w:val="17"/>
          <w:color w:val="auto"/>
        </w:rPr>
      </w:pPr>
    </w:p>
    <w:p>
      <w:pPr>
        <w:ind w:left="-233" w:right="40" w:firstLine="683"/>
        <w:spacing w:after="0" w:line="286" w:lineRule="auto"/>
        <w:tabs>
          <w:tab w:leader="none" w:pos="62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Neither the Restricted Stock Award evidenced by this Agreement nor any term or provision of this Agreement shall constitute or be evidence of any understanding, express or implied, on the part of the Company or any of its Affiliates to employ the Grantee for any period. Whenever reference is made in this Agreement to the employment of the Grantee, it means employment by the Company or an Affiliate.</w:t>
      </w:r>
    </w:p>
    <w:p>
      <w:pPr>
        <w:spacing w:after="0" w:line="125" w:lineRule="exact"/>
        <w:rPr>
          <w:rFonts w:ascii="Arial" w:cs="Arial" w:eastAsia="Arial" w:hAnsi="Arial"/>
          <w:sz w:val="17"/>
          <w:szCs w:val="17"/>
          <w:color w:val="auto"/>
        </w:rPr>
      </w:pPr>
    </w:p>
    <w:p>
      <w:pPr>
        <w:ind w:left="5427" w:hanging="96"/>
        <w:spacing w:after="0"/>
        <w:tabs>
          <w:tab w:leader="none" w:pos="5427" w:val="left"/>
        </w:tabs>
        <w:numPr>
          <w:ilvl w:val="1"/>
          <w:numId w:val="34"/>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6" w:right="259" w:bottom="1440" w:gutter="0" w:footer="0" w:header="0"/>
        </w:sectPr>
      </w:pPr>
    </w:p>
    <w:bookmarkStart w:id="64" w:name="page65"/>
    <w:bookmarkEnd w:id="64"/>
    <w:p>
      <w:pPr>
        <w:ind w:left="-683" w:right="300" w:firstLine="683"/>
        <w:spacing w:after="0" w:line="286" w:lineRule="auto"/>
        <w:tabs>
          <w:tab w:leader="none" w:pos="262"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Subject to the Plan</w:t>
      </w:r>
      <w:r>
        <w:rPr>
          <w:rFonts w:ascii="Arial" w:cs="Arial" w:eastAsia="Arial" w:hAnsi="Arial"/>
          <w:sz w:val="17"/>
          <w:szCs w:val="17"/>
          <w:color w:val="auto"/>
        </w:rPr>
        <w:t>. The Restricted Stock Award evidenced by this Agreement are subject to the terms and conditions of the Plan, which are incorporated herein by reference and made a part hereof, but the terms of the Plan shall not be considered an enlargement of any benefits under this Agreement. In addition, the Restricted Stock Award is subject to any rules and regulations promulgated by the Committee.</w:t>
      </w:r>
    </w:p>
    <w:p>
      <w:pPr>
        <w:spacing w:after="0" w:line="138" w:lineRule="exact"/>
        <w:rPr>
          <w:rFonts w:ascii="Arial" w:cs="Arial" w:eastAsia="Arial" w:hAnsi="Arial"/>
          <w:sz w:val="17"/>
          <w:szCs w:val="17"/>
          <w:color w:val="auto"/>
        </w:rPr>
      </w:pPr>
    </w:p>
    <w:p>
      <w:pPr>
        <w:ind w:left="-683" w:firstLine="683"/>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interpretation and enforceability of this Agreement shall be determined and governed by the laws of the State of New York without giving effect to the principles of conflicts of laws.</w:t>
      </w:r>
    </w:p>
    <w:p>
      <w:pPr>
        <w:spacing w:after="0" w:line="129" w:lineRule="exact"/>
        <w:rPr>
          <w:rFonts w:ascii="Arial" w:cs="Arial" w:eastAsia="Arial" w:hAnsi="Arial"/>
          <w:sz w:val="18"/>
          <w:szCs w:val="18"/>
          <w:color w:val="auto"/>
        </w:rPr>
      </w:pPr>
    </w:p>
    <w:p>
      <w:pPr>
        <w:ind w:left="4977" w:hanging="96"/>
        <w:spacing w:after="0"/>
        <w:tabs>
          <w:tab w:leader="none" w:pos="49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617"/>
          </w:cols>
          <w:pgMar w:left="923" w:top="936"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225"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225"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80" w:right="240" w:hanging="272"/>
        <w:spacing w:after="0" w:line="264"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280" w:right="140" w:hanging="272"/>
        <w:spacing w:after="0" w:line="264"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right="20" w:hanging="272"/>
        <w:spacing w:after="0" w:line="277"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280" w:right="360" w:hanging="272"/>
        <w:spacing w:after="0" w:line="308" w:lineRule="auto"/>
        <w:tabs>
          <w:tab w:leader="none" w:pos="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280" w:right="240" w:hanging="272"/>
        <w:spacing w:after="0" w:line="277"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2007</w:t>
      </w:r>
    </w:p>
    <w:p>
      <w:pPr>
        <w:spacing w:after="0" w:line="200" w:lineRule="exact"/>
        <w:rPr>
          <w:sz w:val="20"/>
          <w:szCs w:val="20"/>
          <w:color w:val="auto"/>
        </w:rPr>
      </w:pPr>
    </w:p>
    <w:p>
      <w:pPr>
        <w:spacing w:after="0" w:line="20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23495</wp:posOffset>
            </wp:positionV>
            <wp:extent cx="21697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225"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225"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80" w:right="240" w:hanging="272"/>
        <w:spacing w:after="0" w:line="264" w:lineRule="auto"/>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280" w:right="140" w:hanging="272"/>
        <w:spacing w:after="0" w:line="264"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right="20" w:hanging="272"/>
        <w:spacing w:after="0" w:line="277"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280" w:right="360" w:hanging="272"/>
        <w:spacing w:after="0" w:line="308" w:lineRule="auto"/>
        <w:tabs>
          <w:tab w:leader="none" w:pos="2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280" w:right="240" w:hanging="272"/>
        <w:spacing w:after="0" w:line="277"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2007</w:t>
      </w:r>
    </w:p>
    <w:p>
      <w:pPr>
        <w:spacing w:after="0" w:line="200" w:lineRule="exact"/>
        <w:rPr>
          <w:sz w:val="20"/>
          <w:szCs w:val="20"/>
          <w:color w:val="auto"/>
        </w:rPr>
      </w:pPr>
    </w:p>
    <w:p>
      <w:pPr>
        <w:spacing w:after="0" w:line="20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23495</wp:posOffset>
            </wp:positionV>
            <wp:extent cx="21697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9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170" w:lineRule="exact"/>
        <w:rPr>
          <w:sz w:val="20"/>
          <w:szCs w:val="20"/>
          <w:color w:val="auto"/>
        </w:rPr>
      </w:pPr>
    </w:p>
    <w:p>
      <w:pPr>
        <w:ind w:left="900" w:right="6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2007 (the “Report”) fully complies with the requirements of Section 13(a) or 15(d) of the Securities Exchange Act of 1934 (15 U.S.C. 78m or 78o(d)); and</w:t>
      </w:r>
    </w:p>
    <w:p>
      <w:pPr>
        <w:spacing w:after="0" w:line="17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7, 2007</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93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170" w:lineRule="exact"/>
        <w:rPr>
          <w:sz w:val="20"/>
          <w:szCs w:val="20"/>
          <w:color w:val="auto"/>
        </w:rPr>
      </w:pPr>
    </w:p>
    <w:p>
      <w:pPr>
        <w:ind w:left="900" w:right="6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2007 (the “Report”) fully complies with the requirements of Section 13(a) or 15(d) of the Securities Exchange Act of 1934 (15 U.S.C. 78m or 78o(d)); and</w:t>
      </w:r>
    </w:p>
    <w:p>
      <w:pPr>
        <w:spacing w:after="0" w:line="17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7, 2007</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lowerRoman"/>
      <w:start w:val="10"/>
    </w:lvl>
  </w:abstractNum>
  <w:abstractNum w:abstractNumId="1">
    <w:nsid w:val="6763845E"/>
    <w:multiLevelType w:val="hybridMultilevel"/>
    <w:lvl w:ilvl="0">
      <w:lvlJc w:val="left"/>
      <w:lvlText w:val="(%1)"/>
      <w:numFmt w:val="lowerRoman"/>
      <w:start w:val="2"/>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Roman"/>
      <w:start w:val="3"/>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20"/>
    </w:lvl>
  </w:abstractNum>
  <w:abstractNum w:abstractNumId="13">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4">
    <w:nsid w:val="813864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lvl w:ilvl="3">
      <w:lvlJc w:val="left"/>
      <w:lvlText w:val="%4"/>
      <w:numFmt w:val="lowerRoman"/>
      <w:start w:val="1"/>
    </w:lvl>
    <w:lvl w:ilvl="4">
      <w:lvlJc w:val="left"/>
      <w:lvlText w:val="-"/>
      <w:numFmt w:val="bullet"/>
      <w:start w:val="1"/>
    </w:lvl>
  </w:abstractNum>
  <w:abstractNum w:abstractNumId="15">
    <w:nsid w:val="1E7FF52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16">
    <w:nsid w:val="7C3DBD3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lvl w:ilvl="3">
      <w:lvlJc w:val="left"/>
      <w:lvlText w:val="(%4)"/>
      <w:numFmt w:val="lowerRoman"/>
      <w:start w:val="1"/>
    </w:lvl>
    <w:lvl w:ilvl="4">
      <w:lvlJc w:val="left"/>
      <w:lvlText w:val="-"/>
      <w:numFmt w:val="bullet"/>
      <w:start w:val="1"/>
    </w:lvl>
  </w:abstractNum>
  <w:abstractNum w:abstractNumId="17">
    <w:nsid w:val="737B8DD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18">
    <w:nsid w:val="6CEAF087"/>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3"/>
    </w:lvl>
    <w:lvl w:ilvl="3">
      <w:lvlJc w:val="left"/>
      <w:lvlText w:val="-"/>
      <w:numFmt w:val="bullet"/>
      <w:start w:val="1"/>
    </w:lvl>
  </w:abstractNum>
  <w:abstractNum w:abstractNumId="19">
    <w:nsid w:val="22221A70"/>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0">
    <w:nsid w:val="4516DDE9"/>
    <w:multiLevelType w:val="hybridMultilevel"/>
    <w:lvl w:ilvl="0">
      <w:lvlJc w:val="left"/>
      <w:lvlText w:val="%1."/>
      <w:numFmt w:val="decimal"/>
      <w:start w:val="7"/>
    </w:lvl>
    <w:lvl w:ilvl="1">
      <w:lvlJc w:val="left"/>
      <w:lvlText w:val="-"/>
      <w:numFmt w:val="bullet"/>
      <w:start w:val="1"/>
    </w:lvl>
  </w:abstractNum>
  <w:abstractNum w:abstractNumId="21">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614FD4A1"/>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23">
    <w:nsid w:val="419AC24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
    <w:nsid w:val="5577F8E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25">
    <w:nsid w:val="440BADFC"/>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3"/>
    </w:lvl>
    <w:lvl w:ilvl="3">
      <w:lvlJc w:val="left"/>
      <w:lvlText w:val="-"/>
      <w:numFmt w:val="bullet"/>
      <w:start w:val="1"/>
    </w:lvl>
  </w:abstractNum>
  <w:abstractNum w:abstractNumId="26">
    <w:nsid w:val="5072367"/>
    <w:multiLevelType w:val="hybridMultilevel"/>
    <w:lvl w:ilvl="0">
      <w:lvlJc w:val="left"/>
      <w:lvlText w:val="(%1)"/>
      <w:numFmt w:val="lowerLetter"/>
      <w:start w:val="2"/>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27">
    <w:nsid w:val="3804823E"/>
    <w:multiLevelType w:val="hybridMultilevel"/>
    <w:lvl w:ilvl="0">
      <w:lvlJc w:val="left"/>
      <w:lvlText w:val="%1."/>
      <w:numFmt w:val="decimal"/>
      <w:start w:val="8"/>
    </w:lvl>
    <w:lvl w:ilvl="1">
      <w:lvlJc w:val="left"/>
      <w:lvlText w:val="-"/>
      <w:numFmt w:val="bullet"/>
      <w:start w:val="1"/>
    </w:lvl>
  </w:abstractNum>
  <w:abstractNum w:abstractNumId="28">
    <w:nsid w:val="77465F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9">
    <w:nsid w:val="7724C67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0">
    <w:nsid w:val="5C482A97"/>
    <w:multiLevelType w:val="hybridMultilevel"/>
    <w:lvl w:ilvl="0">
      <w:lvlJc w:val="left"/>
      <w:lvlText w:val="%1"/>
      <w:numFmt w:val="decimal"/>
      <w:start w:val="1"/>
    </w:lvl>
    <w:lvl w:ilvl="1">
      <w:lvlJc w:val="left"/>
      <w:lvlText w:val="(%2)"/>
      <w:numFmt w:val="lowerLetter"/>
      <w:start w:val="3"/>
    </w:lvl>
  </w:abstractNum>
  <w:abstractNum w:abstractNumId="31">
    <w:nsid w:val="2463B9EA"/>
    <w:multiLevelType w:val="hybridMultilevel"/>
    <w:lvl w:ilvl="0">
      <w:lvlJc w:val="left"/>
      <w:lvlText w:val="%1."/>
      <w:numFmt w:val="decimal"/>
      <w:start w:val="4"/>
    </w:lvl>
    <w:lvl w:ilvl="1">
      <w:lvlJc w:val="left"/>
      <w:lvlText w:val="%2"/>
      <w:numFmt w:val="lowerLetter"/>
      <w:start w:val="1"/>
    </w:lvl>
  </w:abstractNum>
  <w:abstractNum w:abstractNumId="32">
    <w:nsid w:val="5E884ADC"/>
    <w:multiLevelType w:val="hybridMultilevel"/>
    <w:lvl w:ilvl="0">
      <w:lvlJc w:val="left"/>
      <w:lvlText w:val="%1."/>
      <w:numFmt w:val="decimal"/>
      <w:start w:val="7"/>
    </w:lvl>
    <w:lvl w:ilvl="1">
      <w:lvlJc w:val="left"/>
      <w:lvlText w:val="(%2)"/>
      <w:numFmt w:val="lowerLetter"/>
      <w:start w:val="1"/>
    </w:lvl>
  </w:abstractNum>
  <w:abstractNum w:abstractNumId="33">
    <w:nsid w:val="51EAD36B"/>
    <w:multiLevelType w:val="hybridMultilevel"/>
    <w:lvl w:ilvl="0">
      <w:lvlJc w:val="left"/>
      <w:lvlText w:val="%1."/>
      <w:numFmt w:val="decimal"/>
      <w:start w:val="8"/>
    </w:lvl>
    <w:lvl w:ilvl="1">
      <w:lvlJc w:val="left"/>
      <w:lvlText w:val="-"/>
      <w:numFmt w:val="bullet"/>
      <w:start w:val="1"/>
    </w:lvl>
  </w:abstractNum>
  <w:abstractNum w:abstractNumId="34">
    <w:nsid w:val="2D517796"/>
    <w:multiLevelType w:val="hybridMultilevel"/>
    <w:lvl w:ilvl="0">
      <w:lvlJc w:val="left"/>
      <w:lvlText w:val="%1."/>
      <w:numFmt w:val="decimal"/>
      <w:start w:val="10"/>
    </w:lvl>
    <w:lvl w:ilvl="1">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2019-12-13T01:19:46Z</dcterms:created>
  <dcterms:modified xsi:type="dcterms:W3CDTF">2019-12-13T01:19:46Z</dcterms:modified>
</cp:coreProperties>
</file>