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2680" w:type="dxa"/>
            <w:vAlign w:val="bottom"/>
          </w:tcPr>
          <w:p>
            <w:pPr>
              <w:jc w:val="center"/>
              <w:ind w:right="219"/>
              <w:spacing w:after="0"/>
              <w:rPr>
                <w:sz w:val="20"/>
                <w:szCs w:val="20"/>
                <w:color w:val="auto"/>
              </w:rPr>
            </w:pPr>
            <w:r>
              <w:rPr>
                <w:rFonts w:ascii="Arial" w:cs="Arial" w:eastAsia="Arial" w:hAnsi="Arial"/>
                <w:sz w:val="18"/>
                <w:szCs w:val="18"/>
                <w:b w:val="1"/>
                <w:bCs w:val="1"/>
                <w:color w:val="auto"/>
                <w:w w:val="95"/>
              </w:rPr>
              <w:t>New York</w:t>
            </w:r>
          </w:p>
        </w:tc>
        <w:tc>
          <w:tcPr>
            <w:tcW w:w="5920" w:type="dxa"/>
            <w:vAlign w:val="bottom"/>
          </w:tcPr>
          <w:p>
            <w:pPr>
              <w:jc w:val="right"/>
              <w:ind w:right="4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6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920" w:type="dxa"/>
            <w:vAlign w:val="bottom"/>
          </w:tcPr>
          <w:p>
            <w:pPr>
              <w:jc w:val="center"/>
              <w:ind w:left="47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incorporation or organization)</w:t>
            </w:r>
          </w:p>
        </w:tc>
        <w:tc>
          <w:tcPr>
            <w:tcW w:w="5920" w:type="dxa"/>
            <w:vAlign w:val="bottom"/>
          </w:tcPr>
          <w:p>
            <w:pPr>
              <w:jc w:val="center"/>
              <w:ind w:left="472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680" w:type="dxa"/>
            <w:vAlign w:val="bottom"/>
          </w:tcPr>
          <w:p>
            <w:pPr>
              <w:jc w:val="center"/>
              <w:ind w:right="199"/>
              <w:spacing w:after="0"/>
              <w:rPr>
                <w:sz w:val="20"/>
                <w:szCs w:val="20"/>
                <w:color w:val="auto"/>
              </w:rPr>
            </w:pPr>
            <w:r>
              <w:rPr>
                <w:rFonts w:ascii="Arial" w:cs="Arial" w:eastAsia="Arial" w:hAnsi="Arial"/>
                <w:sz w:val="18"/>
                <w:szCs w:val="18"/>
                <w:b w:val="1"/>
                <w:bCs w:val="1"/>
                <w:color w:val="auto"/>
                <w:w w:val="97"/>
              </w:rPr>
              <w:t>One M &amp; T Plaza</w:t>
            </w:r>
          </w:p>
        </w:tc>
        <w:tc>
          <w:tcPr>
            <w:tcW w:w="5920" w:type="dxa"/>
            <w:vAlign w:val="bottom"/>
          </w:tcPr>
          <w:p>
            <w:pPr>
              <w:spacing w:after="0"/>
              <w:rPr>
                <w:sz w:val="24"/>
                <w:szCs w:val="24"/>
                <w:color w:val="auto"/>
              </w:rPr>
            </w:pPr>
          </w:p>
        </w:tc>
      </w:tr>
      <w:tr>
        <w:trPr>
          <w:trHeight w:val="212"/>
        </w:trPr>
        <w:tc>
          <w:tcPr>
            <w:tcW w:w="2680" w:type="dxa"/>
            <w:vAlign w:val="bottom"/>
          </w:tcPr>
          <w:p>
            <w:pPr>
              <w:jc w:val="center"/>
              <w:ind w:right="219"/>
              <w:spacing w:after="0"/>
              <w:rPr>
                <w:sz w:val="20"/>
                <w:szCs w:val="20"/>
                <w:color w:val="auto"/>
              </w:rPr>
            </w:pPr>
            <w:r>
              <w:rPr>
                <w:rFonts w:ascii="Arial" w:cs="Arial" w:eastAsia="Arial" w:hAnsi="Arial"/>
                <w:sz w:val="18"/>
                <w:szCs w:val="18"/>
                <w:b w:val="1"/>
                <w:bCs w:val="1"/>
                <w:color w:val="auto"/>
                <w:w w:val="92"/>
              </w:rPr>
              <w:t>Buffalo, New York</w:t>
            </w:r>
          </w:p>
        </w:tc>
        <w:tc>
          <w:tcPr>
            <w:tcW w:w="592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68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920" w:type="dxa"/>
            <w:vAlign w:val="bottom"/>
          </w:tcPr>
          <w:p>
            <w:pPr>
              <w:jc w:val="center"/>
              <w:ind w:left="4720"/>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2680" w:type="dxa"/>
            <w:vAlign w:val="bottom"/>
          </w:tcPr>
          <w:p>
            <w:pPr>
              <w:spacing w:after="0"/>
              <w:rPr>
                <w:sz w:val="24"/>
                <w:szCs w:val="24"/>
                <w:color w:val="auto"/>
              </w:rPr>
            </w:pPr>
          </w:p>
        </w:tc>
        <w:tc>
          <w:tcPr>
            <w:tcW w:w="5920" w:type="dxa"/>
            <w:vAlign w:val="bottom"/>
          </w:tcPr>
          <w:p>
            <w:pPr>
              <w:jc w:val="right"/>
              <w:ind w:right="3340"/>
              <w:spacing w:after="0"/>
              <w:rPr>
                <w:sz w:val="20"/>
                <w:szCs w:val="20"/>
                <w:color w:val="auto"/>
              </w:rPr>
            </w:pPr>
            <w:r>
              <w:rPr>
                <w:rFonts w:ascii="Arial" w:cs="Arial" w:eastAsia="Arial" w:hAnsi="Arial"/>
                <w:sz w:val="18"/>
                <w:szCs w:val="18"/>
                <w:b w:val="1"/>
                <w:bCs w:val="1"/>
                <w:color w:val="auto"/>
              </w:rPr>
              <w:t>(716) 635-4000</w:t>
            </w:r>
          </w:p>
        </w:tc>
      </w:tr>
      <w:tr>
        <w:trPr>
          <w:trHeight w:val="186"/>
        </w:trPr>
        <w:tc>
          <w:tcPr>
            <w:tcW w:w="2680" w:type="dxa"/>
            <w:vAlign w:val="bottom"/>
          </w:tcPr>
          <w:p>
            <w:pPr>
              <w:spacing w:after="0"/>
              <w:rPr>
                <w:sz w:val="16"/>
                <w:szCs w:val="16"/>
                <w:color w:val="auto"/>
              </w:rPr>
            </w:pPr>
          </w:p>
        </w:tc>
        <w:tc>
          <w:tcPr>
            <w:tcW w:w="5920" w:type="dxa"/>
            <w:vAlign w:val="bottom"/>
          </w:tcPr>
          <w:p>
            <w:pPr>
              <w:jc w:val="center"/>
              <w:ind w:right="1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94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252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594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2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5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600" w:type="dxa"/>
            <w:vAlign w:val="bottom"/>
          </w:tcPr>
          <w:p>
            <w:pPr>
              <w:spacing w:after="0"/>
              <w:rPr>
                <w:sz w:val="24"/>
                <w:szCs w:val="24"/>
                <w:color w:val="auto"/>
              </w:rPr>
            </w:pPr>
          </w:p>
        </w:tc>
      </w:tr>
    </w:tbl>
    <w:p>
      <w:pPr>
        <w:spacing w:after="0" w:line="114"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October 28, 2016: 155,048,618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702945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13"/>
          </w:tcPr>
          <w:p>
            <w:pPr>
              <w:jc w:val="center"/>
              <w:ind w:right="4200"/>
              <w:spacing w:after="0"/>
              <w:rPr>
                <w:sz w:val="20"/>
                <w:szCs w:val="20"/>
                <w:color w:val="auto"/>
              </w:rPr>
            </w:pPr>
            <w:r>
              <w:rPr>
                <w:rFonts w:ascii="Arial" w:cs="Arial" w:eastAsia="Arial" w:hAnsi="Arial"/>
                <w:sz w:val="18"/>
                <w:szCs w:val="18"/>
                <w:color w:val="auto"/>
                <w:w w:val="97"/>
              </w:rPr>
              <w:t>M&amp;T BANK CORPORATION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FORM 10-Q</w:t>
            </w:r>
          </w:p>
        </w:tc>
        <w:tc>
          <w:tcPr>
            <w:tcW w:w="660" w:type="dxa"/>
            <w:vAlign w:val="bottom"/>
            <w:tcBorders>
              <w:top w:val="single" w:sz="8" w:color="auto"/>
            </w:tcBorders>
          </w:tcPr>
          <w:p>
            <w:pPr>
              <w:spacing w:after="0"/>
              <w:rPr>
                <w:sz w:val="24"/>
                <w:szCs w:val="24"/>
                <w:color w:val="auto"/>
              </w:rPr>
            </w:pPr>
          </w:p>
        </w:tc>
        <w:tc>
          <w:tcPr>
            <w:tcW w:w="420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16"/>
          </w:tcPr>
          <w:p>
            <w:pPr>
              <w:jc w:val="center"/>
              <w:ind w:right="3400"/>
              <w:spacing w:after="0"/>
              <w:rPr>
                <w:sz w:val="20"/>
                <w:szCs w:val="20"/>
                <w:color w:val="auto"/>
              </w:rPr>
            </w:pPr>
            <w:r>
              <w:rPr>
                <w:rFonts w:ascii="Arial" w:cs="Arial" w:eastAsia="Arial" w:hAnsi="Arial"/>
                <w:sz w:val="18"/>
                <w:szCs w:val="18"/>
                <w:color w:val="auto"/>
                <w:w w:val="89"/>
              </w:rPr>
              <w:t>For the Quarterly Period Ended September 30, 2016</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40" w:type="dxa"/>
            <w:vAlign w:val="bottom"/>
            <w:gridSpan w:val="15"/>
          </w:tcPr>
          <w:p>
            <w:pPr>
              <w:spacing w:after="0"/>
              <w:rPr>
                <w:sz w:val="20"/>
                <w:szCs w:val="20"/>
                <w:color w:val="auto"/>
              </w:rPr>
            </w:pPr>
            <w:r>
              <w:rPr>
                <w:rFonts w:ascii="Arial" w:cs="Arial" w:eastAsia="Arial" w:hAnsi="Arial"/>
                <w:sz w:val="18"/>
                <w:szCs w:val="18"/>
                <w:color w:val="auto"/>
                <w:w w:val="92"/>
              </w:rPr>
              <w:t>Table of Contents of Information Required in Report</w:t>
            </w:r>
          </w:p>
        </w:tc>
        <w:tc>
          <w:tcPr>
            <w:tcW w:w="3760" w:type="dxa"/>
            <w:vAlign w:val="bottom"/>
            <w:tcBorders>
              <w:top w:val="single" w:sz="8" w:color="auto"/>
            </w:tcBorders>
            <w:gridSpan w:val="9"/>
          </w:tcPr>
          <w:p>
            <w:pPr>
              <w:spacing w:after="0"/>
              <w:rPr>
                <w:sz w:val="24"/>
                <w:szCs w:val="24"/>
                <w:color w:val="auto"/>
              </w:rPr>
            </w:pPr>
          </w:p>
        </w:tc>
        <w:tc>
          <w:tcPr>
            <w:tcW w:w="3440" w:type="dxa"/>
            <w:vAlign w:val="bottom"/>
            <w:gridSpan w:val="6"/>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
        </w:trPr>
        <w:tc>
          <w:tcPr>
            <w:tcW w:w="2800" w:type="dxa"/>
            <w:vAlign w:val="bottom"/>
            <w:tcBorders>
              <w:top w:val="single" w:sz="8" w:color="auto"/>
              <w:bottom w:val="single" w:sz="8" w:color="auto"/>
            </w:tcBorders>
            <w:gridSpan w:val="10"/>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1000" w:type="dxa"/>
            <w:vAlign w:val="bottom"/>
            <w:tcBorders>
              <w:top w:val="single" w:sz="8" w:color="auto"/>
              <w:bottom w:val="single" w:sz="8" w:color="auto"/>
            </w:tcBorders>
            <w:gridSpan w:val="4"/>
            <w:vMerge w:val="restart"/>
          </w:tcPr>
          <w:p>
            <w:pPr>
              <w:spacing w:after="0" w:line="20" w:lineRule="exact"/>
              <w:rPr>
                <w:sz w:val="1"/>
                <w:szCs w:val="1"/>
                <w:color w:val="auto"/>
              </w:rPr>
            </w:pPr>
          </w:p>
        </w:tc>
        <w:tc>
          <w:tcPr>
            <w:tcW w:w="724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800" w:type="dxa"/>
            <w:vAlign w:val="bottom"/>
            <w:tcBorders>
              <w:bottom w:val="single" w:sz="8" w:color="0000EE"/>
            </w:tcBorders>
            <w:gridSpan w:val="10"/>
            <w:vMerge w:val="continue"/>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724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70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8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CONSOLIDATED BALANCE SHEET - September 30, 2016 and December 31, 2015</w:t>
              </w:r>
            </w:hyperlink>
          </w:p>
        </w:tc>
        <w:tc>
          <w:tcPr>
            <w:tcW w:w="352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 OF INCOME - Three and nine months ended September 30, 2016 and 2015</w:t>
              </w:r>
            </w:hyperlink>
          </w:p>
        </w:tc>
        <w:tc>
          <w:tcPr>
            <w:tcW w:w="178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 OF COMPREHENSIVE INCOME - Three and nine months ended September 30, 2016 and 2015</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tcBorders>
              <w:top w:val="single" w:sz="8" w:color="0000EE"/>
            </w:tcBorders>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Nine months ended September 30, 2016 and 2015</w:t>
              </w:r>
            </w:hyperlink>
          </w:p>
        </w:tc>
        <w:tc>
          <w:tcPr>
            <w:tcW w:w="2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CONSOLIDATED STATEMENT OF CHANGES IN SHAREHOLDERS' EQUITY - Nine months ended September 30, 2016 and</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top w:val="single" w:sz="8" w:color="0000EE"/>
            </w:tcBorders>
            <w:gridSpan w:val="3"/>
          </w:tcPr>
          <w:p>
            <w:pPr>
              <w:jc w:val="right"/>
              <w:ind w:right="6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2015</w:t>
              </w:r>
            </w:hyperlink>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Management's Discussion and Analysis of Financial Condition and Results of Operations.</w:t>
              </w:r>
            </w:hyperlink>
          </w:p>
        </w:tc>
        <w:tc>
          <w:tcPr>
            <w:tcW w:w="326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Quantitative and Qualitative Disclosures About Market Risk.</w:t>
              </w:r>
            </w:hyperlink>
          </w:p>
        </w:tc>
        <w:tc>
          <w:tcPr>
            <w:tcW w:w="5340" w:type="dxa"/>
            <w:vAlign w:val="bottom"/>
            <w:gridSpan w:val="10"/>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700" w:type="dxa"/>
            <w:vAlign w:val="bottom"/>
            <w:gridSpan w:val="2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82">
              <w:r>
                <w:rPr>
                  <w:rFonts w:ascii="Arial" w:cs="Arial" w:eastAsia="Arial" w:hAnsi="Arial"/>
                  <w:sz w:val="18"/>
                  <w:szCs w:val="18"/>
                  <w:color w:val="0000EE"/>
                  <w:w w:val="95"/>
                </w:rPr>
                <w:t>Part II. OTHER INFORMATION</w:t>
              </w:r>
            </w:hyperlink>
          </w:p>
        </w:tc>
        <w:tc>
          <w:tcPr>
            <w:tcW w:w="860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82">
              <w:r>
                <w:rPr>
                  <w:rFonts w:ascii="Arial" w:cs="Arial" w:eastAsia="Arial" w:hAnsi="Arial"/>
                  <w:sz w:val="18"/>
                  <w:szCs w:val="18"/>
                  <w:color w:val="0000EE"/>
                  <w:w w:val="85"/>
                </w:rPr>
                <w:t>Legal Proceedings.</w:t>
              </w:r>
            </w:hyperlink>
          </w:p>
        </w:tc>
        <w:tc>
          <w:tcPr>
            <w:tcW w:w="8360" w:type="dxa"/>
            <w:vAlign w:val="bottom"/>
            <w:gridSpan w:val="2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700" w:type="dxa"/>
            <w:vAlign w:val="bottom"/>
            <w:gridSpan w:val="2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Risk Factors.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00" w:type="dxa"/>
            <w:vAlign w:val="bottom"/>
            <w:gridSpan w:val="2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Unregistered Sales of Equity Securities and 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Defaults Upon Senior Securities.</w:t>
              </w:r>
            </w:hyperlink>
          </w:p>
        </w:tc>
        <w:tc>
          <w:tcPr>
            <w:tcW w:w="5360" w:type="dxa"/>
            <w:vAlign w:val="bottom"/>
            <w:gridSpan w:val="1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7380" w:type="dxa"/>
            <w:vAlign w:val="bottom"/>
            <w:gridSpan w:val="1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7940" w:type="dxa"/>
            <w:vAlign w:val="bottom"/>
            <w:gridSpan w:val="1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700" w:type="dxa"/>
            <w:vAlign w:val="bottom"/>
            <w:gridSpan w:val="2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Exhibits.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340" w:type="dxa"/>
            <w:vAlign w:val="bottom"/>
            <w:gridSpan w:val="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700" w:type="dxa"/>
            <w:vAlign w:val="bottom"/>
            <w:gridSpan w:val="2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EXHIBIT INDEX</w:t>
              </w:r>
            </w:hyperlink>
          </w:p>
        </w:tc>
        <w:tc>
          <w:tcPr>
            <w:tcW w:w="9700" w:type="dxa"/>
            <w:vAlign w:val="bottom"/>
            <w:gridSpan w:val="2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53"/>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19"/>
          </w:tcPr>
          <w:p>
            <w:pPr>
              <w:jc w:val="center"/>
              <w:ind w:left="3810"/>
              <w:spacing w:after="0"/>
              <w:rPr>
                <w:sz w:val="20"/>
                <w:szCs w:val="20"/>
                <w:color w:val="auto"/>
              </w:rPr>
            </w:pPr>
            <w:r>
              <w:rPr>
                <w:rFonts w:ascii="Arial" w:cs="Arial" w:eastAsia="Arial" w:hAnsi="Arial"/>
                <w:sz w:val="18"/>
                <w:szCs w:val="18"/>
                <w:color w:val="auto"/>
                <w:w w:val="93"/>
              </w:rPr>
              <w:t>- 2 -</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r>
      <w:tr>
        <w:trPr>
          <w:trHeight w:val="161"/>
        </w:trPr>
        <w:tc>
          <w:tcPr>
            <w:tcW w:w="862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rPr>
              <w:t>Dollars in thousands, except per share</w:t>
            </w:r>
          </w:p>
        </w:tc>
        <w:tc>
          <w:tcPr>
            <w:tcW w:w="120" w:type="dxa"/>
            <w:vAlign w:val="bottom"/>
          </w:tcPr>
          <w:p>
            <w:pPr>
              <w:spacing w:after="0"/>
              <w:rPr>
                <w:sz w:val="13"/>
                <w:szCs w:val="13"/>
                <w:color w:val="auto"/>
              </w:rPr>
            </w:pPr>
          </w:p>
        </w:tc>
        <w:tc>
          <w:tcPr>
            <w:tcW w:w="1020" w:type="dxa"/>
            <w:vAlign w:val="bottom"/>
          </w:tcPr>
          <w:p>
            <w:pPr>
              <w:jc w:val="right"/>
              <w:ind w:right="363"/>
              <w:spacing w:after="0" w:line="154" w:lineRule="exact"/>
              <w:rPr>
                <w:sz w:val="20"/>
                <w:szCs w:val="20"/>
                <w:color w:val="auto"/>
              </w:rPr>
            </w:pPr>
            <w:r>
              <w:rPr>
                <w:rFonts w:ascii="Arial" w:cs="Arial" w:eastAsia="Arial" w:hAnsi="Arial"/>
                <w:sz w:val="14"/>
                <w:szCs w:val="14"/>
                <w:color w:val="auto"/>
              </w:rPr>
              <w:t>2016</w:t>
            </w:r>
          </w:p>
        </w:tc>
        <w:tc>
          <w:tcPr>
            <w:tcW w:w="400" w:type="dxa"/>
            <w:vAlign w:val="bottom"/>
          </w:tcPr>
          <w:p>
            <w:pPr>
              <w:spacing w:after="0"/>
              <w:rPr>
                <w:sz w:val="13"/>
                <w:szCs w:val="13"/>
                <w:color w:val="auto"/>
              </w:rPr>
            </w:pPr>
          </w:p>
        </w:tc>
        <w:tc>
          <w:tcPr>
            <w:tcW w:w="1140" w:type="dxa"/>
            <w:vAlign w:val="bottom"/>
          </w:tcPr>
          <w:p>
            <w:pPr>
              <w:jc w:val="right"/>
              <w:ind w:right="363"/>
              <w:spacing w:after="0" w:line="154"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3"/>
                <w:szCs w:val="13"/>
                <w:color w:val="auto"/>
              </w:rPr>
            </w:pPr>
          </w:p>
        </w:tc>
      </w:tr>
      <w:tr>
        <w:trPr>
          <w:trHeight w:val="162"/>
        </w:trPr>
        <w:tc>
          <w:tcPr>
            <w:tcW w:w="1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7420" w:type="dxa"/>
            <w:vAlign w:val="bottom"/>
            <w:gridSpan w:val="2"/>
            <w:shd w:val="clear" w:color="auto" w:fill="CFF0FC"/>
          </w:tcPr>
          <w:p>
            <w:pPr>
              <w:ind w:left="760"/>
              <w:spacing w:after="0"/>
              <w:rPr>
                <w:sz w:val="20"/>
                <w:szCs w:val="20"/>
                <w:color w:val="auto"/>
              </w:rPr>
            </w:pPr>
            <w:r>
              <w:rPr>
                <w:rFonts w:ascii="Arial" w:cs="Arial" w:eastAsia="Arial" w:hAnsi="Arial"/>
                <w:sz w:val="16"/>
                <w:szCs w:val="16"/>
                <w:color w:val="auto"/>
              </w:rPr>
              <w:t>Cash and due from banks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1,332,202</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1,368,040</w:t>
            </w:r>
          </w:p>
        </w:tc>
        <w:tc>
          <w:tcPr>
            <w:tcW w:w="120" w:type="dxa"/>
            <w:vAlign w:val="bottom"/>
            <w:shd w:val="clear" w:color="auto" w:fill="CFF0FC"/>
          </w:tcPr>
          <w:p>
            <w:pPr>
              <w:spacing w:after="0"/>
              <w:rPr>
                <w:sz w:val="18"/>
                <w:szCs w:val="18"/>
                <w:color w:val="auto"/>
              </w:rPr>
            </w:pPr>
          </w:p>
        </w:tc>
      </w:tr>
      <w:tr>
        <w:trPr>
          <w:trHeight w:val="213"/>
        </w:trPr>
        <w:tc>
          <w:tcPr>
            <w:tcW w:w="1200" w:type="dxa"/>
            <w:vAlign w:val="bottom"/>
          </w:tcPr>
          <w:p>
            <w:pPr>
              <w:spacing w:after="0"/>
              <w:rPr>
                <w:sz w:val="18"/>
                <w:szCs w:val="18"/>
                <w:color w:val="auto"/>
              </w:rPr>
            </w:pPr>
          </w:p>
        </w:tc>
        <w:tc>
          <w:tcPr>
            <w:tcW w:w="7420" w:type="dxa"/>
            <w:vAlign w:val="bottom"/>
            <w:gridSpan w:val="2"/>
          </w:tcPr>
          <w:p>
            <w:pPr>
              <w:ind w:left="760"/>
              <w:spacing w:after="0"/>
              <w:rPr>
                <w:sz w:val="20"/>
                <w:szCs w:val="20"/>
                <w:color w:val="auto"/>
              </w:rPr>
            </w:pPr>
            <w:r>
              <w:rPr>
                <w:rFonts w:ascii="Arial" w:cs="Arial" w:eastAsia="Arial" w:hAnsi="Arial"/>
                <w:sz w:val="16"/>
                <w:szCs w:val="16"/>
                <w:color w:val="auto"/>
              </w:rPr>
              <w:t>Interest-bearing deposits at banks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10,777,636</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7,594,350</w:t>
            </w:r>
          </w:p>
        </w:tc>
        <w:tc>
          <w:tcPr>
            <w:tcW w:w="120" w:type="dxa"/>
            <w:vAlign w:val="bottom"/>
          </w:tcPr>
          <w:p>
            <w:pPr>
              <w:spacing w:after="0"/>
              <w:rPr>
                <w:sz w:val="18"/>
                <w:szCs w:val="18"/>
                <w:color w:val="auto"/>
              </w:rPr>
            </w:pPr>
          </w:p>
        </w:tc>
      </w:tr>
      <w:tr>
        <w:trPr>
          <w:trHeight w:val="219"/>
        </w:trPr>
        <w:tc>
          <w:tcPr>
            <w:tcW w:w="1200" w:type="dxa"/>
            <w:vAlign w:val="bottom"/>
            <w:shd w:val="clear" w:color="auto" w:fill="CFF0FC"/>
          </w:tcPr>
          <w:p>
            <w:pPr>
              <w:spacing w:after="0"/>
              <w:rPr>
                <w:sz w:val="19"/>
                <w:szCs w:val="19"/>
                <w:color w:val="auto"/>
              </w:rPr>
            </w:pPr>
          </w:p>
        </w:tc>
        <w:tc>
          <w:tcPr>
            <w:tcW w:w="7420" w:type="dxa"/>
            <w:vAlign w:val="bottom"/>
            <w:gridSpan w:val="2"/>
            <w:shd w:val="clear" w:color="auto" w:fill="CFF0FC"/>
          </w:tcPr>
          <w:p>
            <w:pPr>
              <w:ind w:left="760"/>
              <w:spacing w:after="0"/>
              <w:rPr>
                <w:sz w:val="20"/>
                <w:szCs w:val="20"/>
                <w:color w:val="auto"/>
              </w:rPr>
            </w:pPr>
            <w:r>
              <w:rPr>
                <w:rFonts w:ascii="Arial" w:cs="Arial" w:eastAsia="Arial" w:hAnsi="Arial"/>
                <w:sz w:val="16"/>
                <w:szCs w:val="16"/>
                <w:color w:val="auto"/>
              </w:rPr>
              <w:t>Trading account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488,588</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273,783</w:t>
            </w:r>
          </w:p>
        </w:tc>
        <w:tc>
          <w:tcPr>
            <w:tcW w:w="120" w:type="dxa"/>
            <w:vAlign w:val="bottom"/>
            <w:shd w:val="clear" w:color="auto" w:fill="CFF0FC"/>
          </w:tcPr>
          <w:p>
            <w:pPr>
              <w:spacing w:after="0"/>
              <w:rPr>
                <w:sz w:val="19"/>
                <w:szCs w:val="19"/>
                <w:color w:val="auto"/>
              </w:rPr>
            </w:pPr>
          </w:p>
        </w:tc>
      </w:tr>
      <w:tr>
        <w:trPr>
          <w:trHeight w:val="210"/>
        </w:trPr>
        <w:tc>
          <w:tcPr>
            <w:tcW w:w="1200" w:type="dxa"/>
            <w:vAlign w:val="bottom"/>
          </w:tcPr>
          <w:p>
            <w:pPr>
              <w:spacing w:after="0"/>
              <w:rPr>
                <w:sz w:val="18"/>
                <w:szCs w:val="18"/>
                <w:color w:val="auto"/>
              </w:rPr>
            </w:pPr>
          </w:p>
        </w:tc>
        <w:tc>
          <w:tcPr>
            <w:tcW w:w="7420" w:type="dxa"/>
            <w:vAlign w:val="bottom"/>
            <w:gridSpan w:val="2"/>
          </w:tcPr>
          <w:p>
            <w:pPr>
              <w:ind w:left="760"/>
              <w:spacing w:after="0"/>
              <w:rPr>
                <w:sz w:val="20"/>
                <w:szCs w:val="20"/>
                <w:color w:val="auto"/>
              </w:rPr>
            </w:pPr>
            <w:r>
              <w:rPr>
                <w:rFonts w:ascii="Arial" w:cs="Arial" w:eastAsia="Arial" w:hAnsi="Arial"/>
                <w:sz w:val="16"/>
                <w:szCs w:val="16"/>
                <w:color w:val="auto"/>
              </w:rPr>
              <w:t>Investment securities (includes pledged securities that can be sold or repledged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8"/>
                <w:szCs w:val="18"/>
                <w:color w:val="auto"/>
              </w:rPr>
            </w:pPr>
          </w:p>
        </w:tc>
        <w:tc>
          <w:tcPr>
            <w:tcW w:w="6980" w:type="dxa"/>
            <w:vAlign w:val="bottom"/>
          </w:tcPr>
          <w:p>
            <w:pPr>
              <w:ind w:left="480"/>
              <w:spacing w:after="0"/>
              <w:rPr>
                <w:sz w:val="20"/>
                <w:szCs w:val="20"/>
                <w:color w:val="auto"/>
              </w:rPr>
            </w:pPr>
            <w:r>
              <w:rPr>
                <w:rFonts w:ascii="Arial" w:cs="Arial" w:eastAsia="Arial" w:hAnsi="Arial"/>
                <w:sz w:val="16"/>
                <w:szCs w:val="16"/>
                <w:color w:val="auto"/>
              </w:rPr>
              <w:t>$1,856,326 at September 30, 2016; $2,136,712 at December 31, 2015)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1640" w:type="dxa"/>
            <w:vAlign w:val="bottom"/>
            <w:shd w:val="clear" w:color="auto" w:fill="CFF0FC"/>
          </w:tcPr>
          <w:p>
            <w:pPr>
              <w:spacing w:after="0"/>
              <w:rPr>
                <w:sz w:val="18"/>
                <w:szCs w:val="18"/>
                <w:color w:val="auto"/>
              </w:rPr>
            </w:pPr>
          </w:p>
        </w:tc>
        <w:tc>
          <w:tcPr>
            <w:tcW w:w="6980" w:type="dxa"/>
            <w:vAlign w:val="bottom"/>
            <w:shd w:val="clear" w:color="auto" w:fill="CFF0FC"/>
          </w:tcPr>
          <w:p>
            <w:pPr>
              <w:ind w:left="680"/>
              <w:spacing w:after="0"/>
              <w:rPr>
                <w:sz w:val="20"/>
                <w:szCs w:val="20"/>
                <w:color w:val="auto"/>
              </w:rPr>
            </w:pPr>
            <w:r>
              <w:rPr>
                <w:rFonts w:ascii="Arial" w:cs="Arial" w:eastAsia="Arial" w:hAnsi="Arial"/>
                <w:sz w:val="16"/>
                <w:szCs w:val="16"/>
                <w:color w:val="auto"/>
              </w:rPr>
              <w:t>Available for sale (cost: $11,551,614 at September 30, 2016;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1640" w:type="dxa"/>
            <w:vAlign w:val="bottom"/>
            <w:shd w:val="clear" w:color="auto" w:fill="CFF0FC"/>
          </w:tcPr>
          <w:p>
            <w:pPr>
              <w:spacing w:after="0"/>
              <w:rPr>
                <w:sz w:val="18"/>
                <w:szCs w:val="18"/>
                <w:color w:val="auto"/>
              </w:rPr>
            </w:pPr>
          </w:p>
        </w:tc>
        <w:tc>
          <w:tcPr>
            <w:tcW w:w="6980" w:type="dxa"/>
            <w:vAlign w:val="bottom"/>
            <w:shd w:val="clear" w:color="auto" w:fill="CFF0FC"/>
          </w:tcPr>
          <w:p>
            <w:pPr>
              <w:ind w:left="800"/>
              <w:spacing w:after="0"/>
              <w:rPr>
                <w:sz w:val="20"/>
                <w:szCs w:val="20"/>
                <w:color w:val="auto"/>
              </w:rPr>
            </w:pPr>
            <w:r>
              <w:rPr>
                <w:rFonts w:ascii="Arial" w:cs="Arial" w:eastAsia="Arial" w:hAnsi="Arial"/>
                <w:sz w:val="16"/>
                <w:szCs w:val="16"/>
                <w:color w:val="auto"/>
              </w:rPr>
              <w:t>$12,138,636 at December 31, 2015)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11,862,567</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12,242,671</w:t>
            </w:r>
          </w:p>
        </w:tc>
        <w:tc>
          <w:tcPr>
            <w:tcW w:w="120" w:type="dxa"/>
            <w:vAlign w:val="bottom"/>
            <w:shd w:val="clear" w:color="auto" w:fill="CFF0FC"/>
          </w:tcPr>
          <w:p>
            <w:pPr>
              <w:spacing w:after="0"/>
              <w:rPr>
                <w:sz w:val="18"/>
                <w:szCs w:val="18"/>
                <w:color w:val="auto"/>
              </w:rPr>
            </w:pPr>
          </w:p>
        </w:tc>
      </w:tr>
      <w:tr>
        <w:trPr>
          <w:trHeight w:val="206"/>
        </w:trPr>
        <w:tc>
          <w:tcPr>
            <w:tcW w:w="1640" w:type="dxa"/>
            <w:vAlign w:val="bottom"/>
          </w:tcPr>
          <w:p>
            <w:pPr>
              <w:spacing w:after="0"/>
              <w:rPr>
                <w:sz w:val="17"/>
                <w:szCs w:val="17"/>
                <w:color w:val="auto"/>
              </w:rPr>
            </w:pPr>
          </w:p>
        </w:tc>
        <w:tc>
          <w:tcPr>
            <w:tcW w:w="6980" w:type="dxa"/>
            <w:vAlign w:val="bottom"/>
          </w:tcPr>
          <w:p>
            <w:pPr>
              <w:ind w:left="680"/>
              <w:spacing w:after="0"/>
              <w:rPr>
                <w:sz w:val="20"/>
                <w:szCs w:val="20"/>
                <w:color w:val="auto"/>
              </w:rPr>
            </w:pPr>
            <w:r>
              <w:rPr>
                <w:rFonts w:ascii="Arial" w:cs="Arial" w:eastAsia="Arial" w:hAnsi="Arial"/>
                <w:sz w:val="16"/>
                <w:szCs w:val="16"/>
                <w:color w:val="auto"/>
              </w:rPr>
              <w:t>Held to maturity (fair value: $2,456,097 at September 30, 2016;</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1640" w:type="dxa"/>
            <w:vAlign w:val="bottom"/>
          </w:tcPr>
          <w:p>
            <w:pPr>
              <w:spacing w:after="0"/>
              <w:rPr>
                <w:sz w:val="18"/>
                <w:szCs w:val="18"/>
                <w:color w:val="auto"/>
              </w:rPr>
            </w:pPr>
          </w:p>
        </w:tc>
        <w:tc>
          <w:tcPr>
            <w:tcW w:w="6980" w:type="dxa"/>
            <w:vAlign w:val="bottom"/>
          </w:tcPr>
          <w:p>
            <w:pPr>
              <w:ind w:left="800"/>
              <w:spacing w:after="0"/>
              <w:rPr>
                <w:sz w:val="20"/>
                <w:szCs w:val="20"/>
                <w:color w:val="auto"/>
              </w:rPr>
            </w:pPr>
            <w:r>
              <w:rPr>
                <w:rFonts w:ascii="Arial" w:cs="Arial" w:eastAsia="Arial" w:hAnsi="Arial"/>
                <w:sz w:val="16"/>
                <w:szCs w:val="16"/>
                <w:color w:val="auto"/>
              </w:rPr>
              <w:t>$2,864,147 at December 31, 2015)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2,409,950</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2,859,709</w:t>
            </w:r>
          </w:p>
        </w:tc>
        <w:tc>
          <w:tcPr>
            <w:tcW w:w="120" w:type="dxa"/>
            <w:vAlign w:val="bottom"/>
          </w:tcPr>
          <w:p>
            <w:pPr>
              <w:spacing w:after="0"/>
              <w:rPr>
                <w:sz w:val="18"/>
                <w:szCs w:val="18"/>
                <w:color w:val="auto"/>
              </w:rPr>
            </w:pPr>
          </w:p>
        </w:tc>
      </w:tr>
      <w:tr>
        <w:trPr>
          <w:trHeight w:val="209"/>
        </w:trPr>
        <w:tc>
          <w:tcPr>
            <w:tcW w:w="1640" w:type="dxa"/>
            <w:vAlign w:val="bottom"/>
            <w:shd w:val="clear" w:color="auto" w:fill="CFF0FC"/>
          </w:tcPr>
          <w:p>
            <w:pPr>
              <w:spacing w:after="0"/>
              <w:rPr>
                <w:sz w:val="18"/>
                <w:szCs w:val="18"/>
                <w:color w:val="auto"/>
              </w:rPr>
            </w:pPr>
          </w:p>
        </w:tc>
        <w:tc>
          <w:tcPr>
            <w:tcW w:w="6980" w:type="dxa"/>
            <w:vAlign w:val="bottom"/>
            <w:shd w:val="clear" w:color="auto" w:fill="CFF0FC"/>
          </w:tcPr>
          <w:p>
            <w:pPr>
              <w:ind w:left="680"/>
              <w:spacing w:after="0"/>
              <w:rPr>
                <w:sz w:val="20"/>
                <w:szCs w:val="20"/>
                <w:color w:val="auto"/>
              </w:rPr>
            </w:pPr>
            <w:r>
              <w:rPr>
                <w:rFonts w:ascii="Arial" w:cs="Arial" w:eastAsia="Arial" w:hAnsi="Arial"/>
                <w:sz w:val="16"/>
                <w:szCs w:val="16"/>
                <w:color w:val="auto"/>
              </w:rPr>
              <w:t>Other (fair value: $461,057 at September 30, 2016; $554,059 at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1640" w:type="dxa"/>
            <w:vAlign w:val="bottom"/>
            <w:shd w:val="clear" w:color="auto" w:fill="CFF0FC"/>
          </w:tcPr>
          <w:p>
            <w:pPr>
              <w:spacing w:after="0"/>
              <w:rPr>
                <w:sz w:val="18"/>
                <w:szCs w:val="18"/>
                <w:color w:val="auto"/>
              </w:rPr>
            </w:pPr>
          </w:p>
        </w:tc>
        <w:tc>
          <w:tcPr>
            <w:tcW w:w="6980" w:type="dxa"/>
            <w:vAlign w:val="bottom"/>
            <w:shd w:val="clear" w:color="auto" w:fill="CFF0FC"/>
          </w:tcPr>
          <w:p>
            <w:pPr>
              <w:ind w:left="800"/>
              <w:spacing w:after="0"/>
              <w:rPr>
                <w:sz w:val="20"/>
                <w:szCs w:val="20"/>
                <w:color w:val="auto"/>
              </w:rPr>
            </w:pPr>
            <w:r>
              <w:rPr>
                <w:rFonts w:ascii="Arial" w:cs="Arial" w:eastAsia="Arial" w:hAnsi="Arial"/>
                <w:sz w:val="16"/>
                <w:szCs w:val="16"/>
                <w:color w:val="auto"/>
              </w:rPr>
              <w:t>December 31, 2015)</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461,057</w:t>
            </w:r>
          </w:p>
        </w:tc>
        <w:tc>
          <w:tcPr>
            <w:tcW w:w="40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554,059</w:t>
            </w:r>
          </w:p>
        </w:tc>
        <w:tc>
          <w:tcPr>
            <w:tcW w:w="120" w:type="dxa"/>
            <w:vAlign w:val="bottom"/>
            <w:shd w:val="clear" w:color="auto" w:fill="CFF0FC"/>
          </w:tcPr>
          <w:p>
            <w:pPr>
              <w:spacing w:after="0"/>
              <w:rPr>
                <w:sz w:val="18"/>
                <w:szCs w:val="18"/>
                <w:color w:val="auto"/>
              </w:rPr>
            </w:pPr>
          </w:p>
        </w:tc>
      </w:tr>
      <w:tr>
        <w:trPr>
          <w:trHeight w:val="207"/>
        </w:trPr>
        <w:tc>
          <w:tcPr>
            <w:tcW w:w="1640" w:type="dxa"/>
            <w:vAlign w:val="bottom"/>
            <w:tcBorders>
              <w:bottom w:val="single" w:sz="8" w:color="CFF0FC"/>
            </w:tcBorders>
          </w:tcPr>
          <w:p>
            <w:pPr>
              <w:spacing w:after="0"/>
              <w:rPr>
                <w:sz w:val="17"/>
                <w:szCs w:val="17"/>
                <w:color w:val="auto"/>
              </w:rPr>
            </w:pPr>
          </w:p>
        </w:tc>
        <w:tc>
          <w:tcPr>
            <w:tcW w:w="6980" w:type="dxa"/>
            <w:vAlign w:val="bottom"/>
            <w:tcBorders>
              <w:bottom w:val="single" w:sz="8" w:color="CFF0FC"/>
            </w:tcBorders>
          </w:tcPr>
          <w:p>
            <w:pPr>
              <w:ind w:left="800"/>
              <w:spacing w:after="0"/>
              <w:rPr>
                <w:sz w:val="20"/>
                <w:szCs w:val="20"/>
                <w:color w:val="auto"/>
              </w:rPr>
            </w:pPr>
            <w:r>
              <w:rPr>
                <w:rFonts w:ascii="Arial" w:cs="Arial" w:eastAsia="Arial" w:hAnsi="Arial"/>
                <w:sz w:val="16"/>
                <w:szCs w:val="16"/>
                <w:color w:val="auto"/>
              </w:rPr>
              <w:t>Total investment securities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14,733,574</w:t>
            </w:r>
          </w:p>
        </w:tc>
        <w:tc>
          <w:tcPr>
            <w:tcW w:w="400" w:type="dxa"/>
            <w:vAlign w:val="bottom"/>
            <w:tcBorders>
              <w:bottom w:val="single" w:sz="8" w:color="CFF0FC"/>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15,656,439</w:t>
            </w:r>
          </w:p>
        </w:tc>
        <w:tc>
          <w:tcPr>
            <w:tcW w:w="120" w:type="dxa"/>
            <w:vAlign w:val="bottom"/>
            <w:tcBorders>
              <w:bottom w:val="single" w:sz="8" w:color="CFF0FC"/>
            </w:tcBorders>
          </w:tcPr>
          <w:p>
            <w:pPr>
              <w:spacing w:after="0"/>
              <w:rPr>
                <w:sz w:val="17"/>
                <w:szCs w:val="17"/>
                <w:color w:val="auto"/>
              </w:rPr>
            </w:pPr>
          </w:p>
        </w:tc>
      </w:tr>
      <w:tr>
        <w:trPr>
          <w:trHeight w:val="213"/>
        </w:trPr>
        <w:tc>
          <w:tcPr>
            <w:tcW w:w="1640" w:type="dxa"/>
            <w:vAlign w:val="bottom"/>
            <w:shd w:val="clear" w:color="auto" w:fill="CFF0FC"/>
          </w:tcPr>
          <w:p>
            <w:pPr>
              <w:spacing w:after="0"/>
              <w:rPr>
                <w:sz w:val="18"/>
                <w:szCs w:val="18"/>
                <w:color w:val="auto"/>
              </w:rPr>
            </w:pP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Loans and leases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89,887,257</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87,719,234</w:t>
            </w:r>
          </w:p>
        </w:tc>
        <w:tc>
          <w:tcPr>
            <w:tcW w:w="120" w:type="dxa"/>
            <w:vAlign w:val="bottom"/>
            <w:shd w:val="clear" w:color="auto" w:fill="CFF0FC"/>
          </w:tcPr>
          <w:p>
            <w:pPr>
              <w:spacing w:after="0"/>
              <w:rPr>
                <w:sz w:val="18"/>
                <w:szCs w:val="18"/>
                <w:color w:val="auto"/>
              </w:rPr>
            </w:pPr>
          </w:p>
        </w:tc>
      </w:tr>
      <w:tr>
        <w:trPr>
          <w:trHeight w:val="213"/>
        </w:trPr>
        <w:tc>
          <w:tcPr>
            <w:tcW w:w="164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6"/>
                <w:szCs w:val="16"/>
                <w:color w:val="auto"/>
              </w:rPr>
              <w:t>Unearned discount</w:t>
            </w:r>
          </w:p>
        </w:tc>
        <w:tc>
          <w:tcPr>
            <w:tcW w:w="2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(240,765)</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(229,735)</w:t>
            </w:r>
          </w:p>
        </w:tc>
      </w:tr>
      <w:tr>
        <w:trPr>
          <w:trHeight w:val="213"/>
        </w:trPr>
        <w:tc>
          <w:tcPr>
            <w:tcW w:w="1640" w:type="dxa"/>
            <w:vAlign w:val="bottom"/>
            <w:tcBorders>
              <w:top w:val="single" w:sz="8" w:color="CFF0FC"/>
            </w:tcBorders>
            <w:shd w:val="clear" w:color="auto" w:fill="CFF0FC"/>
          </w:tcPr>
          <w:p>
            <w:pPr>
              <w:spacing w:after="0"/>
              <w:rPr>
                <w:sz w:val="18"/>
                <w:szCs w:val="18"/>
                <w:color w:val="auto"/>
              </w:rPr>
            </w:pPr>
          </w:p>
        </w:tc>
        <w:tc>
          <w:tcPr>
            <w:tcW w:w="6980" w:type="dxa"/>
            <w:vAlign w:val="bottom"/>
            <w:tcBorders>
              <w:top w:val="single" w:sz="8" w:color="CFF0FC"/>
            </w:tcBorders>
            <w:shd w:val="clear" w:color="auto" w:fill="CFF0FC"/>
          </w:tcPr>
          <w:p>
            <w:pPr>
              <w:ind w:left="800"/>
              <w:spacing w:after="0"/>
              <w:rPr>
                <w:sz w:val="20"/>
                <w:szCs w:val="20"/>
                <w:color w:val="auto"/>
              </w:rPr>
            </w:pPr>
            <w:r>
              <w:rPr>
                <w:rFonts w:ascii="Arial" w:cs="Arial" w:eastAsia="Arial" w:hAnsi="Arial"/>
                <w:sz w:val="16"/>
                <w:szCs w:val="16"/>
                <w:color w:val="auto"/>
              </w:rPr>
              <w:t>Loans and leases, net of unearned discount</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89,646,492</w:t>
            </w:r>
          </w:p>
        </w:tc>
        <w:tc>
          <w:tcPr>
            <w:tcW w:w="4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87,489,499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1640" w:type="dxa"/>
            <w:vAlign w:val="bottom"/>
          </w:tcPr>
          <w:p>
            <w:pPr>
              <w:spacing w:after="0"/>
              <w:rPr>
                <w:sz w:val="18"/>
                <w:szCs w:val="18"/>
                <w:color w:val="auto"/>
              </w:rPr>
            </w:pPr>
          </w:p>
        </w:tc>
        <w:tc>
          <w:tcPr>
            <w:tcW w:w="6980" w:type="dxa"/>
            <w:vAlign w:val="bottom"/>
          </w:tcPr>
          <w:p>
            <w:pPr>
              <w:ind w:left="680"/>
              <w:spacing w:after="0"/>
              <w:rPr>
                <w:sz w:val="20"/>
                <w:szCs w:val="20"/>
                <w:color w:val="auto"/>
              </w:rPr>
            </w:pPr>
            <w:r>
              <w:rPr>
                <w:rFonts w:ascii="Arial" w:cs="Arial" w:eastAsia="Arial" w:hAnsi="Arial"/>
                <w:sz w:val="16"/>
                <w:szCs w:val="16"/>
                <w:color w:val="auto"/>
              </w:rPr>
              <w:t>Allowance for credit losses</w:t>
            </w:r>
          </w:p>
        </w:tc>
        <w:tc>
          <w:tcPr>
            <w:tcW w:w="2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(976,121)</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(955,992)</w:t>
            </w:r>
          </w:p>
        </w:tc>
      </w:tr>
      <w:tr>
        <w:trPr>
          <w:trHeight w:val="213"/>
        </w:trPr>
        <w:tc>
          <w:tcPr>
            <w:tcW w:w="1640" w:type="dxa"/>
            <w:vAlign w:val="bottom"/>
            <w:tcBorders>
              <w:top w:val="single" w:sz="8" w:color="CFF0FC"/>
            </w:tcBorders>
            <w:shd w:val="clear" w:color="auto" w:fill="CFF0FC"/>
          </w:tcPr>
          <w:p>
            <w:pPr>
              <w:spacing w:after="0"/>
              <w:rPr>
                <w:sz w:val="18"/>
                <w:szCs w:val="18"/>
                <w:color w:val="auto"/>
              </w:rPr>
            </w:pPr>
          </w:p>
        </w:tc>
        <w:tc>
          <w:tcPr>
            <w:tcW w:w="6980" w:type="dxa"/>
            <w:vAlign w:val="bottom"/>
            <w:tcBorders>
              <w:top w:val="single" w:sz="8" w:color="CFF0FC"/>
            </w:tcBorders>
            <w:shd w:val="clear" w:color="auto" w:fill="CFF0FC"/>
          </w:tcPr>
          <w:p>
            <w:pPr>
              <w:ind w:left="800"/>
              <w:spacing w:after="0"/>
              <w:rPr>
                <w:sz w:val="20"/>
                <w:szCs w:val="20"/>
                <w:color w:val="auto"/>
              </w:rPr>
            </w:pPr>
            <w:r>
              <w:rPr>
                <w:rFonts w:ascii="Arial" w:cs="Arial" w:eastAsia="Arial" w:hAnsi="Arial"/>
                <w:sz w:val="16"/>
                <w:szCs w:val="16"/>
                <w:color w:val="auto"/>
              </w:rPr>
              <w:t>Loans and leases, net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88,670,371</w:t>
            </w:r>
          </w:p>
        </w:tc>
        <w:tc>
          <w:tcPr>
            <w:tcW w:w="4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86,533,507</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1640" w:type="dxa"/>
            <w:vAlign w:val="bottom"/>
          </w:tcPr>
          <w:p>
            <w:pPr>
              <w:spacing w:after="0"/>
              <w:rPr>
                <w:sz w:val="17"/>
                <w:szCs w:val="17"/>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auto"/>
              </w:rPr>
              <w:t>Premises and equipment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660,381</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666,682</w:t>
            </w:r>
          </w:p>
        </w:tc>
        <w:tc>
          <w:tcPr>
            <w:tcW w:w="120" w:type="dxa"/>
            <w:vAlign w:val="bottom"/>
          </w:tcPr>
          <w:p>
            <w:pPr>
              <w:spacing w:after="0"/>
              <w:rPr>
                <w:sz w:val="17"/>
                <w:szCs w:val="17"/>
                <w:color w:val="auto"/>
              </w:rPr>
            </w:pPr>
          </w:p>
        </w:tc>
      </w:tr>
      <w:tr>
        <w:trPr>
          <w:trHeight w:val="219"/>
        </w:trPr>
        <w:tc>
          <w:tcPr>
            <w:tcW w:w="1640" w:type="dxa"/>
            <w:vAlign w:val="bottom"/>
            <w:shd w:val="clear" w:color="auto" w:fill="CFF0FC"/>
          </w:tcPr>
          <w:p>
            <w:pPr>
              <w:spacing w:after="0"/>
              <w:rPr>
                <w:sz w:val="19"/>
                <w:szCs w:val="19"/>
                <w:color w:val="auto"/>
              </w:rPr>
            </w:pP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4,593,112</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4,593,112</w:t>
            </w:r>
          </w:p>
        </w:tc>
        <w:tc>
          <w:tcPr>
            <w:tcW w:w="120" w:type="dxa"/>
            <w:vAlign w:val="bottom"/>
            <w:shd w:val="clear" w:color="auto" w:fill="CFF0FC"/>
          </w:tcPr>
          <w:p>
            <w:pPr>
              <w:spacing w:after="0"/>
              <w:rPr>
                <w:sz w:val="19"/>
                <w:szCs w:val="19"/>
                <w:color w:val="auto"/>
              </w:rPr>
            </w:pPr>
          </w:p>
        </w:tc>
      </w:tr>
      <w:tr>
        <w:trPr>
          <w:trHeight w:val="213"/>
        </w:trPr>
        <w:tc>
          <w:tcPr>
            <w:tcW w:w="164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auto"/>
              </w:rPr>
              <w:t>Core deposit and other intangible assets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106,744</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140,268</w:t>
            </w:r>
          </w:p>
        </w:tc>
        <w:tc>
          <w:tcPr>
            <w:tcW w:w="120" w:type="dxa"/>
            <w:vAlign w:val="bottom"/>
          </w:tcPr>
          <w:p>
            <w:pPr>
              <w:spacing w:after="0"/>
              <w:rPr>
                <w:sz w:val="18"/>
                <w:szCs w:val="18"/>
                <w:color w:val="auto"/>
              </w:rPr>
            </w:pPr>
          </w:p>
        </w:tc>
      </w:tr>
      <w:tr>
        <w:trPr>
          <w:trHeight w:val="219"/>
        </w:trPr>
        <w:tc>
          <w:tcPr>
            <w:tcW w:w="1640" w:type="dxa"/>
            <w:vAlign w:val="bottom"/>
            <w:shd w:val="clear" w:color="auto" w:fill="CFF0FC"/>
          </w:tcPr>
          <w:p>
            <w:pPr>
              <w:spacing w:after="0"/>
              <w:rPr>
                <w:sz w:val="19"/>
                <w:szCs w:val="19"/>
                <w:color w:val="auto"/>
              </w:rPr>
            </w:pP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Accrued interest and other assets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5,478,420</w:t>
            </w:r>
          </w:p>
        </w:tc>
        <w:tc>
          <w:tcPr>
            <w:tcW w:w="4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5,961,703</w:t>
            </w:r>
          </w:p>
        </w:tc>
        <w:tc>
          <w:tcPr>
            <w:tcW w:w="120" w:type="dxa"/>
            <w:vAlign w:val="bottom"/>
            <w:shd w:val="clear" w:color="auto" w:fill="CFF0FC"/>
          </w:tcPr>
          <w:p>
            <w:pPr>
              <w:spacing w:after="0"/>
              <w:rPr>
                <w:sz w:val="19"/>
                <w:szCs w:val="19"/>
                <w:color w:val="auto"/>
              </w:rPr>
            </w:pPr>
          </w:p>
        </w:tc>
      </w:tr>
      <w:tr>
        <w:trPr>
          <w:trHeight w:val="247"/>
        </w:trPr>
        <w:tc>
          <w:tcPr>
            <w:tcW w:w="1640" w:type="dxa"/>
            <w:vAlign w:val="bottom"/>
            <w:tcBorders>
              <w:bottom w:val="single" w:sz="8" w:color="CFF0FC"/>
            </w:tcBorders>
          </w:tcPr>
          <w:p>
            <w:pPr>
              <w:spacing w:after="0"/>
              <w:rPr>
                <w:sz w:val="21"/>
                <w:szCs w:val="21"/>
                <w:color w:val="auto"/>
              </w:rPr>
            </w:pPr>
          </w:p>
        </w:tc>
        <w:tc>
          <w:tcPr>
            <w:tcW w:w="6980" w:type="dxa"/>
            <w:vAlign w:val="bottom"/>
            <w:tcBorders>
              <w:bottom w:val="single" w:sz="8" w:color="CFF0FC"/>
            </w:tcBorders>
          </w:tcPr>
          <w:p>
            <w:pPr>
              <w:ind w:left="8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126,841,028</w:t>
            </w:r>
          </w:p>
        </w:tc>
        <w:tc>
          <w:tcPr>
            <w:tcW w:w="40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122,787,884</w:t>
            </w:r>
          </w:p>
        </w:tc>
        <w:tc>
          <w:tcPr>
            <w:tcW w:w="120" w:type="dxa"/>
            <w:vAlign w:val="bottom"/>
            <w:tcBorders>
              <w:bottom w:val="single" w:sz="8" w:color="CFF0FC"/>
            </w:tcBorders>
          </w:tcPr>
          <w:p>
            <w:pPr>
              <w:spacing w:after="0"/>
              <w:rPr>
                <w:sz w:val="21"/>
                <w:szCs w:val="21"/>
                <w:color w:val="auto"/>
              </w:rPr>
            </w:pPr>
          </w:p>
        </w:tc>
      </w:tr>
      <w:tr>
        <w:trPr>
          <w:trHeight w:val="200"/>
        </w:trPr>
        <w:tc>
          <w:tcPr>
            <w:tcW w:w="1640" w:type="dxa"/>
            <w:vAlign w:val="bottom"/>
            <w:shd w:val="clear" w:color="auto" w:fill="CFF0FC"/>
          </w:tcPr>
          <w:p>
            <w:pPr>
              <w:spacing w:after="0"/>
              <w:rPr>
                <w:sz w:val="17"/>
                <w:szCs w:val="17"/>
                <w:color w:val="auto"/>
              </w:rPr>
            </w:pPr>
          </w:p>
        </w:tc>
        <w:tc>
          <w:tcPr>
            <w:tcW w:w="6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3"/>
        </w:trPr>
        <w:tc>
          <w:tcPr>
            <w:tcW w:w="1640" w:type="dxa"/>
            <w:vAlign w:val="bottom"/>
          </w:tcPr>
          <w:p>
            <w:pPr>
              <w:spacing w:after="0"/>
              <w:rPr>
                <w:sz w:val="20"/>
                <w:szCs w:val="20"/>
                <w:color w:val="auto"/>
              </w:rPr>
            </w:pPr>
            <w:r>
              <w:rPr>
                <w:rFonts w:ascii="Arial" w:cs="Arial" w:eastAsia="Arial" w:hAnsi="Arial"/>
                <w:sz w:val="16"/>
                <w:szCs w:val="16"/>
                <w:color w:val="auto"/>
              </w:rPr>
              <w:t>Liabilities</w:t>
            </w:r>
          </w:p>
        </w:tc>
        <w:tc>
          <w:tcPr>
            <w:tcW w:w="6980" w:type="dxa"/>
            <w:vAlign w:val="bottom"/>
          </w:tcPr>
          <w:p>
            <w:pPr>
              <w:ind w:left="320"/>
              <w:spacing w:after="0"/>
              <w:rPr>
                <w:sz w:val="20"/>
                <w:szCs w:val="20"/>
                <w:color w:val="auto"/>
              </w:rPr>
            </w:pPr>
            <w:r>
              <w:rPr>
                <w:rFonts w:ascii="Arial" w:cs="Arial" w:eastAsia="Arial" w:hAnsi="Arial"/>
                <w:sz w:val="16"/>
                <w:szCs w:val="16"/>
                <w:color w:val="auto"/>
              </w:rPr>
              <w:t>Noninterest-bearing deposits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33,127,627</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29,110,635</w:t>
            </w:r>
          </w:p>
        </w:tc>
        <w:tc>
          <w:tcPr>
            <w:tcW w:w="120" w:type="dxa"/>
            <w:vAlign w:val="bottom"/>
          </w:tcPr>
          <w:p>
            <w:pPr>
              <w:spacing w:after="0"/>
              <w:rPr>
                <w:sz w:val="18"/>
                <w:szCs w:val="18"/>
                <w:color w:val="auto"/>
              </w:rPr>
            </w:pPr>
          </w:p>
        </w:tc>
      </w:tr>
      <w:tr>
        <w:trPr>
          <w:trHeight w:val="219"/>
        </w:trPr>
        <w:tc>
          <w:tcPr>
            <w:tcW w:w="1640" w:type="dxa"/>
            <w:vAlign w:val="bottom"/>
            <w:shd w:val="clear" w:color="auto" w:fill="CFF0FC"/>
          </w:tcPr>
          <w:p>
            <w:pPr>
              <w:spacing w:after="0"/>
              <w:rPr>
                <w:sz w:val="19"/>
                <w:szCs w:val="19"/>
                <w:color w:val="auto"/>
              </w:rPr>
            </w:pP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Interest-checking deposits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2,554,507</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2,939,274</w:t>
            </w:r>
          </w:p>
        </w:tc>
        <w:tc>
          <w:tcPr>
            <w:tcW w:w="120" w:type="dxa"/>
            <w:vAlign w:val="bottom"/>
            <w:shd w:val="clear" w:color="auto" w:fill="CFF0FC"/>
          </w:tcPr>
          <w:p>
            <w:pPr>
              <w:spacing w:after="0"/>
              <w:rPr>
                <w:sz w:val="19"/>
                <w:szCs w:val="19"/>
                <w:color w:val="auto"/>
              </w:rPr>
            </w:pPr>
          </w:p>
        </w:tc>
      </w:tr>
      <w:tr>
        <w:trPr>
          <w:trHeight w:val="213"/>
        </w:trPr>
        <w:tc>
          <w:tcPr>
            <w:tcW w:w="164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auto"/>
              </w:rPr>
              <w:t>Savings deposits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50,510,523</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46,627,370</w:t>
            </w:r>
          </w:p>
        </w:tc>
        <w:tc>
          <w:tcPr>
            <w:tcW w:w="120" w:type="dxa"/>
            <w:vAlign w:val="bottom"/>
          </w:tcPr>
          <w:p>
            <w:pPr>
              <w:spacing w:after="0"/>
              <w:rPr>
                <w:sz w:val="18"/>
                <w:szCs w:val="18"/>
                <w:color w:val="auto"/>
              </w:rPr>
            </w:pPr>
          </w:p>
        </w:tc>
      </w:tr>
      <w:tr>
        <w:trPr>
          <w:trHeight w:val="219"/>
        </w:trPr>
        <w:tc>
          <w:tcPr>
            <w:tcW w:w="1640" w:type="dxa"/>
            <w:vAlign w:val="bottom"/>
            <w:shd w:val="clear" w:color="auto" w:fill="CFF0FC"/>
          </w:tcPr>
          <w:p>
            <w:pPr>
              <w:spacing w:after="0"/>
              <w:rPr>
                <w:sz w:val="19"/>
                <w:szCs w:val="19"/>
                <w:color w:val="auto"/>
              </w:rPr>
            </w:pP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11,721,005</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13,110,392</w:t>
            </w:r>
          </w:p>
        </w:tc>
        <w:tc>
          <w:tcPr>
            <w:tcW w:w="120" w:type="dxa"/>
            <w:vAlign w:val="bottom"/>
            <w:shd w:val="clear" w:color="auto" w:fill="CFF0FC"/>
          </w:tcPr>
          <w:p>
            <w:pPr>
              <w:spacing w:after="0"/>
              <w:rPr>
                <w:sz w:val="19"/>
                <w:szCs w:val="19"/>
                <w:color w:val="auto"/>
              </w:rPr>
            </w:pPr>
          </w:p>
        </w:tc>
      </w:tr>
      <w:tr>
        <w:trPr>
          <w:trHeight w:val="213"/>
        </w:trPr>
        <w:tc>
          <w:tcPr>
            <w:tcW w:w="1640" w:type="dxa"/>
            <w:vAlign w:val="bottom"/>
            <w:tcBorders>
              <w:bottom w:val="single" w:sz="8" w:color="CFF0FC"/>
            </w:tcBorders>
          </w:tcPr>
          <w:p>
            <w:pPr>
              <w:spacing w:after="0"/>
              <w:rPr>
                <w:sz w:val="18"/>
                <w:szCs w:val="18"/>
                <w:color w:val="auto"/>
              </w:rPr>
            </w:pPr>
          </w:p>
        </w:tc>
        <w:tc>
          <w:tcPr>
            <w:tcW w:w="6980" w:type="dxa"/>
            <w:vAlign w:val="bottom"/>
            <w:tcBorders>
              <w:bottom w:val="single" w:sz="8" w:color="CFF0FC"/>
            </w:tcBorders>
          </w:tcPr>
          <w:p>
            <w:pPr>
              <w:ind w:left="320"/>
              <w:spacing w:after="0"/>
              <w:rPr>
                <w:sz w:val="20"/>
                <w:szCs w:val="20"/>
                <w:color w:val="auto"/>
              </w:rPr>
            </w:pPr>
            <w:r>
              <w:rPr>
                <w:rFonts w:ascii="Arial" w:cs="Arial" w:eastAsia="Arial" w:hAnsi="Arial"/>
                <w:sz w:val="16"/>
                <w:szCs w:val="16"/>
                <w:color w:val="auto"/>
              </w:rPr>
              <w:t>Deposits at Cayman Islands office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223,183</w:t>
            </w:r>
          </w:p>
        </w:tc>
        <w:tc>
          <w:tcPr>
            <w:tcW w:w="40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170,170</w:t>
            </w:r>
          </w:p>
        </w:tc>
        <w:tc>
          <w:tcPr>
            <w:tcW w:w="120" w:type="dxa"/>
            <w:vAlign w:val="bottom"/>
            <w:tcBorders>
              <w:bottom w:val="single" w:sz="8" w:color="CFF0FC"/>
            </w:tcBorders>
          </w:tcPr>
          <w:p>
            <w:pPr>
              <w:spacing w:after="0"/>
              <w:rPr>
                <w:sz w:val="18"/>
                <w:szCs w:val="18"/>
                <w:color w:val="auto"/>
              </w:rPr>
            </w:pPr>
          </w:p>
        </w:tc>
      </w:tr>
      <w:tr>
        <w:trPr>
          <w:trHeight w:val="213"/>
        </w:trPr>
        <w:tc>
          <w:tcPr>
            <w:tcW w:w="1640" w:type="dxa"/>
            <w:vAlign w:val="bottom"/>
            <w:shd w:val="clear" w:color="auto" w:fill="CFF0FC"/>
          </w:tcPr>
          <w:p>
            <w:pPr>
              <w:spacing w:after="0"/>
              <w:rPr>
                <w:sz w:val="18"/>
                <w:szCs w:val="18"/>
                <w:color w:val="auto"/>
              </w:rPr>
            </w:pPr>
          </w:p>
        </w:tc>
        <w:tc>
          <w:tcPr>
            <w:tcW w:w="6980" w:type="dxa"/>
            <w:vAlign w:val="bottom"/>
            <w:shd w:val="clear" w:color="auto" w:fill="CFF0FC"/>
          </w:tcPr>
          <w:p>
            <w:pPr>
              <w:ind w:left="800"/>
              <w:spacing w:after="0"/>
              <w:rPr>
                <w:sz w:val="20"/>
                <w:szCs w:val="20"/>
                <w:color w:val="auto"/>
              </w:rPr>
            </w:pPr>
            <w:r>
              <w:rPr>
                <w:rFonts w:ascii="Arial" w:cs="Arial" w:eastAsia="Arial" w:hAnsi="Arial"/>
                <w:sz w:val="16"/>
                <w:szCs w:val="16"/>
                <w:color w:val="auto"/>
              </w:rPr>
              <w:t>Total deposits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98,136,845</w:t>
            </w:r>
          </w:p>
        </w:tc>
        <w:tc>
          <w:tcPr>
            <w:tcW w:w="40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91,957,841</w:t>
            </w:r>
          </w:p>
        </w:tc>
        <w:tc>
          <w:tcPr>
            <w:tcW w:w="120" w:type="dxa"/>
            <w:vAlign w:val="bottom"/>
            <w:shd w:val="clear" w:color="auto" w:fill="CFF0FC"/>
          </w:tcPr>
          <w:p>
            <w:pPr>
              <w:spacing w:after="0"/>
              <w:rPr>
                <w:sz w:val="18"/>
                <w:szCs w:val="18"/>
                <w:color w:val="auto"/>
              </w:rPr>
            </w:pPr>
          </w:p>
        </w:tc>
      </w:tr>
      <w:tr>
        <w:trPr>
          <w:trHeight w:val="207"/>
        </w:trPr>
        <w:tc>
          <w:tcPr>
            <w:tcW w:w="1640" w:type="dxa"/>
            <w:vAlign w:val="bottom"/>
          </w:tcPr>
          <w:p>
            <w:pPr>
              <w:spacing w:after="0"/>
              <w:rPr>
                <w:sz w:val="17"/>
                <w:szCs w:val="17"/>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auto"/>
              </w:rPr>
              <w:t>Federal funds purchased and agreements to repurchase securities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213,846</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150,546</w:t>
            </w:r>
          </w:p>
        </w:tc>
        <w:tc>
          <w:tcPr>
            <w:tcW w:w="120" w:type="dxa"/>
            <w:vAlign w:val="bottom"/>
          </w:tcPr>
          <w:p>
            <w:pPr>
              <w:spacing w:after="0"/>
              <w:rPr>
                <w:sz w:val="17"/>
                <w:szCs w:val="17"/>
                <w:color w:val="auto"/>
              </w:rPr>
            </w:pPr>
          </w:p>
        </w:tc>
      </w:tr>
      <w:tr>
        <w:trPr>
          <w:trHeight w:val="219"/>
        </w:trPr>
        <w:tc>
          <w:tcPr>
            <w:tcW w:w="1640" w:type="dxa"/>
            <w:vAlign w:val="bottom"/>
            <w:shd w:val="clear" w:color="auto" w:fill="CFF0FC"/>
          </w:tcPr>
          <w:p>
            <w:pPr>
              <w:spacing w:after="0"/>
              <w:rPr>
                <w:sz w:val="19"/>
                <w:szCs w:val="19"/>
                <w:color w:val="auto"/>
              </w:rPr>
            </w:pP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Other short-term borrowings</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1,981,636</w:t>
            </w:r>
          </w:p>
        </w:tc>
        <w:tc>
          <w:tcPr>
            <w:tcW w:w="120" w:type="dxa"/>
            <w:vAlign w:val="bottom"/>
            <w:shd w:val="clear" w:color="auto" w:fill="CFF0FC"/>
          </w:tcPr>
          <w:p>
            <w:pPr>
              <w:spacing w:after="0"/>
              <w:rPr>
                <w:sz w:val="19"/>
                <w:szCs w:val="19"/>
                <w:color w:val="auto"/>
              </w:rPr>
            </w:pPr>
          </w:p>
        </w:tc>
      </w:tr>
      <w:tr>
        <w:trPr>
          <w:trHeight w:val="213"/>
        </w:trPr>
        <w:tc>
          <w:tcPr>
            <w:tcW w:w="164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auto"/>
              </w:rPr>
              <w:t>Accrued interest and other liabilities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1,938,201</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1,870,714</w:t>
            </w:r>
          </w:p>
        </w:tc>
        <w:tc>
          <w:tcPr>
            <w:tcW w:w="120" w:type="dxa"/>
            <w:vAlign w:val="bottom"/>
          </w:tcPr>
          <w:p>
            <w:pPr>
              <w:spacing w:after="0"/>
              <w:rPr>
                <w:sz w:val="18"/>
                <w:szCs w:val="18"/>
                <w:color w:val="auto"/>
              </w:rPr>
            </w:pPr>
          </w:p>
        </w:tc>
      </w:tr>
      <w:tr>
        <w:trPr>
          <w:trHeight w:val="219"/>
        </w:trPr>
        <w:tc>
          <w:tcPr>
            <w:tcW w:w="1640" w:type="dxa"/>
            <w:vAlign w:val="bottom"/>
            <w:shd w:val="clear" w:color="auto" w:fill="CFF0FC"/>
          </w:tcPr>
          <w:p>
            <w:pPr>
              <w:spacing w:after="0"/>
              <w:rPr>
                <w:sz w:val="19"/>
                <w:szCs w:val="19"/>
                <w:color w:val="auto"/>
              </w:rPr>
            </w:pP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Long-term borrowings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10,211,160</w:t>
            </w:r>
          </w:p>
        </w:tc>
        <w:tc>
          <w:tcPr>
            <w:tcW w:w="4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10,653,858</w:t>
            </w:r>
          </w:p>
        </w:tc>
        <w:tc>
          <w:tcPr>
            <w:tcW w:w="120" w:type="dxa"/>
            <w:vAlign w:val="bottom"/>
            <w:shd w:val="clear" w:color="auto" w:fill="CFF0FC"/>
          </w:tcPr>
          <w:p>
            <w:pPr>
              <w:spacing w:after="0"/>
              <w:rPr>
                <w:sz w:val="19"/>
                <w:szCs w:val="19"/>
                <w:color w:val="auto"/>
              </w:rPr>
            </w:pPr>
          </w:p>
        </w:tc>
      </w:tr>
      <w:tr>
        <w:trPr>
          <w:trHeight w:val="207"/>
        </w:trPr>
        <w:tc>
          <w:tcPr>
            <w:tcW w:w="1640" w:type="dxa"/>
            <w:vAlign w:val="bottom"/>
            <w:tcBorders>
              <w:bottom w:val="single" w:sz="8" w:color="CFF0FC"/>
            </w:tcBorders>
          </w:tcPr>
          <w:p>
            <w:pPr>
              <w:spacing w:after="0"/>
              <w:rPr>
                <w:sz w:val="17"/>
                <w:szCs w:val="17"/>
                <w:color w:val="auto"/>
              </w:rPr>
            </w:pPr>
          </w:p>
        </w:tc>
        <w:tc>
          <w:tcPr>
            <w:tcW w:w="6980" w:type="dxa"/>
            <w:vAlign w:val="bottom"/>
            <w:tcBorders>
              <w:bottom w:val="single" w:sz="8" w:color="CFF0FC"/>
            </w:tcBorders>
          </w:tcPr>
          <w:p>
            <w:pPr>
              <w:ind w:left="8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110,500,052</w:t>
            </w:r>
          </w:p>
        </w:tc>
        <w:tc>
          <w:tcPr>
            <w:tcW w:w="400" w:type="dxa"/>
            <w:vAlign w:val="bottom"/>
            <w:tcBorders>
              <w:bottom w:val="single" w:sz="8" w:color="CFF0FC"/>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106,614,595</w:t>
            </w:r>
          </w:p>
        </w:tc>
        <w:tc>
          <w:tcPr>
            <w:tcW w:w="120" w:type="dxa"/>
            <w:vAlign w:val="bottom"/>
            <w:tcBorders>
              <w:bottom w:val="single" w:sz="8" w:color="CFF0FC"/>
            </w:tcBorders>
          </w:tcPr>
          <w:p>
            <w:pPr>
              <w:spacing w:after="0"/>
              <w:rPr>
                <w:sz w:val="17"/>
                <w:szCs w:val="17"/>
                <w:color w:val="auto"/>
              </w:rPr>
            </w:pPr>
          </w:p>
        </w:tc>
      </w:tr>
      <w:tr>
        <w:trPr>
          <w:trHeight w:val="203"/>
        </w:trPr>
        <w:tc>
          <w:tcPr>
            <w:tcW w:w="1640" w:type="dxa"/>
            <w:vAlign w:val="bottom"/>
            <w:shd w:val="clear" w:color="auto" w:fill="CFF0FC"/>
          </w:tcPr>
          <w:p>
            <w:pPr>
              <w:spacing w:after="0"/>
              <w:rPr>
                <w:sz w:val="20"/>
                <w:szCs w:val="20"/>
                <w:color w:val="auto"/>
              </w:rPr>
            </w:pPr>
            <w:r>
              <w:rPr>
                <w:rFonts w:ascii="Arial" w:cs="Arial" w:eastAsia="Arial" w:hAnsi="Arial"/>
                <w:sz w:val="16"/>
                <w:szCs w:val="16"/>
                <w:color w:val="auto"/>
              </w:rPr>
              <w:t>Shareholders' equity</w:t>
            </w: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Preferred stock, $1.00 par, 1,000,000 shares authorized;</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1640" w:type="dxa"/>
            <w:vAlign w:val="bottom"/>
            <w:shd w:val="clear" w:color="auto" w:fill="CFF0FC"/>
          </w:tcPr>
          <w:p>
            <w:pPr>
              <w:spacing w:after="0"/>
              <w:rPr>
                <w:sz w:val="17"/>
                <w:szCs w:val="17"/>
                <w:color w:val="auto"/>
              </w:rPr>
            </w:pPr>
          </w:p>
        </w:tc>
        <w:tc>
          <w:tcPr>
            <w:tcW w:w="69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Issued and outstanding: Liquidation preference of $1,000 per</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1640" w:type="dxa"/>
            <w:vAlign w:val="bottom"/>
            <w:shd w:val="clear" w:color="auto" w:fill="CFF0FC"/>
          </w:tcPr>
          <w:p>
            <w:pPr>
              <w:spacing w:after="0"/>
              <w:rPr>
                <w:sz w:val="17"/>
                <w:szCs w:val="17"/>
                <w:color w:val="auto"/>
              </w:rPr>
            </w:pPr>
          </w:p>
        </w:tc>
        <w:tc>
          <w:tcPr>
            <w:tcW w:w="69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share: 731,500 shares at September 30, 2016 and December 31,</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1640" w:type="dxa"/>
            <w:vAlign w:val="bottom"/>
            <w:shd w:val="clear" w:color="auto" w:fill="CFF0FC"/>
          </w:tcPr>
          <w:p>
            <w:pPr>
              <w:spacing w:after="0"/>
              <w:rPr>
                <w:sz w:val="17"/>
                <w:szCs w:val="17"/>
                <w:color w:val="auto"/>
              </w:rPr>
            </w:pPr>
          </w:p>
        </w:tc>
        <w:tc>
          <w:tcPr>
            <w:tcW w:w="69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2015; Liquidation preference of $10,000 per share: 50,000</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1640" w:type="dxa"/>
            <w:vAlign w:val="bottom"/>
            <w:shd w:val="clear" w:color="auto" w:fill="CFF0FC"/>
          </w:tcPr>
          <w:p>
            <w:pPr>
              <w:spacing w:after="0"/>
              <w:rPr>
                <w:sz w:val="18"/>
                <w:szCs w:val="18"/>
                <w:color w:val="auto"/>
              </w:rPr>
            </w:pPr>
          </w:p>
        </w:tc>
        <w:tc>
          <w:tcPr>
            <w:tcW w:w="69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shares at September 30, 2016 and December 31, 2015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1,231,500</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1,231,500</w:t>
            </w:r>
          </w:p>
        </w:tc>
        <w:tc>
          <w:tcPr>
            <w:tcW w:w="120" w:type="dxa"/>
            <w:vAlign w:val="bottom"/>
            <w:shd w:val="clear" w:color="auto" w:fill="CFF0FC"/>
          </w:tcPr>
          <w:p>
            <w:pPr>
              <w:spacing w:after="0"/>
              <w:rPr>
                <w:sz w:val="18"/>
                <w:szCs w:val="18"/>
                <w:color w:val="auto"/>
              </w:rPr>
            </w:pPr>
          </w:p>
        </w:tc>
      </w:tr>
      <w:tr>
        <w:trPr>
          <w:trHeight w:val="206"/>
        </w:trPr>
        <w:tc>
          <w:tcPr>
            <w:tcW w:w="1640" w:type="dxa"/>
            <w:vAlign w:val="bottom"/>
          </w:tcPr>
          <w:p>
            <w:pPr>
              <w:spacing w:after="0"/>
              <w:rPr>
                <w:sz w:val="17"/>
                <w:szCs w:val="17"/>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auto"/>
              </w:rPr>
              <w:t>Common stock, $.50 par, 250,000,000 shares authorized,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6980" w:type="dxa"/>
            <w:vAlign w:val="bottom"/>
          </w:tcPr>
          <w:p>
            <w:pPr>
              <w:ind w:left="440"/>
              <w:spacing w:after="0"/>
              <w:rPr>
                <w:sz w:val="20"/>
                <w:szCs w:val="20"/>
                <w:color w:val="auto"/>
              </w:rPr>
            </w:pPr>
            <w:r>
              <w:rPr>
                <w:rFonts w:ascii="Arial" w:cs="Arial" w:eastAsia="Arial" w:hAnsi="Arial"/>
                <w:sz w:val="16"/>
                <w:szCs w:val="16"/>
                <w:color w:val="auto"/>
              </w:rPr>
              <w:t>159,950,278 shares issued at September 30, 2016; 159,563,512</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164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6"/>
                <w:szCs w:val="16"/>
                <w:color w:val="auto"/>
              </w:rPr>
              <w:t>shares issued at December 31, 2015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79,975</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79,782</w:t>
            </w:r>
          </w:p>
        </w:tc>
        <w:tc>
          <w:tcPr>
            <w:tcW w:w="120" w:type="dxa"/>
            <w:vAlign w:val="bottom"/>
          </w:tcPr>
          <w:p>
            <w:pPr>
              <w:spacing w:after="0"/>
              <w:rPr>
                <w:sz w:val="18"/>
                <w:szCs w:val="18"/>
                <w:color w:val="auto"/>
              </w:rPr>
            </w:pPr>
          </w:p>
        </w:tc>
      </w:tr>
      <w:tr>
        <w:trPr>
          <w:trHeight w:val="209"/>
        </w:trPr>
        <w:tc>
          <w:tcPr>
            <w:tcW w:w="1640" w:type="dxa"/>
            <w:vAlign w:val="bottom"/>
            <w:shd w:val="clear" w:color="auto" w:fill="CFF0FC"/>
          </w:tcPr>
          <w:p>
            <w:pPr>
              <w:spacing w:after="0"/>
              <w:rPr>
                <w:sz w:val="18"/>
                <w:szCs w:val="18"/>
                <w:color w:val="auto"/>
              </w:rPr>
            </w:pP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Common stock issuable, 33,748 shares at September 30, 2016;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1640" w:type="dxa"/>
            <w:vAlign w:val="bottom"/>
            <w:shd w:val="clear" w:color="auto" w:fill="CFF0FC"/>
          </w:tcPr>
          <w:p>
            <w:pPr>
              <w:spacing w:after="0"/>
              <w:rPr>
                <w:sz w:val="18"/>
                <w:szCs w:val="18"/>
                <w:color w:val="auto"/>
              </w:rPr>
            </w:pPr>
          </w:p>
        </w:tc>
        <w:tc>
          <w:tcPr>
            <w:tcW w:w="69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36,644 shares at December 31, 2015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2,364</w:t>
            </w:r>
          </w:p>
        </w:tc>
        <w:tc>
          <w:tcPr>
            <w:tcW w:w="120" w:type="dxa"/>
            <w:vAlign w:val="bottom"/>
            <w:shd w:val="clear" w:color="auto" w:fill="CFF0FC"/>
          </w:tcPr>
          <w:p>
            <w:pPr>
              <w:spacing w:after="0"/>
              <w:rPr>
                <w:sz w:val="18"/>
                <w:szCs w:val="18"/>
                <w:color w:val="auto"/>
              </w:rPr>
            </w:pPr>
          </w:p>
        </w:tc>
      </w:tr>
      <w:tr>
        <w:trPr>
          <w:trHeight w:val="213"/>
        </w:trPr>
        <w:tc>
          <w:tcPr>
            <w:tcW w:w="164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6,689,812</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6,680,768</w:t>
            </w:r>
          </w:p>
        </w:tc>
        <w:tc>
          <w:tcPr>
            <w:tcW w:w="120" w:type="dxa"/>
            <w:vAlign w:val="bottom"/>
          </w:tcPr>
          <w:p>
            <w:pPr>
              <w:spacing w:after="0"/>
              <w:rPr>
                <w:sz w:val="18"/>
                <w:szCs w:val="18"/>
                <w:color w:val="auto"/>
              </w:rPr>
            </w:pPr>
          </w:p>
        </w:tc>
      </w:tr>
      <w:tr>
        <w:trPr>
          <w:trHeight w:val="219"/>
        </w:trPr>
        <w:tc>
          <w:tcPr>
            <w:tcW w:w="1640" w:type="dxa"/>
            <w:vAlign w:val="bottom"/>
            <w:shd w:val="clear" w:color="auto" w:fill="CFF0FC"/>
          </w:tcPr>
          <w:p>
            <w:pPr>
              <w:spacing w:after="0"/>
              <w:rPr>
                <w:sz w:val="19"/>
                <w:szCs w:val="19"/>
                <w:color w:val="auto"/>
              </w:rPr>
            </w:pP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9,021,965</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8,430,502</w:t>
            </w:r>
          </w:p>
        </w:tc>
        <w:tc>
          <w:tcPr>
            <w:tcW w:w="120" w:type="dxa"/>
            <w:vAlign w:val="bottom"/>
            <w:shd w:val="clear" w:color="auto" w:fill="CFF0FC"/>
          </w:tcPr>
          <w:p>
            <w:pPr>
              <w:spacing w:after="0"/>
              <w:rPr>
                <w:sz w:val="19"/>
                <w:szCs w:val="19"/>
                <w:color w:val="auto"/>
              </w:rPr>
            </w:pPr>
          </w:p>
        </w:tc>
      </w:tr>
      <w:tr>
        <w:trPr>
          <w:trHeight w:val="213"/>
        </w:trPr>
        <w:tc>
          <w:tcPr>
            <w:tcW w:w="164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auto"/>
              </w:rPr>
              <w:t>Accumulated other comprehensive income (loss), net</w:t>
            </w:r>
          </w:p>
        </w:tc>
        <w:tc>
          <w:tcPr>
            <w:tcW w:w="2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(114,559)</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(251,627)</w:t>
            </w:r>
          </w:p>
        </w:tc>
      </w:tr>
      <w:tr>
        <w:trPr>
          <w:trHeight w:val="219"/>
        </w:trPr>
        <w:tc>
          <w:tcPr>
            <w:tcW w:w="1640" w:type="dxa"/>
            <w:vAlign w:val="bottom"/>
            <w:shd w:val="clear" w:color="auto" w:fill="CFF0FC"/>
          </w:tcPr>
          <w:p>
            <w:pPr>
              <w:spacing w:after="0"/>
              <w:rPr>
                <w:sz w:val="19"/>
                <w:szCs w:val="19"/>
                <w:color w:val="auto"/>
              </w:rPr>
            </w:pPr>
          </w:p>
        </w:tc>
        <w:tc>
          <w:tcPr>
            <w:tcW w:w="69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Treasury stock - common, at cost - 4,997,089 shares at September 30, 2016</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(569,941)</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1640" w:type="dxa"/>
            <w:vAlign w:val="bottom"/>
            <w:tcBorders>
              <w:bottom w:val="single" w:sz="8" w:color="CFF0FC"/>
            </w:tcBorders>
          </w:tcPr>
          <w:p>
            <w:pPr>
              <w:spacing w:after="0"/>
              <w:rPr>
                <w:sz w:val="17"/>
                <w:szCs w:val="17"/>
                <w:color w:val="auto"/>
              </w:rPr>
            </w:pPr>
          </w:p>
        </w:tc>
        <w:tc>
          <w:tcPr>
            <w:tcW w:w="6980" w:type="dxa"/>
            <w:vAlign w:val="bottom"/>
            <w:tcBorders>
              <w:bottom w:val="single" w:sz="8" w:color="CFF0FC"/>
            </w:tcBorders>
          </w:tcPr>
          <w:p>
            <w:pPr>
              <w:ind w:left="80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16,340,976</w:t>
            </w:r>
          </w:p>
        </w:tc>
        <w:tc>
          <w:tcPr>
            <w:tcW w:w="400" w:type="dxa"/>
            <w:vAlign w:val="bottom"/>
            <w:tcBorders>
              <w:bottom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16,173,289</w:t>
            </w:r>
          </w:p>
        </w:tc>
        <w:tc>
          <w:tcPr>
            <w:tcW w:w="120" w:type="dxa"/>
            <w:vAlign w:val="bottom"/>
            <w:tcBorders>
              <w:bottom w:val="single" w:sz="8" w:color="CFF0FC"/>
            </w:tcBorders>
          </w:tcPr>
          <w:p>
            <w:pPr>
              <w:spacing w:after="0"/>
              <w:rPr>
                <w:sz w:val="17"/>
                <w:szCs w:val="17"/>
                <w:color w:val="auto"/>
              </w:rPr>
            </w:pPr>
          </w:p>
        </w:tc>
      </w:tr>
      <w:tr>
        <w:trPr>
          <w:trHeight w:val="210"/>
        </w:trPr>
        <w:tc>
          <w:tcPr>
            <w:tcW w:w="1640" w:type="dxa"/>
            <w:vAlign w:val="bottom"/>
            <w:tcBorders>
              <w:bottom w:val="single" w:sz="8" w:color="CFF0FC"/>
            </w:tcBorders>
            <w:shd w:val="clear" w:color="auto" w:fill="CFF0FC"/>
          </w:tcPr>
          <w:p>
            <w:pPr>
              <w:spacing w:after="0"/>
              <w:rPr>
                <w:sz w:val="18"/>
                <w:szCs w:val="18"/>
                <w:color w:val="auto"/>
              </w:rPr>
            </w:pPr>
          </w:p>
        </w:tc>
        <w:tc>
          <w:tcPr>
            <w:tcW w:w="698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126,841,028</w:t>
            </w:r>
          </w:p>
        </w:tc>
        <w:tc>
          <w:tcPr>
            <w:tcW w:w="4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122,787,884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16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center"/>
              <w:ind w:right="560"/>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center"/>
              <w:ind w:right="560"/>
              <w:spacing w:after="0"/>
              <w:rPr>
                <w:sz w:val="20"/>
                <w:szCs w:val="20"/>
                <w:color w:val="auto"/>
              </w:rPr>
            </w:pPr>
            <w:r>
              <w:rPr>
                <w:rFonts w:ascii="Arial" w:cs="Arial" w:eastAsia="Arial" w:hAnsi="Arial"/>
                <w:sz w:val="14"/>
                <w:szCs w:val="14"/>
                <w:color w:val="auto"/>
                <w:w w:val="88"/>
              </w:rPr>
              <w:t>September 30</w:t>
            </w:r>
          </w:p>
        </w:tc>
        <w:tc>
          <w:tcPr>
            <w:tcW w:w="2100" w:type="dxa"/>
            <w:vAlign w:val="bottom"/>
            <w:gridSpan w:val="5"/>
          </w:tcPr>
          <w:p>
            <w:pPr>
              <w:ind w:left="20"/>
              <w:spacing w:after="0"/>
              <w:rPr>
                <w:sz w:val="20"/>
                <w:szCs w:val="20"/>
                <w:color w:val="auto"/>
              </w:rPr>
            </w:pPr>
            <w:r>
              <w:rPr>
                <w:rFonts w:ascii="Arial" w:cs="Arial" w:eastAsia="Arial" w:hAnsi="Arial"/>
                <w:sz w:val="14"/>
                <w:szCs w:val="14"/>
                <w:color w:val="auto"/>
                <w:w w:val="96"/>
              </w:rPr>
              <w:t>Nine months ended September 30</w:t>
            </w:r>
          </w:p>
        </w:tc>
        <w:tc>
          <w:tcPr>
            <w:tcW w:w="20" w:type="dxa"/>
            <w:vAlign w:val="bottom"/>
          </w:tcPr>
          <w:p>
            <w:pPr>
              <w:spacing w:after="0"/>
              <w:rPr>
                <w:sz w:val="14"/>
                <w:szCs w:val="14"/>
                <w:color w:val="auto"/>
              </w:rPr>
            </w:pPr>
          </w:p>
        </w:tc>
      </w:tr>
      <w:tr>
        <w:trPr>
          <w:trHeight w:val="161"/>
        </w:trPr>
        <w:tc>
          <w:tcPr>
            <w:tcW w:w="18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i w:val="1"/>
                <w:iCs w:val="1"/>
                <w:color w:val="auto"/>
                <w:w w:val="96"/>
              </w:rPr>
              <w:t>In thousands, except per share</w:t>
            </w:r>
          </w:p>
        </w:tc>
        <w:tc>
          <w:tcPr>
            <w:tcW w:w="49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1"/>
              <w:spacing w:after="0" w:line="154" w:lineRule="exact"/>
              <w:rPr>
                <w:sz w:val="20"/>
                <w:szCs w:val="20"/>
                <w:color w:val="auto"/>
              </w:rPr>
            </w:pPr>
            <w:r>
              <w:rPr>
                <w:rFonts w:ascii="Arial" w:cs="Arial" w:eastAsia="Arial" w:hAnsi="Arial"/>
                <w:sz w:val="14"/>
                <w:szCs w:val="14"/>
                <w:color w:val="auto"/>
              </w:rPr>
              <w:t>2016</w:t>
            </w:r>
          </w:p>
        </w:tc>
        <w:tc>
          <w:tcPr>
            <w:tcW w:w="300" w:type="dxa"/>
            <w:vAlign w:val="bottom"/>
          </w:tcPr>
          <w:p>
            <w:pPr>
              <w:spacing w:after="0"/>
              <w:rPr>
                <w:sz w:val="13"/>
                <w:szCs w:val="13"/>
                <w:color w:val="auto"/>
              </w:rPr>
            </w:pPr>
          </w:p>
        </w:tc>
        <w:tc>
          <w:tcPr>
            <w:tcW w:w="720" w:type="dxa"/>
            <w:vAlign w:val="bottom"/>
            <w:tcBorders>
              <w:bottom w:val="single" w:sz="8" w:color="auto"/>
            </w:tcBorders>
          </w:tcPr>
          <w:p>
            <w:pPr>
              <w:jc w:val="right"/>
              <w:ind w:right="130"/>
              <w:spacing w:after="0" w:line="154" w:lineRule="exact"/>
              <w:rPr>
                <w:sz w:val="20"/>
                <w:szCs w:val="20"/>
                <w:color w:val="auto"/>
              </w:rPr>
            </w:pPr>
            <w:r>
              <w:rPr>
                <w:rFonts w:ascii="Arial" w:cs="Arial" w:eastAsia="Arial" w:hAnsi="Arial"/>
                <w:sz w:val="14"/>
                <w:szCs w:val="14"/>
                <w:color w:val="auto"/>
              </w:rPr>
              <w:t>2015</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0"/>
              <w:spacing w:after="0" w:line="154" w:lineRule="exact"/>
              <w:rPr>
                <w:sz w:val="20"/>
                <w:szCs w:val="20"/>
                <w:color w:val="auto"/>
              </w:rPr>
            </w:pPr>
            <w:r>
              <w:rPr>
                <w:rFonts w:ascii="Arial" w:cs="Arial" w:eastAsia="Arial" w:hAnsi="Arial"/>
                <w:sz w:val="14"/>
                <w:szCs w:val="14"/>
                <w:color w:val="auto"/>
              </w:rPr>
              <w:t>2016</w:t>
            </w:r>
          </w:p>
        </w:tc>
        <w:tc>
          <w:tcPr>
            <w:tcW w:w="300" w:type="dxa"/>
            <w:vAlign w:val="bottom"/>
          </w:tcPr>
          <w:p>
            <w:pPr>
              <w:spacing w:after="0"/>
              <w:rPr>
                <w:sz w:val="13"/>
                <w:szCs w:val="13"/>
                <w:color w:val="auto"/>
              </w:rPr>
            </w:pPr>
          </w:p>
        </w:tc>
        <w:tc>
          <w:tcPr>
            <w:tcW w:w="860" w:type="dxa"/>
            <w:vAlign w:val="bottom"/>
            <w:tcBorders>
              <w:bottom w:val="single" w:sz="8" w:color="auto"/>
            </w:tcBorders>
          </w:tcPr>
          <w:p>
            <w:pPr>
              <w:jc w:val="right"/>
              <w:ind w:right="210"/>
              <w:spacing w:after="0" w:line="154"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2"/>
        </w:trPr>
        <w:tc>
          <w:tcPr>
            <w:tcW w:w="1880" w:type="dxa"/>
            <w:vAlign w:val="bottom"/>
          </w:tcPr>
          <w:p>
            <w:pPr>
              <w:spacing w:after="0"/>
              <w:rPr>
                <w:sz w:val="20"/>
                <w:szCs w:val="20"/>
                <w:color w:val="auto"/>
              </w:rPr>
            </w:pPr>
            <w:r>
              <w:rPr>
                <w:rFonts w:ascii="Arial" w:cs="Arial" w:eastAsia="Arial" w:hAnsi="Arial"/>
                <w:sz w:val="18"/>
                <w:szCs w:val="18"/>
                <w:color w:val="auto"/>
              </w:rPr>
              <w:t>Interest income</w:t>
            </w: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Loans and leases, including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871,345</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672,092</w:t>
            </w:r>
          </w:p>
        </w:tc>
        <w:tc>
          <w:tcPr>
            <w:tcW w:w="4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2,602,208</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1,981,904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Fully taxable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84,893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93,062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274,092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272,163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Exempt from federal taxes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Deposits at banks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12,354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33,684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3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80" w:type="dxa"/>
            <w:vAlign w:val="bottom"/>
            <w:tcBorders>
              <w:bottom w:val="single" w:sz="8" w:color="CFF0FC"/>
            </w:tcBorders>
          </w:tcPr>
          <w:p>
            <w:pPr>
              <w:spacing w:after="0"/>
              <w:rPr>
                <w:sz w:val="19"/>
                <w:szCs w:val="19"/>
                <w:color w:val="auto"/>
              </w:rPr>
            </w:pPr>
          </w:p>
        </w:tc>
        <w:tc>
          <w:tcPr>
            <w:tcW w:w="5280" w:type="dxa"/>
            <w:vAlign w:val="bottom"/>
            <w:tcBorders>
              <w:bottom w:val="single" w:sz="8" w:color="CFF0FC"/>
            </w:tcBorders>
            <w:gridSpan w:val="2"/>
          </w:tcPr>
          <w:p>
            <w:pPr>
              <w:ind w:left="600"/>
              <w:spacing w:after="0"/>
              <w:rPr>
                <w:sz w:val="20"/>
                <w:szCs w:val="20"/>
                <w:color w:val="auto"/>
              </w:rPr>
            </w:pPr>
            <w:r>
              <w:rPr>
                <w:rFonts w:ascii="Arial" w:cs="Arial" w:eastAsia="Arial" w:hAnsi="Arial"/>
                <w:sz w:val="18"/>
                <w:szCs w:val="18"/>
                <w:color w:val="auto"/>
              </w:rPr>
              <w:t>Total interest income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969,515</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770,026</w:t>
            </w:r>
          </w:p>
        </w:tc>
        <w:tc>
          <w:tcPr>
            <w:tcW w:w="4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2,912,970</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2,268,467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Interest-checking deposits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23,689</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10,937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59,714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27,886</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79,075</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Borders>
              <w:bottom w:val="single" w:sz="8" w:color="CFF0FC"/>
            </w:tcBorders>
          </w:tcPr>
          <w:p>
            <w:pPr>
              <w:spacing w:after="0"/>
              <w:rPr>
                <w:sz w:val="19"/>
                <w:szCs w:val="19"/>
                <w:color w:val="auto"/>
              </w:rPr>
            </w:pPr>
          </w:p>
        </w:tc>
        <w:tc>
          <w:tcPr>
            <w:tcW w:w="528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62,076</w:t>
            </w:r>
          </w:p>
        </w:tc>
        <w:tc>
          <w:tcPr>
            <w:tcW w:w="4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174,814</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188,764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111,175</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77,199</w:t>
            </w:r>
          </w:p>
        </w:tc>
        <w:tc>
          <w:tcPr>
            <w:tcW w:w="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318,847</w:t>
            </w:r>
          </w:p>
        </w:tc>
        <w:tc>
          <w:tcPr>
            <w:tcW w:w="3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i w:val="1"/>
                <w:iCs w:val="1"/>
                <w:color w:val="auto"/>
              </w:rPr>
              <w:t>Net interest income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858,340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692,827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2,594,123</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2,035,543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Provision for credit losses</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47,000</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44,000</w:t>
            </w:r>
          </w:p>
        </w:tc>
        <w:tc>
          <w:tcPr>
            <w:tcW w:w="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128,000</w:t>
            </w:r>
          </w:p>
        </w:tc>
        <w:tc>
          <w:tcPr>
            <w:tcW w:w="3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80" w:type="dxa"/>
            <w:vAlign w:val="bottom"/>
            <w:tcBorders>
              <w:bottom w:val="single" w:sz="8" w:color="CFF0FC"/>
            </w:tcBorders>
          </w:tcPr>
          <w:p>
            <w:pPr>
              <w:spacing w:after="0"/>
              <w:rPr>
                <w:sz w:val="19"/>
                <w:szCs w:val="19"/>
                <w:color w:val="auto"/>
              </w:rPr>
            </w:pPr>
          </w:p>
        </w:tc>
        <w:tc>
          <w:tcPr>
            <w:tcW w:w="528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Net interest income after provision for credit losses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811,340</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648,827</w:t>
            </w:r>
          </w:p>
        </w:tc>
        <w:tc>
          <w:tcPr>
            <w:tcW w:w="4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2,466,123</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1,923,543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Mortgage banking revenues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103,747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84,035</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275,193</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Service charges on deposit accounts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107,935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107,259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314,212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314,860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Trust income</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118,654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113,744</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350,181</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Brokerage services income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15,914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16,902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48,190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Trading account and foreign exchange gains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33,434</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Gain (loss) on bank investment securities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28,480</w:t>
            </w:r>
          </w:p>
        </w:tc>
        <w:tc>
          <w:tcPr>
            <w:tcW w:w="3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28,748</w:t>
            </w: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revenues from operations</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103,866</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109,397</w:t>
            </w:r>
          </w:p>
        </w:tc>
        <w:tc>
          <w:tcPr>
            <w:tcW w:w="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310,579</w:t>
            </w:r>
          </w:p>
        </w:tc>
        <w:tc>
          <w:tcPr>
            <w:tcW w:w="3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80" w:type="dxa"/>
            <w:vAlign w:val="bottom"/>
            <w:tcBorders>
              <w:bottom w:val="single" w:sz="8" w:color="CFF0FC"/>
            </w:tcBorders>
          </w:tcPr>
          <w:p>
            <w:pPr>
              <w:spacing w:after="0"/>
              <w:rPr>
                <w:sz w:val="19"/>
                <w:szCs w:val="19"/>
                <w:color w:val="auto"/>
              </w:rPr>
            </w:pPr>
          </w:p>
        </w:tc>
        <w:tc>
          <w:tcPr>
            <w:tcW w:w="5280" w:type="dxa"/>
            <w:vAlign w:val="bottom"/>
            <w:tcBorders>
              <w:bottom w:val="single" w:sz="8" w:color="CFF0FC"/>
            </w:tcBorders>
            <w:gridSpan w:val="2"/>
          </w:tcPr>
          <w:p>
            <w:pPr>
              <w:ind w:left="600"/>
              <w:spacing w:after="0"/>
              <w:rPr>
                <w:sz w:val="20"/>
                <w:szCs w:val="20"/>
                <w:color w:val="auto"/>
              </w:rPr>
            </w:pPr>
            <w:r>
              <w:rPr>
                <w:rFonts w:ascii="Arial" w:cs="Arial" w:eastAsia="Arial" w:hAnsi="Arial"/>
                <w:sz w:val="18"/>
                <w:szCs w:val="18"/>
                <w:color w:val="auto"/>
              </w:rPr>
              <w:t>Total other income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491,350</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439,699</w:t>
            </w:r>
          </w:p>
        </w:tc>
        <w:tc>
          <w:tcPr>
            <w:tcW w:w="4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1,360,537</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1,376,929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399,786</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363,567</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1,230,246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1,115,117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Equipment and net occupancy</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75,263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68,470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225,165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201,792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Printing, postage and supplies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8,691</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30,865</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33,524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FDIC assessments</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11,090</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76,054</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Borders>
              <w:bottom w:val="single" w:sz="8" w:color="CFF0FC"/>
            </w:tcBorders>
          </w:tcPr>
          <w:p>
            <w:pPr>
              <w:spacing w:after="0"/>
              <w:rPr>
                <w:sz w:val="19"/>
                <w:szCs w:val="19"/>
                <w:color w:val="auto"/>
              </w:rPr>
            </w:pPr>
          </w:p>
        </w:tc>
        <w:tc>
          <w:tcPr>
            <w:tcW w:w="528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Other costs of operations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230,125</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197,908</w:t>
            </w:r>
          </w:p>
        </w:tc>
        <w:tc>
          <w:tcPr>
            <w:tcW w:w="4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682,528</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642,925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Total other expense</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752,392</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653,816</w:t>
            </w:r>
          </w:p>
        </w:tc>
        <w:tc>
          <w:tcPr>
            <w:tcW w:w="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2,278,382</w:t>
            </w:r>
          </w:p>
        </w:tc>
        <w:tc>
          <w:tcPr>
            <w:tcW w:w="3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2,036,819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Income before taxes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550,298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434,710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1,548,278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1,263,653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200,314</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154,309</w:t>
            </w:r>
          </w:p>
        </w:tc>
        <w:tc>
          <w:tcPr>
            <w:tcW w:w="4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563,735</w:t>
            </w:r>
          </w:p>
        </w:tc>
        <w:tc>
          <w:tcPr>
            <w:tcW w:w="3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1880" w:type="dxa"/>
            <w:vAlign w:val="bottom"/>
            <w:tcBorders>
              <w:bottom w:val="single" w:sz="8" w:color="CFF0FC"/>
            </w:tcBorders>
          </w:tcPr>
          <w:p>
            <w:pPr>
              <w:spacing w:after="0"/>
              <w:rPr>
                <w:sz w:val="22"/>
                <w:szCs w:val="22"/>
                <w:color w:val="auto"/>
              </w:rPr>
            </w:pPr>
          </w:p>
        </w:tc>
        <w:tc>
          <w:tcPr>
            <w:tcW w:w="528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i w:val="1"/>
                <w:i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349,984</w:t>
            </w:r>
          </w:p>
        </w:tc>
        <w:tc>
          <w:tcPr>
            <w:tcW w:w="30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280,401</w:t>
            </w:r>
          </w:p>
        </w:tc>
        <w:tc>
          <w:tcPr>
            <w:tcW w:w="4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984,543</w:t>
            </w:r>
          </w:p>
        </w:tc>
        <w:tc>
          <w:tcPr>
            <w:tcW w:w="30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808,702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1880" w:type="dxa"/>
            <w:vAlign w:val="bottom"/>
            <w:shd w:val="clear" w:color="auto" w:fill="CFF0FC"/>
          </w:tcPr>
          <w:p>
            <w:pPr>
              <w:spacing w:after="0"/>
              <w:rPr>
                <w:sz w:val="18"/>
                <w:szCs w:val="18"/>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6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326,992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257,337</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915,670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739,627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326,998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257,346</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915,686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Net income per common share</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6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Cash dividends per common share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Average common shares outstanding</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shd w:val="clear" w:color="auto" w:fill="CFF0FC"/>
          </w:tcPr>
          <w:p>
            <w:pPr>
              <w:spacing w:after="0"/>
              <w:rPr>
                <w:sz w:val="19"/>
                <w:szCs w:val="19"/>
                <w:color w:val="auto"/>
              </w:rPr>
            </w:pPr>
          </w:p>
        </w:tc>
        <w:tc>
          <w:tcPr>
            <w:tcW w:w="52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155,493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132,630</w:t>
            </w: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157,336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880" w:type="dxa"/>
            <w:vAlign w:val="bottom"/>
          </w:tcPr>
          <w:p>
            <w:pPr>
              <w:spacing w:after="0"/>
              <w:rPr>
                <w:sz w:val="20"/>
                <w:szCs w:val="20"/>
                <w:color w:val="auto"/>
              </w:rPr>
            </w:pPr>
          </w:p>
        </w:tc>
        <w:tc>
          <w:tcPr>
            <w:tcW w:w="5280" w:type="dxa"/>
            <w:vAlign w:val="bottom"/>
            <w:gridSpan w:val="2"/>
          </w:tcPr>
          <w:p>
            <w:pPr>
              <w:ind w:left="6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156,026</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133,376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157,843</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133,089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64"/>
        </w:trPr>
        <w:tc>
          <w:tcPr>
            <w:tcW w:w="1880" w:type="dxa"/>
            <w:vAlign w:val="bottom"/>
          </w:tcPr>
          <w:p>
            <w:pPr>
              <w:spacing w:after="0"/>
              <w:rPr>
                <w:sz w:val="24"/>
                <w:szCs w:val="24"/>
                <w:color w:val="auto"/>
              </w:rPr>
            </w:pPr>
          </w:p>
        </w:tc>
        <w:tc>
          <w:tcPr>
            <w:tcW w:w="4960" w:type="dxa"/>
            <w:vAlign w:val="bottom"/>
          </w:tcPr>
          <w:p>
            <w:pPr>
              <w:ind w:left="3680"/>
              <w:spacing w:after="0"/>
              <w:rPr>
                <w:sz w:val="20"/>
                <w:szCs w:val="20"/>
                <w:color w:val="auto"/>
              </w:rPr>
            </w:pPr>
            <w:r>
              <w:rPr>
                <w:rFonts w:ascii="Arial" w:cs="Arial" w:eastAsia="Arial" w:hAnsi="Arial"/>
                <w:sz w:val="18"/>
                <w:szCs w:val="18"/>
                <w:color w:val="auto"/>
              </w:rPr>
              <w:t>- 4 -</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 w:name="page5"/>
    <w:bookmarkEnd w:id="4"/>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jc w:val="right"/>
              <w:ind w:right="5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jc w:val="right"/>
              <w:ind w:right="760"/>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2100" w:type="dxa"/>
            <w:vAlign w:val="bottom"/>
            <w:gridSpan w:val="5"/>
          </w:tcPr>
          <w:p>
            <w:pPr>
              <w:ind w:left="20"/>
              <w:spacing w:after="0"/>
              <w:rPr>
                <w:sz w:val="20"/>
                <w:szCs w:val="20"/>
                <w:color w:val="auto"/>
              </w:rPr>
            </w:pPr>
            <w:r>
              <w:rPr>
                <w:rFonts w:ascii="Arial" w:cs="Arial" w:eastAsia="Arial" w:hAnsi="Arial"/>
                <w:sz w:val="14"/>
                <w:szCs w:val="14"/>
                <w:color w:val="auto"/>
                <w:w w:val="96"/>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080" w:type="dxa"/>
            <w:vAlign w:val="bottom"/>
            <w:gridSpan w:val="2"/>
          </w:tcPr>
          <w:p>
            <w:pPr>
              <w:spacing w:after="0" w:line="154" w:lineRule="exact"/>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3"/>
                <w:szCs w:val="13"/>
                <w:color w:val="auto"/>
              </w:rPr>
            </w:pPr>
          </w:p>
        </w:tc>
        <w:tc>
          <w:tcPr>
            <w:tcW w:w="640" w:type="dxa"/>
            <w:vAlign w:val="bottom"/>
          </w:tcPr>
          <w:p>
            <w:pPr>
              <w:jc w:val="right"/>
              <w:ind w:right="155"/>
              <w:spacing w:after="0" w:line="154" w:lineRule="exact"/>
              <w:rPr>
                <w:sz w:val="20"/>
                <w:szCs w:val="20"/>
                <w:color w:val="auto"/>
              </w:rPr>
            </w:pPr>
            <w:r>
              <w:rPr>
                <w:rFonts w:ascii="Arial" w:cs="Arial" w:eastAsia="Arial" w:hAnsi="Arial"/>
                <w:sz w:val="14"/>
                <w:szCs w:val="14"/>
                <w:color w:val="auto"/>
              </w:rPr>
              <w:t>2016</w:t>
            </w:r>
          </w:p>
        </w:tc>
        <w:tc>
          <w:tcPr>
            <w:tcW w:w="340" w:type="dxa"/>
            <w:vAlign w:val="bottom"/>
          </w:tcPr>
          <w:p>
            <w:pPr>
              <w:spacing w:after="0"/>
              <w:rPr>
                <w:sz w:val="13"/>
                <w:szCs w:val="13"/>
                <w:color w:val="auto"/>
              </w:rPr>
            </w:pPr>
          </w:p>
        </w:tc>
        <w:tc>
          <w:tcPr>
            <w:tcW w:w="780" w:type="dxa"/>
            <w:vAlign w:val="bottom"/>
          </w:tcPr>
          <w:p>
            <w:pPr>
              <w:jc w:val="right"/>
              <w:ind w:right="152"/>
              <w:spacing w:after="0" w:line="154"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92"/>
              <w:spacing w:after="0" w:line="154" w:lineRule="exact"/>
              <w:rPr>
                <w:sz w:val="20"/>
                <w:szCs w:val="20"/>
                <w:color w:val="auto"/>
              </w:rPr>
            </w:pPr>
            <w:r>
              <w:rPr>
                <w:rFonts w:ascii="Arial" w:cs="Arial" w:eastAsia="Arial" w:hAnsi="Arial"/>
                <w:sz w:val="14"/>
                <w:szCs w:val="14"/>
                <w:color w:val="auto"/>
              </w:rPr>
              <w:t>2016</w:t>
            </w:r>
          </w:p>
        </w:tc>
        <w:tc>
          <w:tcPr>
            <w:tcW w:w="340" w:type="dxa"/>
            <w:vAlign w:val="bottom"/>
          </w:tcPr>
          <w:p>
            <w:pPr>
              <w:spacing w:after="0"/>
              <w:rPr>
                <w:sz w:val="13"/>
                <w:szCs w:val="13"/>
                <w:color w:val="auto"/>
              </w:rPr>
            </w:pPr>
          </w:p>
        </w:tc>
        <w:tc>
          <w:tcPr>
            <w:tcW w:w="80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40" w:type="dxa"/>
            <w:vAlign w:val="bottom"/>
            <w:shd w:val="clear" w:color="auto" w:fill="000000"/>
          </w:tcPr>
          <w:p>
            <w:pPr>
              <w:spacing w:after="0"/>
              <w:rPr>
                <w:sz w:val="2"/>
                <w:szCs w:val="2"/>
                <w:color w:val="auto"/>
              </w:rPr>
            </w:pPr>
          </w:p>
        </w:tc>
        <w:tc>
          <w:tcPr>
            <w:tcW w:w="6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7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349,984</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280,401</w:t>
            </w:r>
          </w:p>
        </w:tc>
        <w:tc>
          <w:tcPr>
            <w:tcW w:w="20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984,543</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808,702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comprehensive income (loss), net of tax and reclassification adjustments: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Net unrealized gains (losses) on investment securities</w:t>
            </w:r>
          </w:p>
        </w:tc>
        <w:tc>
          <w:tcPr>
            <w:tcW w:w="1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(17,133)</w:t>
            </w:r>
          </w:p>
        </w:tc>
        <w:tc>
          <w:tcPr>
            <w:tcW w:w="780" w:type="dxa"/>
            <w:vAlign w:val="bottom"/>
          </w:tcPr>
          <w:p>
            <w:pPr>
              <w:jc w:val="right"/>
              <w:spacing w:after="0"/>
              <w:rPr>
                <w:sz w:val="20"/>
                <w:szCs w:val="20"/>
                <w:color w:val="auto"/>
              </w:rPr>
            </w:pPr>
            <w:r>
              <w:rPr>
                <w:rFonts w:ascii="Arial" w:cs="Arial" w:eastAsia="Arial" w:hAnsi="Arial"/>
                <w:sz w:val="18"/>
                <w:szCs w:val="18"/>
                <w:color w:val="auto"/>
              </w:rPr>
              <w:t>48,332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127,331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flow hedges adjustments</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(23)</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(229)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(1,847)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Defined benefit plans liability adjustments</w:t>
            </w: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11,654</w:t>
            </w:r>
          </w:p>
        </w:tc>
        <w:tc>
          <w:tcPr>
            <w:tcW w:w="3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(13,538)</w:t>
            </w:r>
          </w:p>
        </w:tc>
        <w:tc>
          <w:tcPr>
            <w:tcW w:w="3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137,068</w:t>
            </w:r>
          </w:p>
        </w:tc>
        <w:tc>
          <w:tcPr>
            <w:tcW w:w="3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i w:val="1"/>
                <w:iCs w:val="1"/>
                <w:color w:val="auto"/>
              </w:rPr>
              <w:t>Total comprehensive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336,446</w:t>
            </w:r>
          </w:p>
        </w:tc>
        <w:tc>
          <w:tcPr>
            <w:tcW w:w="3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334,430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1,121,611</w:t>
            </w: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826,223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5560"/>
              <w:spacing w:after="0"/>
              <w:rPr>
                <w:sz w:val="20"/>
                <w:szCs w:val="20"/>
                <w:color w:val="auto"/>
              </w:rPr>
            </w:pPr>
            <w:r>
              <w:rPr>
                <w:rFonts w:ascii="Arial" w:cs="Arial" w:eastAsia="Arial" w:hAnsi="Arial"/>
                <w:sz w:val="18"/>
                <w:szCs w:val="18"/>
                <w:color w:val="auto"/>
              </w:rPr>
              <w:t>- 5 -</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0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6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 w:name="page6"/>
    <w:bookmarkEnd w:id="5"/>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260"/>
              <w:spacing w:after="0"/>
              <w:rPr>
                <w:sz w:val="20"/>
                <w:szCs w:val="20"/>
                <w:color w:val="auto"/>
              </w:rPr>
            </w:pPr>
            <w:r>
              <w:rPr>
                <w:rFonts w:ascii="Arial" w:cs="Arial" w:eastAsia="Arial" w:hAnsi="Arial"/>
                <w:sz w:val="14"/>
                <w:szCs w:val="14"/>
                <w:color w:val="auto"/>
                <w:w w:val="86"/>
              </w:rPr>
              <w:t>Nine months ended September 30</w:t>
            </w:r>
          </w:p>
        </w:tc>
        <w:tc>
          <w:tcPr>
            <w:tcW w:w="0" w:type="dxa"/>
            <w:vAlign w:val="bottom"/>
          </w:tcPr>
          <w:p>
            <w:pPr>
              <w:spacing w:after="0"/>
              <w:rPr>
                <w:sz w:val="1"/>
                <w:szCs w:val="1"/>
                <w:color w:val="auto"/>
              </w:rPr>
            </w:pPr>
          </w:p>
        </w:tc>
      </w:tr>
      <w:tr>
        <w:trPr>
          <w:trHeight w:val="146"/>
        </w:trPr>
        <w:tc>
          <w:tcPr>
            <w:tcW w:w="2380" w:type="dxa"/>
            <w:vAlign w:val="bottom"/>
            <w:gridSpan w:val="2"/>
            <w:vMerge w:val="continue"/>
          </w:tcPr>
          <w:p>
            <w:pPr>
              <w:spacing w:after="0"/>
              <w:rPr>
                <w:sz w:val="12"/>
                <w:szCs w:val="12"/>
                <w:color w:val="auto"/>
              </w:rPr>
            </w:pPr>
          </w:p>
        </w:tc>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28"/>
              <w:spacing w:after="0" w:line="146" w:lineRule="exact"/>
              <w:rPr>
                <w:sz w:val="20"/>
                <w:szCs w:val="20"/>
                <w:color w:val="auto"/>
              </w:rPr>
            </w:pPr>
            <w:r>
              <w:rPr>
                <w:rFonts w:ascii="Arial" w:cs="Arial" w:eastAsia="Arial" w:hAnsi="Arial"/>
                <w:sz w:val="14"/>
                <w:szCs w:val="14"/>
                <w:color w:val="auto"/>
              </w:rPr>
              <w:t>2016</w:t>
            </w:r>
          </w:p>
        </w:tc>
        <w:tc>
          <w:tcPr>
            <w:tcW w:w="340" w:type="dxa"/>
            <w:vAlign w:val="bottom"/>
          </w:tcPr>
          <w:p>
            <w:pPr>
              <w:spacing w:after="0"/>
              <w:rPr>
                <w:sz w:val="12"/>
                <w:szCs w:val="12"/>
                <w:color w:val="auto"/>
              </w:rPr>
            </w:pPr>
          </w:p>
        </w:tc>
        <w:tc>
          <w:tcPr>
            <w:tcW w:w="900" w:type="dxa"/>
            <w:vAlign w:val="bottom"/>
          </w:tcPr>
          <w:p>
            <w:pPr>
              <w:jc w:val="right"/>
              <w:ind w:right="248"/>
              <w:spacing w:after="0" w:line="146"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CFF0FC"/>
            </w:tcBorders>
            <w:shd w:val="clear" w:color="auto" w:fill="000000"/>
          </w:tcPr>
          <w:p>
            <w:pPr>
              <w:spacing w:after="0" w:line="20" w:lineRule="exact"/>
              <w:rPr>
                <w:sz w:val="1"/>
                <w:szCs w:val="1"/>
                <w:color w:val="auto"/>
              </w:rPr>
            </w:pPr>
          </w:p>
        </w:tc>
        <w:tc>
          <w:tcPr>
            <w:tcW w:w="1640" w:type="dxa"/>
            <w:vAlign w:val="bottom"/>
            <w:tcBorders>
              <w:bottom w:val="single" w:sz="8" w:color="CFF0FC"/>
            </w:tcBorders>
          </w:tcPr>
          <w:p>
            <w:pPr>
              <w:spacing w:after="0" w:line="20" w:lineRule="exact"/>
              <w:rPr>
                <w:sz w:val="1"/>
                <w:szCs w:val="1"/>
                <w:color w:val="auto"/>
              </w:rPr>
            </w:pPr>
          </w:p>
        </w:tc>
        <w:tc>
          <w:tcPr>
            <w:tcW w:w="68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38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82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984,543</w:t>
            </w:r>
          </w:p>
        </w:tc>
        <w:tc>
          <w:tcPr>
            <w:tcW w:w="3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808,702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680"/>
              <w:spacing w:after="0"/>
              <w:rPr>
                <w:sz w:val="20"/>
                <w:szCs w:val="20"/>
                <w:color w:val="auto"/>
              </w:rPr>
            </w:pPr>
            <w:r>
              <w:rPr>
                <w:rFonts w:ascii="Arial" w:cs="Arial" w:eastAsia="Arial" w:hAnsi="Arial"/>
                <w:sz w:val="14"/>
                <w:szCs w:val="14"/>
                <w:color w:val="auto"/>
              </w:rPr>
              <w:t>Provision for credit losses</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128,000</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680"/>
              <w:spacing w:after="0"/>
              <w:rPr>
                <w:sz w:val="20"/>
                <w:szCs w:val="20"/>
                <w:color w:val="auto"/>
              </w:rPr>
            </w:pPr>
            <w:r>
              <w:rPr>
                <w:rFonts w:ascii="Arial" w:cs="Arial" w:eastAsia="Arial" w:hAnsi="Arial"/>
                <w:sz w:val="14"/>
                <w:szCs w:val="14"/>
                <w:color w:val="auto"/>
              </w:rPr>
              <w:t>Depreciation and amortization of premises and equipment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79,911</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73,916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680"/>
              <w:spacing w:after="0"/>
              <w:rPr>
                <w:sz w:val="20"/>
                <w:szCs w:val="20"/>
                <w:color w:val="auto"/>
              </w:rPr>
            </w:pPr>
            <w:r>
              <w:rPr>
                <w:rFonts w:ascii="Arial" w:cs="Arial" w:eastAsia="Arial" w:hAnsi="Arial"/>
                <w:sz w:val="14"/>
                <w:szCs w:val="14"/>
                <w:color w:val="auto"/>
              </w:rPr>
              <w:t>Amortization of capitalized servicing rights</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37,979</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680"/>
              <w:spacing w:after="0"/>
              <w:rPr>
                <w:sz w:val="20"/>
                <w:szCs w:val="20"/>
                <w:color w:val="auto"/>
              </w:rPr>
            </w:pPr>
            <w:r>
              <w:rPr>
                <w:rFonts w:ascii="Arial" w:cs="Arial" w:eastAsia="Arial" w:hAnsi="Arial"/>
                <w:sz w:val="14"/>
                <w:szCs w:val="14"/>
                <w:color w:val="auto"/>
              </w:rPr>
              <w:t>Amortization of core deposit and other intangible assets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33,524</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680"/>
              <w:spacing w:after="0"/>
              <w:rPr>
                <w:sz w:val="20"/>
                <w:szCs w:val="20"/>
                <w:color w:val="auto"/>
              </w:rPr>
            </w:pPr>
            <w:r>
              <w:rPr>
                <w:rFonts w:ascii="Arial" w:cs="Arial" w:eastAsia="Arial" w:hAnsi="Arial"/>
                <w:sz w:val="14"/>
                <w:szCs w:val="14"/>
                <w:color w:val="auto"/>
              </w:rPr>
              <w:t>Provision for deferred income taxes</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109,274</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680"/>
              <w:spacing w:after="0"/>
              <w:rPr>
                <w:sz w:val="20"/>
                <w:szCs w:val="20"/>
                <w:color w:val="auto"/>
              </w:rPr>
            </w:pPr>
            <w:r>
              <w:rPr>
                <w:rFonts w:ascii="Arial" w:cs="Arial" w:eastAsia="Arial" w:hAnsi="Arial"/>
                <w:sz w:val="14"/>
                <w:szCs w:val="14"/>
                <w:color w:val="auto"/>
              </w:rPr>
              <w:t>Asset write-downs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14,276</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680"/>
              <w:spacing w:after="0"/>
              <w:rPr>
                <w:sz w:val="20"/>
                <w:szCs w:val="20"/>
                <w:color w:val="auto"/>
              </w:rPr>
            </w:pPr>
            <w:r>
              <w:rPr>
                <w:rFonts w:ascii="Arial" w:cs="Arial" w:eastAsia="Arial" w:hAnsi="Arial"/>
                <w:sz w:val="14"/>
                <w:szCs w:val="14"/>
                <w:color w:val="auto"/>
              </w:rPr>
              <w:t>Net gain on sales of assets</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(46,732)</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(61,969)</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680"/>
              <w:spacing w:after="0"/>
              <w:rPr>
                <w:sz w:val="20"/>
                <w:szCs w:val="20"/>
                <w:color w:val="auto"/>
              </w:rPr>
            </w:pPr>
            <w:r>
              <w:rPr>
                <w:rFonts w:ascii="Arial" w:cs="Arial" w:eastAsia="Arial" w:hAnsi="Arial"/>
                <w:sz w:val="14"/>
                <w:szCs w:val="14"/>
                <w:color w:val="auto"/>
              </w:rPr>
              <w:t>Net change in accrued interest receivable, payable</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(13,833)</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(5,484)</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680"/>
              <w:spacing w:after="0"/>
              <w:rPr>
                <w:sz w:val="20"/>
                <w:szCs w:val="20"/>
                <w:color w:val="auto"/>
              </w:rPr>
            </w:pPr>
            <w:r>
              <w:rPr>
                <w:rFonts w:ascii="Arial" w:cs="Arial" w:eastAsia="Arial" w:hAnsi="Arial"/>
                <w:sz w:val="14"/>
                <w:szCs w:val="14"/>
                <w:color w:val="auto"/>
              </w:rPr>
              <w:t>Net change in other accrued income and expense</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113,809</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680"/>
              <w:spacing w:after="0"/>
              <w:rPr>
                <w:sz w:val="20"/>
                <w:szCs w:val="20"/>
                <w:color w:val="auto"/>
              </w:rPr>
            </w:pPr>
            <w:r>
              <w:rPr>
                <w:rFonts w:ascii="Arial" w:cs="Arial" w:eastAsia="Arial" w:hAnsi="Arial"/>
                <w:sz w:val="14"/>
                <w:szCs w:val="14"/>
                <w:color w:val="auto"/>
              </w:rPr>
              <w:t>Net change in loans originated for sale</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(285,824)</w:t>
            </w:r>
          </w:p>
        </w:tc>
        <w:tc>
          <w:tcPr>
            <w:tcW w:w="900" w:type="dxa"/>
            <w:vAlign w:val="bottom"/>
          </w:tcPr>
          <w:p>
            <w:pPr>
              <w:jc w:val="right"/>
              <w:spacing w:after="0"/>
              <w:rPr>
                <w:sz w:val="20"/>
                <w:szCs w:val="20"/>
                <w:color w:val="auto"/>
              </w:rPr>
            </w:pPr>
            <w:r>
              <w:rPr>
                <w:rFonts w:ascii="Arial" w:cs="Arial" w:eastAsia="Arial" w:hAnsi="Arial"/>
                <w:sz w:val="14"/>
                <w:szCs w:val="14"/>
                <w:color w:val="auto"/>
              </w:rPr>
              <w:t>232,974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680"/>
              <w:spacing w:after="0"/>
              <w:rPr>
                <w:sz w:val="20"/>
                <w:szCs w:val="20"/>
                <w:color w:val="auto"/>
              </w:rPr>
            </w:pPr>
            <w:r>
              <w:rPr>
                <w:rFonts w:ascii="Arial" w:cs="Arial" w:eastAsia="Arial" w:hAnsi="Arial"/>
                <w:sz w:val="14"/>
                <w:szCs w:val="14"/>
                <w:color w:val="auto"/>
              </w:rPr>
              <w:t>Net change in trading account assets and liabilities</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(82,837)</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156"/>
        </w:trPr>
        <w:tc>
          <w:tcPr>
            <w:tcW w:w="74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6820" w:type="dxa"/>
            <w:vAlign w:val="bottom"/>
            <w:tcBorders>
              <w:bottom w:val="single" w:sz="8" w:color="CFF0FC"/>
            </w:tcBorders>
          </w:tcPr>
          <w:p>
            <w:pPr>
              <w:ind w:left="6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1,072,090</w:t>
            </w:r>
          </w:p>
        </w:tc>
        <w:tc>
          <w:tcPr>
            <w:tcW w:w="34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1,247,840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68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Proceeds from sales of investment securities</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440"/>
              <w:spacing w:after="0"/>
              <w:rPr>
                <w:sz w:val="20"/>
                <w:szCs w:val="20"/>
                <w:color w:val="auto"/>
              </w:rPr>
            </w:pPr>
            <w:r>
              <w:rPr>
                <w:rFonts w:ascii="Arial" w:cs="Arial" w:eastAsia="Arial" w:hAnsi="Arial"/>
                <w:sz w:val="14"/>
                <w:szCs w:val="14"/>
                <w:color w:val="auto"/>
              </w:rPr>
              <w:t>Available for sale</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61,947</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44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94,516</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Proceeds from maturities of investment securities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440"/>
              <w:spacing w:after="0"/>
              <w:rPr>
                <w:sz w:val="20"/>
                <w:szCs w:val="20"/>
                <w:color w:val="auto"/>
              </w:rPr>
            </w:pPr>
            <w:r>
              <w:rPr>
                <w:rFonts w:ascii="Arial" w:cs="Arial" w:eastAsia="Arial" w:hAnsi="Arial"/>
                <w:sz w:val="14"/>
                <w:szCs w:val="14"/>
                <w:color w:val="auto"/>
              </w:rPr>
              <w:t>Available for sale</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1,690,665</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1,343,869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440"/>
              <w:spacing w:after="0"/>
              <w:rPr>
                <w:sz w:val="20"/>
                <w:szCs w:val="20"/>
                <w:color w:val="auto"/>
              </w:rPr>
            </w:pPr>
            <w:r>
              <w:rPr>
                <w:rFonts w:ascii="Arial" w:cs="Arial" w:eastAsia="Arial" w:hAnsi="Arial"/>
                <w:sz w:val="14"/>
                <w:szCs w:val="14"/>
                <w:color w:val="auto"/>
              </w:rPr>
              <w:t>Held to maturity</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459,399</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519,359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investment securities</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440"/>
              <w:spacing w:after="0"/>
              <w:rPr>
                <w:sz w:val="20"/>
                <w:szCs w:val="20"/>
                <w:color w:val="auto"/>
              </w:rPr>
            </w:pPr>
            <w:r>
              <w:rPr>
                <w:rFonts w:ascii="Arial" w:cs="Arial" w:eastAsia="Arial" w:hAnsi="Arial"/>
                <w:sz w:val="14"/>
                <w:szCs w:val="14"/>
                <w:color w:val="auto"/>
              </w:rPr>
              <w:t>Available for sale</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(1,150,523)</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(3,320,931)</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440"/>
              <w:spacing w:after="0"/>
              <w:rPr>
                <w:sz w:val="20"/>
                <w:szCs w:val="20"/>
                <w:color w:val="auto"/>
              </w:rPr>
            </w:pPr>
            <w:r>
              <w:rPr>
                <w:rFonts w:ascii="Arial" w:cs="Arial" w:eastAsia="Arial" w:hAnsi="Arial"/>
                <w:sz w:val="14"/>
                <w:szCs w:val="14"/>
                <w:color w:val="auto"/>
              </w:rPr>
              <w:t>Held to maturity</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(15,806)</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(22,592)</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44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(1,514)</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(8,179)</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increase in loans and leases</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(2,021,004)</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(2,208,660)</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Net (increase) decrease in interest-bearing deposits at banks</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(3,183,286)</w:t>
            </w:r>
          </w:p>
        </w:tc>
        <w:tc>
          <w:tcPr>
            <w:tcW w:w="900" w:type="dxa"/>
            <w:vAlign w:val="bottom"/>
          </w:tcPr>
          <w:p>
            <w:pPr>
              <w:jc w:val="right"/>
              <w:spacing w:after="0"/>
              <w:rPr>
                <w:sz w:val="20"/>
                <w:szCs w:val="20"/>
                <w:color w:val="auto"/>
              </w:rPr>
            </w:pPr>
            <w:r>
              <w:rPr>
                <w:rFonts w:ascii="Arial" w:cs="Arial" w:eastAsia="Arial" w:hAnsi="Arial"/>
                <w:sz w:val="14"/>
                <w:szCs w:val="14"/>
                <w:color w:val="auto"/>
              </w:rPr>
              <w:t>1,757,601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Capital expenditures, net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(65,277)</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(42,744)</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Net decrease in loan servicing advances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121,226</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461,700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net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11,459</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(75,449)</w:t>
            </w:r>
          </w:p>
        </w:tc>
        <w:tc>
          <w:tcPr>
            <w:tcW w:w="0" w:type="dxa"/>
            <w:vAlign w:val="bottom"/>
          </w:tcPr>
          <w:p>
            <w:pPr>
              <w:spacing w:after="0"/>
              <w:rPr>
                <w:sz w:val="1"/>
                <w:szCs w:val="1"/>
                <w:color w:val="auto"/>
              </w:rPr>
            </w:pPr>
          </w:p>
        </w:tc>
      </w:tr>
      <w:tr>
        <w:trPr>
          <w:trHeight w:val="156"/>
        </w:trPr>
        <w:tc>
          <w:tcPr>
            <w:tcW w:w="74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6820" w:type="dxa"/>
            <w:vAlign w:val="bottom"/>
            <w:tcBorders>
              <w:bottom w:val="single" w:sz="8" w:color="CFF0FC"/>
            </w:tcBorders>
          </w:tcPr>
          <w:p>
            <w:pPr>
              <w:ind w:left="440"/>
              <w:spacing w:after="0" w:line="155" w:lineRule="exact"/>
              <w:rPr>
                <w:sz w:val="20"/>
                <w:szCs w:val="20"/>
                <w:color w:val="auto"/>
              </w:rPr>
            </w:pPr>
            <w:r>
              <w:rPr>
                <w:rFonts w:ascii="Arial" w:cs="Arial" w:eastAsia="Arial" w:hAnsi="Arial"/>
                <w:sz w:val="14"/>
                <w:szCs w:val="14"/>
                <w:color w:val="auto"/>
              </w:rPr>
              <w:t>Net cash used by investing activities</w:t>
            </w: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(3,998,198)</w:t>
            </w:r>
          </w:p>
        </w:tc>
        <w:tc>
          <w:tcPr>
            <w:tcW w:w="34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(1,593,070)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68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Net increase (decrease) in deposits</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6,195,511</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(636,144)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Net decrease in short-term borrowings</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(1,886,701)</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(18,893)</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long-term borrowings</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Payments on long-term borrowings</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(427,035)</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(324,308)</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treasury stock</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(604,000)</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Dividends paid - common</w:t>
            </w: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(333,042)</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(281,149)</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paid - preferred</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(58,003)</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(58,003)</w:t>
            </w: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682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Other, net</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3,540</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40,074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6820" w:type="dxa"/>
            <w:vAlign w:val="bottom"/>
            <w:shd w:val="clear" w:color="auto" w:fill="CFF0FC"/>
          </w:tcPr>
          <w:p>
            <w:pPr>
              <w:ind w:left="4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2,890,270</w:t>
            </w:r>
          </w:p>
        </w:tc>
        <w:tc>
          <w:tcPr>
            <w:tcW w:w="34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221,577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820" w:type="dxa"/>
            <w:vAlign w:val="bottom"/>
          </w:tcPr>
          <w:p>
            <w:pPr>
              <w:ind w:left="200"/>
              <w:spacing w:after="0" w:line="155" w:lineRule="exact"/>
              <w:rPr>
                <w:sz w:val="20"/>
                <w:szCs w:val="20"/>
                <w:color w:val="auto"/>
              </w:rPr>
            </w:pPr>
            <w:r>
              <w:rPr>
                <w:rFonts w:ascii="Arial" w:cs="Arial" w:eastAsia="Arial" w:hAnsi="Arial"/>
                <w:sz w:val="14"/>
                <w:szCs w:val="14"/>
                <w:color w:val="auto"/>
              </w:rPr>
              <w:t>Net decrease in cash and cash equivalents</w:t>
            </w: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(35,838)</w:t>
            </w:r>
          </w:p>
        </w:tc>
        <w:tc>
          <w:tcPr>
            <w:tcW w:w="3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(123,653)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1,368,040</w:t>
            </w:r>
          </w:p>
        </w:tc>
        <w:tc>
          <w:tcPr>
            <w:tcW w:w="34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1,373,357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 w:type="dxa"/>
            <w:vAlign w:val="bottom"/>
            <w:tcBorders>
              <w:bottom w:val="single" w:sz="8" w:color="CFF0FC"/>
            </w:tcBorders>
          </w:tcPr>
          <w:p>
            <w:pPr>
              <w:spacing w:after="0"/>
              <w:rPr>
                <w:sz w:val="17"/>
                <w:szCs w:val="17"/>
                <w:color w:val="auto"/>
              </w:rPr>
            </w:pPr>
          </w:p>
        </w:tc>
        <w:tc>
          <w:tcPr>
            <w:tcW w:w="1640" w:type="dxa"/>
            <w:vAlign w:val="bottom"/>
            <w:tcBorders>
              <w:bottom w:val="single" w:sz="8" w:color="CFF0FC"/>
            </w:tcBorders>
          </w:tcPr>
          <w:p>
            <w:pPr>
              <w:spacing w:after="0"/>
              <w:rPr>
                <w:sz w:val="17"/>
                <w:szCs w:val="17"/>
                <w:color w:val="auto"/>
              </w:rPr>
            </w:pPr>
          </w:p>
        </w:tc>
        <w:tc>
          <w:tcPr>
            <w:tcW w:w="6820" w:type="dxa"/>
            <w:vAlign w:val="bottom"/>
            <w:tcBorders>
              <w:bottom w:val="single" w:sz="8" w:color="CFF0FC"/>
            </w:tcBorders>
          </w:tcPr>
          <w:p>
            <w:pPr>
              <w:ind w:left="200"/>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1,332,202</w:t>
            </w:r>
          </w:p>
        </w:tc>
        <w:tc>
          <w:tcPr>
            <w:tcW w:w="34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1,249,704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80" w:type="dxa"/>
            <w:vAlign w:val="bottom"/>
            <w:gridSpan w:val="2"/>
            <w:shd w:val="clear" w:color="auto" w:fill="CFF0FC"/>
          </w:tcPr>
          <w:p>
            <w:pPr>
              <w:spacing w:after="0" w:line="124" w:lineRule="exact"/>
              <w:rPr>
                <w:sz w:val="20"/>
                <w:szCs w:val="20"/>
                <w:color w:val="auto"/>
              </w:rPr>
            </w:pPr>
            <w:r>
              <w:rPr>
                <w:rFonts w:ascii="Arial" w:cs="Arial" w:eastAsia="Arial" w:hAnsi="Arial"/>
                <w:sz w:val="14"/>
                <w:szCs w:val="14"/>
                <w:color w:val="auto"/>
              </w:rPr>
              <w:t>Supplemental disclosure of cash flow</w:t>
            </w:r>
          </w:p>
        </w:tc>
        <w:tc>
          <w:tcPr>
            <w:tcW w:w="6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information</w:t>
            </w:r>
          </w:p>
        </w:tc>
        <w:tc>
          <w:tcPr>
            <w:tcW w:w="6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received during the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2,923,278</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2,234,476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200"/>
              <w:spacing w:after="0"/>
              <w:rPr>
                <w:sz w:val="20"/>
                <w:szCs w:val="20"/>
                <w:color w:val="auto"/>
              </w:rPr>
            </w:pPr>
            <w:r>
              <w:rPr>
                <w:rFonts w:ascii="Arial" w:cs="Arial" w:eastAsia="Arial" w:hAnsi="Arial"/>
                <w:sz w:val="14"/>
                <w:szCs w:val="14"/>
                <w:color w:val="auto"/>
              </w:rPr>
              <w:t>Interest paid during the period</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387,695</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234,989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shd w:val="clear" w:color="auto" w:fill="CFF0FC"/>
          </w:tcPr>
          <w:p>
            <w:pPr>
              <w:spacing w:after="0"/>
              <w:rPr>
                <w:sz w:val="14"/>
                <w:szCs w:val="14"/>
                <w:color w:val="auto"/>
              </w:rPr>
            </w:pPr>
          </w:p>
        </w:tc>
        <w:tc>
          <w:tcPr>
            <w:tcW w:w="1640" w:type="dxa"/>
            <w:vAlign w:val="bottom"/>
            <w:tcBorders>
              <w:bottom w:val="single" w:sz="8" w:color="CFF0FC"/>
            </w:tcBorders>
            <w:shd w:val="clear" w:color="auto" w:fill="CFF0FC"/>
          </w:tcPr>
          <w:p>
            <w:pPr>
              <w:spacing w:after="0"/>
              <w:rPr>
                <w:sz w:val="14"/>
                <w:szCs w:val="14"/>
                <w:color w:val="auto"/>
              </w:rPr>
            </w:pPr>
          </w:p>
        </w:tc>
        <w:tc>
          <w:tcPr>
            <w:tcW w:w="6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Income taxes paid during the period</w:t>
            </w: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138,375</w:t>
            </w:r>
          </w:p>
        </w:tc>
        <w:tc>
          <w:tcPr>
            <w:tcW w:w="3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373,016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4"/>
                <w:szCs w:val="14"/>
                <w:color w:val="auto"/>
              </w:rPr>
              <w:t>Supplemental schedule of noncash</w:t>
            </w:r>
          </w:p>
        </w:tc>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380" w:type="dxa"/>
            <w:vAlign w:val="bottom"/>
            <w:gridSpan w:val="2"/>
            <w:vMerge w:val="continue"/>
          </w:tcPr>
          <w:p>
            <w:pPr>
              <w:spacing w:after="0"/>
              <w:rPr>
                <w:sz w:val="10"/>
                <w:szCs w:val="10"/>
                <w:color w:val="auto"/>
              </w:rPr>
            </w:pPr>
          </w:p>
        </w:tc>
        <w:tc>
          <w:tcPr>
            <w:tcW w:w="6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80" w:type="dxa"/>
            <w:vAlign w:val="bottom"/>
            <w:gridSpan w:val="2"/>
          </w:tcPr>
          <w:p>
            <w:pPr>
              <w:spacing w:after="0"/>
              <w:rPr>
                <w:sz w:val="20"/>
                <w:szCs w:val="20"/>
                <w:color w:val="auto"/>
              </w:rPr>
            </w:pPr>
            <w:r>
              <w:rPr>
                <w:rFonts w:ascii="Arial" w:cs="Arial" w:eastAsia="Arial" w:hAnsi="Arial"/>
                <w:sz w:val="14"/>
                <w:szCs w:val="14"/>
                <w:color w:val="auto"/>
              </w:rPr>
              <w:t>investing and financing activities</w:t>
            </w:r>
          </w:p>
        </w:tc>
        <w:tc>
          <w:tcPr>
            <w:tcW w:w="6820" w:type="dxa"/>
            <w:vAlign w:val="bottom"/>
          </w:tcPr>
          <w:p>
            <w:pPr>
              <w:ind w:left="200"/>
              <w:spacing w:after="0"/>
              <w:rPr>
                <w:sz w:val="20"/>
                <w:szCs w:val="20"/>
                <w:color w:val="auto"/>
              </w:rPr>
            </w:pPr>
            <w:r>
              <w:rPr>
                <w:rFonts w:ascii="Arial" w:cs="Arial" w:eastAsia="Arial" w:hAnsi="Arial"/>
                <w:sz w:val="14"/>
                <w:szCs w:val="14"/>
                <w:color w:val="auto"/>
              </w:rPr>
              <w:t>Real estate acquired in settlement of loans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100,106</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Securitization of residential mortgage loans allocated to</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20" w:type="dxa"/>
            <w:vAlign w:val="bottom"/>
          </w:tcPr>
          <w:p>
            <w:pPr>
              <w:ind w:left="440"/>
              <w:spacing w:after="0"/>
              <w:rPr>
                <w:sz w:val="20"/>
                <w:szCs w:val="20"/>
                <w:color w:val="auto"/>
              </w:rPr>
            </w:pPr>
            <w:r>
              <w:rPr>
                <w:rFonts w:ascii="Arial" w:cs="Arial" w:eastAsia="Arial" w:hAnsi="Arial"/>
                <w:sz w:val="14"/>
                <w:szCs w:val="14"/>
                <w:color w:val="auto"/>
              </w:rPr>
              <w:t>Available-for-sale investment securities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18,685</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51,481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6820" w:type="dxa"/>
            <w:vAlign w:val="bottom"/>
            <w:shd w:val="clear" w:color="auto" w:fill="CFF0FC"/>
          </w:tcPr>
          <w:p>
            <w:pPr>
              <w:ind w:left="440"/>
              <w:spacing w:after="0"/>
              <w:rPr>
                <w:sz w:val="20"/>
                <w:szCs w:val="20"/>
                <w:color w:val="auto"/>
              </w:rPr>
            </w:pPr>
            <w:r>
              <w:rPr>
                <w:rFonts w:ascii="Arial" w:cs="Arial" w:eastAsia="Arial" w:hAnsi="Arial"/>
                <w:sz w:val="14"/>
                <w:szCs w:val="14"/>
                <w:color w:val="auto"/>
              </w:rPr>
              <w:t>Capitalized servicing rights</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right="3720" w:firstLine="3721"/>
        <w:spacing w:after="0" w:line="403" w:lineRule="auto"/>
        <w:rPr>
          <w:sz w:val="20"/>
          <w:szCs w:val="20"/>
          <w:color w:val="auto"/>
        </w:rPr>
      </w:pPr>
      <w:r>
        <w:rPr>
          <w:rFonts w:ascii="Arial" w:cs="Arial" w:eastAsia="Arial" w:hAnsi="Arial"/>
          <w:sz w:val="17"/>
          <w:szCs w:val="17"/>
          <w:color w:val="auto"/>
        </w:rPr>
        <w:t>M&amp;T BANK CORPORATION AND SUBSIDIARIES CONSOLIDATED STATEMENT OF CHANGES IN SHAREHOLDERS’ EQUITY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Accumulated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other</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Common</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color w:val="auto"/>
                <w:w w:val="90"/>
              </w:rPr>
              <w:t>comprehensive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Preferred</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Common</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paid-in</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income</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Treasury</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80" w:type="dxa"/>
            <w:vAlign w:val="bottom"/>
          </w:tcPr>
          <w:p>
            <w:pPr>
              <w:spacing w:after="0"/>
              <w:rPr>
                <w:sz w:val="20"/>
                <w:szCs w:val="20"/>
                <w:color w:val="auto"/>
              </w:rPr>
            </w:pPr>
            <w:r>
              <w:rPr>
                <w:rFonts w:ascii="Arial" w:cs="Arial" w:eastAsia="Arial" w:hAnsi="Arial"/>
                <w:sz w:val="14"/>
                <w:szCs w:val="14"/>
                <w:i w:val="1"/>
                <w:iCs w:val="1"/>
                <w:color w:val="auto"/>
              </w:rPr>
              <w:t>In thousands, except per share</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stock</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stock</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issuable</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capital</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(loss), net</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stock</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Balance - January 1, 2015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6"/>
              </w:rPr>
              <w:t>$ 1,231,500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66,157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2,608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3,409,506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7,807,119</w:t>
            </w:r>
          </w:p>
        </w:tc>
        <w:tc>
          <w:tcPr>
            <w:tcW w:w="1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(180,994)</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12,335,896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Total comprehensive income</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808,702</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17,521</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Preferred stock cash dividends</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(60,953)</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(60,953)</w:t>
            </w: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Exercise of 2,315 Series A stock warrants into 904</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shares of common stock</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Stock-based compensation plans: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Compensation expense, net</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31,416</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Exercises of stock options, net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57,133</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purchase plan</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10,301</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Directors’ stock plan</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1,346</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compensation plans, net, including</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dividend equivalents</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(267)</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1,191</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Common stock cash dividends - $2.10 per share</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(281,045)</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(281,045)</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Balance - September 30, 2015</w:t>
            </w: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7"/>
              </w:rPr>
              <w:t>$ 1,231,500</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66,637</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2,341</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3,511,182</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8,273,747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(163,473)</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12,921,934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Balance - January 1, 2016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6"/>
              </w:rPr>
              <w:t>$ 1,231,500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79,782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6,680,768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8,430,502</w:t>
            </w:r>
          </w:p>
        </w:tc>
        <w:tc>
          <w:tcPr>
            <w:tcW w:w="1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(251,627)</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16,173,289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Total comprehensive income</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984,543</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137,068</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Preferred stock cash dividends</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(60,953)</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(60,953)</w:t>
            </w: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w w:val="98"/>
              </w:rPr>
              <w:t>Exercise of 5,320 Series A stock warrants into 1,983</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shares of common stock</w:t>
            </w:r>
          </w:p>
        </w:tc>
        <w:tc>
          <w:tcPr>
            <w:tcW w:w="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(223)</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Purchases of treasury stock</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(604,000)</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(604,000)</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plans:</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Compensation expense, net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7,315</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10,890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Exercises of stock options, net</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(183)</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11,576</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260"/>
              <w:spacing w:after="0"/>
              <w:rPr>
                <w:sz w:val="20"/>
                <w:szCs w:val="20"/>
                <w:color w:val="auto"/>
              </w:rPr>
            </w:pPr>
            <w:r>
              <w:rPr>
                <w:rFonts w:ascii="Arial" w:cs="Arial" w:eastAsia="Arial" w:hAnsi="Arial"/>
                <w:sz w:val="16"/>
                <w:szCs w:val="16"/>
                <w:color w:val="auto"/>
              </w:rPr>
              <w:t>Stock purchase plan</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275</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10,319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Directors’ stock plan</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1,047</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80" w:type="dxa"/>
            <w:vAlign w:val="bottom"/>
          </w:tcPr>
          <w:p>
            <w:pPr>
              <w:ind w:left="260"/>
              <w:spacing w:after="0"/>
              <w:rPr>
                <w:sz w:val="20"/>
                <w:szCs w:val="20"/>
                <w:color w:val="auto"/>
              </w:rPr>
            </w:pPr>
            <w:r>
              <w:rPr>
                <w:rFonts w:ascii="Arial" w:cs="Arial" w:eastAsia="Arial" w:hAnsi="Arial"/>
                <w:sz w:val="16"/>
                <w:szCs w:val="16"/>
                <w:color w:val="auto"/>
              </w:rPr>
              <w:t>Deferred compensation plans, net, including</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480"/>
              <w:spacing w:after="0"/>
              <w:rPr>
                <w:sz w:val="20"/>
                <w:szCs w:val="20"/>
                <w:color w:val="auto"/>
              </w:rPr>
            </w:pPr>
            <w:r>
              <w:rPr>
                <w:rFonts w:ascii="Arial" w:cs="Arial" w:eastAsia="Arial" w:hAnsi="Arial"/>
                <w:sz w:val="16"/>
                <w:szCs w:val="16"/>
                <w:color w:val="auto"/>
              </w:rPr>
              <w:t>dividend equivalents</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(140)</w:t>
            </w:r>
          </w:p>
        </w:tc>
        <w:tc>
          <w:tcPr>
            <w:tcW w:w="760" w:type="dxa"/>
            <w:vAlign w:val="bottom"/>
          </w:tcPr>
          <w:p>
            <w:pPr>
              <w:jc w:val="right"/>
              <w:spacing w:after="0"/>
              <w:rPr>
                <w:sz w:val="20"/>
                <w:szCs w:val="20"/>
                <w:color w:val="auto"/>
              </w:rPr>
            </w:pPr>
            <w:r>
              <w:rPr>
                <w:rFonts w:ascii="Arial" w:cs="Arial" w:eastAsia="Arial" w:hAnsi="Arial"/>
                <w:sz w:val="16"/>
                <w:szCs w:val="16"/>
                <w:color w:val="auto"/>
              </w:rPr>
              <w:t>232</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Common stock cash dividends - $2.10 per share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(332,057)</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(332,057)</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 September 30, 2016</w:t>
            </w: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$ 1,231,500</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79,975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6,689,812</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9,021,965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(114,559)</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(569,941)</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16,340,976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NOTES TO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2015 (“2015 Annual Report”). In the opinion of management, all adjustments necessary for a fair presentation have been made and were all of a normal recurring nature.</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1, 2015, M&amp;T completed the acquisition of Hudson City Bancorp, Inc. (“Hudson City”), headquartered in Paramus, New Jersey. On that date, Hudson City Savings Bank, the banking subsidiary of Hudson City, was merged into M&amp;T Bank, a wholly owned banking subsidiary of M&amp;T. Hudson City Savings Bank operated 135 banking offices in New Jersey, Connecticut and New York at the date of acquisition. The results of operations acquired in the Hudson City transaction have been included in the Company’s financial results since November 1, 2015. After application of the election, allocation and proration procedures contained in the merger agreement with Hudson City, M&amp;T paid $2.1 billion in cash and issued 25,953,950 shares of M&amp;T common stock in exchange for Hudson City shares outstanding at the time of the acquisition. The purchase price was approximately $5.2 billion based on the cash paid to Hudson City shareholders, the fair value of M&amp;T stock exchanged and the estimated fair value of Hudson City stock awards converted into M&amp;T stock awards. The acquisition of Hudson City expanded the Company’s presence in New Jersey, Connecticut and New York, and management expects that the Company will benefit from greater geographic diversity and the advantages of scale associated with a larger company.</w:t>
      </w:r>
    </w:p>
    <w:p>
      <w:pPr>
        <w:spacing w:after="0" w:line="16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Hudson City transaction has been accounted for using the acquisition method of accounting and, accordingly, assets acquired, liabilities assumed and consideration exchanged were recorded at estimated fair value on the acquisition date. The consideration paid for Hudson City’s common equity and the amounts of identifiable assets acquired and liabilities assumed as of the acquisition date were as follows:</w:t>
      </w:r>
    </w:p>
    <w:p>
      <w:pPr>
        <w:spacing w:after="0" w:line="242"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40"/>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7,568,934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4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7,929,014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19,015,013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1,079,787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Core deposit intangible</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131,665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843,219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identifiable assets</w:t>
            </w: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36,699,320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17,879,589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4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13,211,598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405,025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31,496,212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consideration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5,203,108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Cash paid</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2,064,284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(25,953,950 shares)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3,110,581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awards converted</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consideration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5,203,108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early November 2015, the Company sold $5.8 billion of investment securities obtained in the acquisition and repaid $10.6 billion of borrowings assumed in the transaction. In connection with the acquisition, the Company recorded approximately $1.1 billion of goodwill and $132 million of core deposit intangible. The core deposit intangible asset is being amortized over a period of 7 years using an accelerated method.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following table presents certain pro forma information as if Hudson City had been included in the Company’s results of operations in the three-month and nine-month periods ended September 30, 2015. These results combine the historical results of Hudson City into the Company’s consolidated statement of income and, while certain adjustments were made for the estimated impact of certain fair valuation adjustments and other acquisition-related activity, they are not indicative of what would have occurred had the acquisition taken place as indicated. In particular, no adjustments have been made to eliminate the impact of gains on securities transactions of $23 million during the three months ended September 30, 2015 and $97 million during the nine months ended September 30, 2015 that may not have been recognized had the investment securities been recorded at fair value. Additionally, the Company expects to achieve operating cost savings and other business synergies as a result of the acquisition which are not reflected in the pro forma amounts that follow.</w:t>
      </w:r>
    </w:p>
    <w:p>
      <w:pPr>
        <w:spacing w:after="0" w:line="269"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020" w:type="dxa"/>
            <w:vAlign w:val="bottom"/>
          </w:tcPr>
          <w:p>
            <w:pPr>
              <w:jc w:val="center"/>
              <w:ind w:right="124"/>
              <w:spacing w:after="0"/>
              <w:rPr>
                <w:sz w:val="20"/>
                <w:szCs w:val="20"/>
                <w:color w:val="auto"/>
              </w:rPr>
            </w:pPr>
            <w:r>
              <w:rPr>
                <w:rFonts w:ascii="Arial" w:cs="Arial" w:eastAsia="Arial" w:hAnsi="Arial"/>
                <w:sz w:val="14"/>
                <w:szCs w:val="14"/>
                <w:color w:val="auto"/>
                <w:w w:val="94"/>
              </w:rPr>
              <w:t>Pro forma</w:t>
            </w:r>
          </w:p>
        </w:tc>
        <w:tc>
          <w:tcPr>
            <w:tcW w:w="1080" w:type="dxa"/>
            <w:vAlign w:val="bottom"/>
            <w:gridSpan w:val="2"/>
          </w:tcPr>
          <w:p>
            <w:pPr>
              <w:jc w:val="center"/>
              <w:ind w:left="23"/>
              <w:spacing w:after="0"/>
              <w:rPr>
                <w:sz w:val="20"/>
                <w:szCs w:val="20"/>
                <w:color w:val="auto"/>
              </w:rPr>
            </w:pPr>
            <w:r>
              <w:rPr>
                <w:rFonts w:ascii="Arial" w:cs="Arial" w:eastAsia="Arial" w:hAnsi="Arial"/>
                <w:sz w:val="14"/>
                <w:szCs w:val="14"/>
                <w:color w:val="auto"/>
                <w:w w:val="94"/>
              </w:rPr>
              <w:t>Pro forma</w:t>
            </w:r>
          </w:p>
        </w:tc>
      </w:tr>
      <w:tr>
        <w:trPr>
          <w:trHeight w:val="149"/>
        </w:trPr>
        <w:tc>
          <w:tcPr>
            <w:tcW w:w="4740" w:type="dxa"/>
            <w:vAlign w:val="bottom"/>
          </w:tcPr>
          <w:p>
            <w:pPr>
              <w:spacing w:after="0"/>
              <w:rPr>
                <w:sz w:val="12"/>
                <w:szCs w:val="12"/>
                <w:color w:val="auto"/>
              </w:rPr>
            </w:pPr>
          </w:p>
        </w:tc>
        <w:tc>
          <w:tcPr>
            <w:tcW w:w="1020" w:type="dxa"/>
            <w:vAlign w:val="bottom"/>
          </w:tcPr>
          <w:p>
            <w:pPr>
              <w:jc w:val="center"/>
              <w:ind w:right="104"/>
              <w:spacing w:after="0" w:line="149" w:lineRule="exact"/>
              <w:rPr>
                <w:sz w:val="20"/>
                <w:szCs w:val="20"/>
                <w:color w:val="auto"/>
              </w:rPr>
            </w:pPr>
            <w:r>
              <w:rPr>
                <w:rFonts w:ascii="Arial" w:cs="Arial" w:eastAsia="Arial" w:hAnsi="Arial"/>
                <w:sz w:val="14"/>
                <w:szCs w:val="14"/>
                <w:color w:val="auto"/>
                <w:w w:val="92"/>
              </w:rPr>
              <w:t>Three months</w:t>
            </w:r>
          </w:p>
        </w:tc>
        <w:tc>
          <w:tcPr>
            <w:tcW w:w="1080" w:type="dxa"/>
            <w:vAlign w:val="bottom"/>
            <w:gridSpan w:val="2"/>
          </w:tcPr>
          <w:p>
            <w:pPr>
              <w:jc w:val="center"/>
              <w:ind w:left="23"/>
              <w:spacing w:after="0" w:line="149" w:lineRule="exact"/>
              <w:rPr>
                <w:sz w:val="20"/>
                <w:szCs w:val="20"/>
                <w:color w:val="auto"/>
              </w:rPr>
            </w:pPr>
            <w:r>
              <w:rPr>
                <w:rFonts w:ascii="Arial" w:cs="Arial" w:eastAsia="Arial" w:hAnsi="Arial"/>
                <w:sz w:val="14"/>
                <w:szCs w:val="14"/>
                <w:color w:val="auto"/>
                <w:w w:val="94"/>
              </w:rPr>
              <w:t>Nine months</w:t>
            </w:r>
          </w:p>
        </w:tc>
      </w:tr>
      <w:tr>
        <w:trPr>
          <w:trHeight w:val="149"/>
        </w:trPr>
        <w:tc>
          <w:tcPr>
            <w:tcW w:w="4740" w:type="dxa"/>
            <w:vAlign w:val="bottom"/>
          </w:tcPr>
          <w:p>
            <w:pPr>
              <w:spacing w:after="0"/>
              <w:rPr>
                <w:sz w:val="12"/>
                <w:szCs w:val="12"/>
                <w:color w:val="auto"/>
              </w:rPr>
            </w:pPr>
          </w:p>
        </w:tc>
        <w:tc>
          <w:tcPr>
            <w:tcW w:w="1020" w:type="dxa"/>
            <w:vAlign w:val="bottom"/>
          </w:tcPr>
          <w:p>
            <w:pPr>
              <w:jc w:val="center"/>
              <w:ind w:right="124"/>
              <w:spacing w:after="0" w:line="149" w:lineRule="exact"/>
              <w:rPr>
                <w:sz w:val="20"/>
                <w:szCs w:val="20"/>
                <w:color w:val="auto"/>
              </w:rPr>
            </w:pPr>
            <w:r>
              <w:rPr>
                <w:rFonts w:ascii="Arial" w:cs="Arial" w:eastAsia="Arial" w:hAnsi="Arial"/>
                <w:sz w:val="14"/>
                <w:szCs w:val="14"/>
                <w:color w:val="auto"/>
                <w:w w:val="87"/>
              </w:rPr>
              <w:t>ended</w:t>
            </w:r>
          </w:p>
        </w:tc>
        <w:tc>
          <w:tcPr>
            <w:tcW w:w="1080" w:type="dxa"/>
            <w:vAlign w:val="bottom"/>
            <w:gridSpan w:val="2"/>
          </w:tcPr>
          <w:p>
            <w:pPr>
              <w:jc w:val="center"/>
              <w:ind w:left="23"/>
              <w:spacing w:after="0" w:line="149" w:lineRule="exact"/>
              <w:rPr>
                <w:sz w:val="20"/>
                <w:szCs w:val="20"/>
                <w:color w:val="auto"/>
              </w:rPr>
            </w:pPr>
            <w:r>
              <w:rPr>
                <w:rFonts w:ascii="Arial" w:cs="Arial" w:eastAsia="Arial" w:hAnsi="Arial"/>
                <w:sz w:val="14"/>
                <w:szCs w:val="14"/>
                <w:color w:val="auto"/>
                <w:w w:val="87"/>
              </w:rPr>
              <w:t>ended</w:t>
            </w:r>
          </w:p>
        </w:tc>
      </w:tr>
      <w:tr>
        <w:trPr>
          <w:trHeight w:val="162"/>
        </w:trPr>
        <w:tc>
          <w:tcPr>
            <w:tcW w:w="4740" w:type="dxa"/>
            <w:vAlign w:val="bottom"/>
          </w:tcPr>
          <w:p>
            <w:pPr>
              <w:spacing w:after="0"/>
              <w:rPr>
                <w:sz w:val="14"/>
                <w:szCs w:val="14"/>
                <w:color w:val="auto"/>
              </w:rPr>
            </w:pPr>
          </w:p>
        </w:tc>
        <w:tc>
          <w:tcPr>
            <w:tcW w:w="1020" w:type="dxa"/>
            <w:vAlign w:val="bottom"/>
          </w:tcPr>
          <w:p>
            <w:pPr>
              <w:jc w:val="center"/>
              <w:ind w:right="104"/>
              <w:spacing w:after="0"/>
              <w:rPr>
                <w:sz w:val="20"/>
                <w:szCs w:val="20"/>
                <w:color w:val="auto"/>
              </w:rPr>
            </w:pPr>
            <w:r>
              <w:rPr>
                <w:rFonts w:ascii="Arial" w:cs="Arial" w:eastAsia="Arial" w:hAnsi="Arial"/>
                <w:sz w:val="14"/>
                <w:szCs w:val="14"/>
                <w:color w:val="auto"/>
                <w:w w:val="91"/>
              </w:rPr>
              <w:t>September 30,</w:t>
            </w:r>
          </w:p>
        </w:tc>
        <w:tc>
          <w:tcPr>
            <w:tcW w:w="1080" w:type="dxa"/>
            <w:vAlign w:val="bottom"/>
            <w:gridSpan w:val="2"/>
          </w:tcPr>
          <w:p>
            <w:pPr>
              <w:jc w:val="center"/>
              <w:ind w:left="23"/>
              <w:spacing w:after="0"/>
              <w:rPr>
                <w:sz w:val="20"/>
                <w:szCs w:val="20"/>
                <w:color w:val="auto"/>
              </w:rPr>
            </w:pPr>
            <w:r>
              <w:rPr>
                <w:rFonts w:ascii="Arial" w:cs="Arial" w:eastAsia="Arial" w:hAnsi="Arial"/>
                <w:sz w:val="14"/>
                <w:szCs w:val="14"/>
                <w:color w:val="auto"/>
                <w:w w:val="89"/>
              </w:rPr>
              <w:t>September 30,</w:t>
            </w:r>
          </w:p>
        </w:tc>
      </w:tr>
      <w:tr>
        <w:trPr>
          <w:trHeight w:val="167"/>
        </w:trPr>
        <w:tc>
          <w:tcPr>
            <w:tcW w:w="4740" w:type="dxa"/>
            <w:vAlign w:val="bottom"/>
          </w:tcPr>
          <w:p>
            <w:pPr>
              <w:spacing w:after="0"/>
              <w:rPr>
                <w:sz w:val="14"/>
                <w:szCs w:val="14"/>
                <w:color w:val="auto"/>
              </w:rPr>
            </w:pPr>
          </w:p>
        </w:tc>
        <w:tc>
          <w:tcPr>
            <w:tcW w:w="10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89"/>
              </w:rPr>
              <w:t>2015</w:t>
            </w:r>
          </w:p>
        </w:tc>
        <w:tc>
          <w:tcPr>
            <w:tcW w:w="102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2040" w:type="dxa"/>
            <w:vAlign w:val="bottom"/>
            <w:gridSpan w:val="2"/>
          </w:tcPr>
          <w:p>
            <w:pPr>
              <w:jc w:val="right"/>
              <w:ind w:right="543"/>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3"/>
                <w:szCs w:val="13"/>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(a)</w:t>
            </w:r>
          </w:p>
        </w:tc>
        <w:tc>
          <w:tcPr>
            <w:tcW w:w="1020" w:type="dxa"/>
            <w:vAlign w:val="bottom"/>
            <w:shd w:val="clear" w:color="auto" w:fill="CFF0FC"/>
          </w:tcPr>
          <w:p>
            <w:pPr>
              <w:jc w:val="right"/>
              <w:ind w:right="104"/>
              <w:spacing w:after="0"/>
              <w:rPr>
                <w:sz w:val="20"/>
                <w:szCs w:val="20"/>
                <w:color w:val="auto"/>
              </w:rPr>
            </w:pPr>
            <w:r>
              <w:rPr>
                <w:rFonts w:ascii="Arial" w:cs="Arial" w:eastAsia="Arial" w:hAnsi="Arial"/>
                <w:sz w:val="18"/>
                <w:szCs w:val="18"/>
                <w:color w:val="auto"/>
                <w:w w:val="86"/>
              </w:rPr>
              <w:t>$ 1,255,165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3,879,204</w:t>
            </w:r>
          </w:p>
        </w:tc>
        <w:tc>
          <w:tcPr>
            <w:tcW w:w="6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104"/>
              <w:spacing w:after="0"/>
              <w:rPr>
                <w:sz w:val="20"/>
                <w:szCs w:val="20"/>
                <w:color w:val="auto"/>
              </w:rPr>
            </w:pPr>
            <w:r>
              <w:rPr>
                <w:rFonts w:ascii="Arial" w:cs="Arial" w:eastAsia="Arial" w:hAnsi="Arial"/>
                <w:sz w:val="18"/>
                <w:szCs w:val="18"/>
                <w:color w:val="auto"/>
              </w:rPr>
              <w:t>296,335</w:t>
            </w:r>
          </w:p>
        </w:tc>
        <w:tc>
          <w:tcPr>
            <w:tcW w:w="1020" w:type="dxa"/>
            <w:vAlign w:val="bottom"/>
          </w:tcPr>
          <w:p>
            <w:pPr>
              <w:jc w:val="right"/>
              <w:spacing w:after="0"/>
              <w:rPr>
                <w:sz w:val="20"/>
                <w:szCs w:val="20"/>
                <w:color w:val="auto"/>
              </w:rPr>
            </w:pPr>
            <w:r>
              <w:rPr>
                <w:rFonts w:ascii="Arial" w:cs="Arial" w:eastAsia="Arial" w:hAnsi="Arial"/>
                <w:sz w:val="18"/>
                <w:szCs w:val="18"/>
                <w:color w:val="auto"/>
              </w:rPr>
              <w:t>939,226</w:t>
            </w:r>
          </w:p>
        </w:tc>
        <w:tc>
          <w:tcPr>
            <w:tcW w:w="60" w:type="dxa"/>
            <w:vAlign w:val="bottom"/>
          </w:tcPr>
          <w:p>
            <w:pPr>
              <w:spacing w:after="0"/>
              <w:rPr>
                <w:sz w:val="20"/>
                <w:szCs w:val="20"/>
                <w:color w:val="auto"/>
              </w:rPr>
            </w:pPr>
          </w:p>
        </w:tc>
      </w:tr>
    </w:tbl>
    <w:p>
      <w:pPr>
        <w:spacing w:after="0" w:line="106"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interest income plus other income.</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connection with the Hudson City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preparing for systems conversions and/or integration of operations; costs related to termination of existing contractual arrangements for various services; initial marketing and promotion expenses designed to introduce M&amp;T Bank to its new customers; severance (for former Hudson City employees); travel costs; and other costs of completing the transaction and commencing operations in new markets and offices. The Company does not expect additional merger-related expenses in 2016.</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merger-related expenses included in the consolidated statement of income follows:</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Nine months</w:t>
            </w:r>
          </w:p>
        </w:tc>
      </w:tr>
      <w:tr>
        <w:trPr>
          <w:trHeight w:val="162"/>
        </w:trPr>
        <w:tc>
          <w:tcPr>
            <w:tcW w:w="4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ended</w:t>
            </w:r>
          </w:p>
        </w:tc>
      </w:tr>
      <w:tr>
        <w:trPr>
          <w:trHeight w:val="149"/>
        </w:trPr>
        <w:tc>
          <w:tcPr>
            <w:tcW w:w="4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September 30,</w:t>
            </w:r>
          </w:p>
        </w:tc>
      </w:tr>
      <w:tr>
        <w:trPr>
          <w:trHeight w:val="167"/>
        </w:trPr>
        <w:tc>
          <w:tcPr>
            <w:tcW w:w="4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2016</w:t>
            </w:r>
          </w:p>
        </w:tc>
        <w:tc>
          <w:tcPr>
            <w:tcW w:w="8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9"/>
              <w:spacing w:after="0" w:line="155" w:lineRule="exact"/>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Salaries and employee benefits</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Printing, postage and supplies</w:t>
            </w:r>
          </w:p>
        </w:tc>
        <w:tc>
          <w:tcPr>
            <w:tcW w:w="2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8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cost of operations</w:t>
            </w:r>
          </w:p>
        </w:tc>
        <w:tc>
          <w:tcPr>
            <w:tcW w:w="2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27,661</w:t>
            </w:r>
          </w:p>
        </w:tc>
        <w:tc>
          <w:tcPr>
            <w:tcW w:w="8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There were no merger-related expenses during the three-month period ended September 30, 2016 or during the three-month and nine-month periods ended September 30, 2015.</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Gross</w:t>
            </w: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Gross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5"/>
              </w:rPr>
              <w:t>Amortized</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unrealized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unrealized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Estimated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93"/>
              </w:rPr>
              <w:t>cost</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gains</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losses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3"/>
          </w:tcPr>
          <w:p>
            <w:pPr>
              <w:jc w:val="right"/>
              <w:ind w:right="652"/>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2016</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724,540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726,401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10,617,605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314,088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10,930,662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134,393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17,969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118,226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0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70,112</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12,363</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82,212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11,551,614</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330,225</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11,862,567</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72,258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72,496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2,168,460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83,630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2,251,875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163,489</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125,983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5,743</w:t>
            </w:r>
          </w:p>
        </w:tc>
        <w:tc>
          <w:tcPr>
            <w:tcW w:w="3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2,409,950</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85,704</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39,557</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2,456,097</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580"/>
              <w:spacing w:after="0"/>
              <w:rPr>
                <w:sz w:val="20"/>
                <w:szCs w:val="20"/>
                <w:color w:val="auto"/>
              </w:rPr>
            </w:pPr>
            <w:r>
              <w:rPr>
                <w:rFonts w:ascii="Arial" w:cs="Arial" w:eastAsia="Arial" w:hAnsi="Arial"/>
                <w:sz w:val="18"/>
                <w:szCs w:val="18"/>
                <w:color w:val="auto"/>
              </w:rPr>
              <w:t>Other securities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461,057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461,057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14,422,621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415,929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14,779,721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2015</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299,890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4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299,997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11,592,959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142,370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11,686,628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28,438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20,143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47,393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137,556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118,880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securities</w:t>
            </w: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73,795</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83,671</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12,138,636</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174,699</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70,664</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12,242,671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580"/>
              <w:spacing w:after="0"/>
              <w:rPr>
                <w:sz w:val="20"/>
                <w:szCs w:val="20"/>
                <w:color w:val="auto"/>
              </w:rPr>
            </w:pPr>
            <w:r>
              <w:rPr>
                <w:rFonts w:ascii="Arial" w:cs="Arial" w:eastAsia="Arial" w:hAnsi="Arial"/>
                <w:sz w:val="18"/>
                <w:szCs w:val="18"/>
                <w:color w:val="auto"/>
              </w:rPr>
              <w:t>Investment securities held to maturity:</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118,431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119,013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2,553,612</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50,936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2,596,731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181,091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41,367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141,828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6,575</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2,859,709</w:t>
            </w:r>
          </w:p>
        </w:tc>
        <w:tc>
          <w:tcPr>
            <w:tcW w:w="3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54,043</w:t>
            </w:r>
          </w:p>
        </w:tc>
        <w:tc>
          <w:tcPr>
            <w:tcW w:w="3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49,605</w:t>
            </w:r>
          </w:p>
        </w:tc>
        <w:tc>
          <w:tcPr>
            <w:tcW w:w="3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2,864,147</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Other securities</w:t>
            </w:r>
          </w:p>
        </w:tc>
        <w:tc>
          <w:tcPr>
            <w:tcW w:w="10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554,059</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554,059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15,552,404</w:t>
            </w:r>
          </w:p>
        </w:tc>
        <w:tc>
          <w:tcPr>
            <w:tcW w:w="3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228,742</w:t>
            </w:r>
          </w:p>
        </w:tc>
        <w:tc>
          <w:tcPr>
            <w:tcW w:w="3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120,269</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15,660,877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- 10 -</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During the three months ended September 30, 2016, the Company sold substantially all of its collateralized debt obligations held in the available-for-sale investment securities portfolio for a gain of $28 million. There were no other significant gross realized gains or losses from sales of investment securities for the three-month and nine-month periods ended September 30, 2016 and 2015.</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2016, the amortized cost and estimated fair value of debt securities by contractual maturity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8"/>
              </w:rPr>
              <w:t>Amortized</w:t>
            </w:r>
          </w:p>
        </w:tc>
        <w:tc>
          <w:tcPr>
            <w:tcW w:w="960" w:type="dxa"/>
            <w:vAlign w:val="bottom"/>
          </w:tcPr>
          <w:p>
            <w:pPr>
              <w:jc w:val="right"/>
              <w:ind w:right="132"/>
              <w:spacing w:after="0"/>
              <w:rPr>
                <w:sz w:val="20"/>
                <w:szCs w:val="20"/>
                <w:color w:val="auto"/>
              </w:rPr>
            </w:pPr>
            <w:r>
              <w:rPr>
                <w:rFonts w:ascii="Arial" w:cs="Arial" w:eastAsia="Arial" w:hAnsi="Arial"/>
                <w:sz w:val="14"/>
                <w:szCs w:val="14"/>
                <w:color w:val="auto"/>
              </w:rPr>
              <w:t>Estimated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85"/>
              </w:rPr>
              <w:t>cost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fair value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3"/>
          </w:tcPr>
          <w:p>
            <w:pPr>
              <w:jc w:val="right"/>
              <w:ind w:right="632"/>
              <w:spacing w:after="0" w:line="155" w:lineRule="exact"/>
              <w:rPr>
                <w:sz w:val="20"/>
                <w:szCs w:val="20"/>
                <w:color w:val="auto"/>
              </w:rPr>
            </w:pPr>
            <w:r>
              <w:rPr>
                <w:rFonts w:ascii="Arial" w:cs="Arial" w:eastAsia="Arial" w:hAnsi="Arial"/>
                <w:sz w:val="14"/>
                <w:szCs w:val="14"/>
                <w:color w:val="auto"/>
              </w:rPr>
              <w:t>(in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105,225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105,679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625,911</w:t>
            </w:r>
          </w:p>
        </w:tc>
        <w:tc>
          <w:tcPr>
            <w:tcW w:w="28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627,585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128,741</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111,840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863,845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849,642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w w:val="97"/>
              </w:rPr>
              <w:t>Mortgage-backed securities available for sale</w:t>
            </w:r>
          </w:p>
        </w:tc>
        <w:tc>
          <w:tcPr>
            <w:tcW w:w="2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10,617,657</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10,930,713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3540" w:type="dxa"/>
            <w:vAlign w:val="bottom"/>
            <w:tcBorders>
              <w:bottom w:val="single" w:sz="8" w:color="CFF0FC"/>
            </w:tcBorders>
          </w:tcPr>
          <w:p>
            <w:pPr>
              <w:spacing w:after="0"/>
              <w:rPr>
                <w:sz w:val="22"/>
                <w:szCs w:val="22"/>
                <w:color w:val="auto"/>
              </w:rPr>
            </w:pPr>
          </w:p>
        </w:tc>
        <w:tc>
          <w:tcPr>
            <w:tcW w:w="228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11,481,502</w:t>
            </w:r>
          </w:p>
        </w:tc>
        <w:tc>
          <w:tcPr>
            <w:tcW w:w="2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11,780,355</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25,141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25,301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43,474</w:t>
            </w:r>
          </w:p>
        </w:tc>
        <w:tc>
          <w:tcPr>
            <w:tcW w:w="28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43,474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5,743</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5,743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78,001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78,239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held to maturity</w:t>
            </w:r>
          </w:p>
        </w:tc>
        <w:tc>
          <w:tcPr>
            <w:tcW w:w="2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2,331,949</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2,377,858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2,409,950</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2,456,097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80" w:type="dxa"/>
            <w:vAlign w:val="bottom"/>
            <w:vMerge w:val="restart"/>
          </w:tcPr>
          <w:p>
            <w:pPr>
              <w:jc w:val="right"/>
              <w:ind w:right="1550"/>
              <w:spacing w:after="0"/>
              <w:rPr>
                <w:sz w:val="20"/>
                <w:szCs w:val="20"/>
                <w:color w:val="auto"/>
              </w:rPr>
            </w:pPr>
            <w:r>
              <w:rPr>
                <w:rFonts w:ascii="Arial" w:cs="Arial" w:eastAsia="Arial" w:hAnsi="Arial"/>
                <w:sz w:val="18"/>
                <w:szCs w:val="18"/>
                <w:color w:val="auto"/>
              </w:rPr>
              <w:t>- 11 -</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 summary of investment securities that as of September 30, 2016 and December 31, 2015 had been in a continuous unrealized loss position for less than twelve months and those that had been in a continuous unrealized loss position for twelve months or longer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5"/>
          </w:tcPr>
          <w:p>
            <w:pPr>
              <w:ind w:left="360"/>
              <w:spacing w:after="0"/>
              <w:rPr>
                <w:sz w:val="20"/>
                <w:szCs w:val="20"/>
                <w:color w:val="auto"/>
              </w:rPr>
            </w:pPr>
            <w:r>
              <w:rPr>
                <w:rFonts w:ascii="Arial" w:cs="Arial" w:eastAsia="Arial" w:hAnsi="Arial"/>
                <w:sz w:val="14"/>
                <w:szCs w:val="14"/>
                <w:color w:val="auto"/>
              </w:rPr>
              <w:t>Less than 12 months</w:t>
            </w:r>
          </w:p>
        </w:tc>
        <w:tc>
          <w:tcPr>
            <w:tcW w:w="2040" w:type="dxa"/>
            <w:vAlign w:val="bottom"/>
            <w:gridSpan w:val="4"/>
          </w:tcPr>
          <w:p>
            <w:pPr>
              <w:jc w:val="right"/>
              <w:ind w:right="68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80"/>
              <w:spacing w:after="0" w:line="137" w:lineRule="exact"/>
              <w:rPr>
                <w:sz w:val="20"/>
                <w:szCs w:val="20"/>
                <w:color w:val="auto"/>
              </w:rPr>
            </w:pPr>
            <w:r>
              <w:rPr>
                <w:rFonts w:ascii="Arial" w:cs="Arial" w:eastAsia="Arial" w:hAnsi="Arial"/>
                <w:sz w:val="14"/>
                <w:szCs w:val="14"/>
                <w:color w:val="auto"/>
                <w:w w:val="99"/>
              </w:rPr>
              <w:t>Fair</w:t>
            </w:r>
          </w:p>
        </w:tc>
        <w:tc>
          <w:tcPr>
            <w:tcW w:w="92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2"/>
              </w:rPr>
              <w:t>Unrealized</w:t>
            </w:r>
          </w:p>
        </w:tc>
        <w:tc>
          <w:tcPr>
            <w:tcW w:w="3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620"/>
              <w:spacing w:after="0" w:line="137" w:lineRule="exact"/>
              <w:rPr>
                <w:sz w:val="20"/>
                <w:szCs w:val="20"/>
                <w:color w:val="auto"/>
              </w:rPr>
            </w:pPr>
            <w:r>
              <w:rPr>
                <w:rFonts w:ascii="Arial" w:cs="Arial" w:eastAsia="Arial" w:hAnsi="Arial"/>
                <w:sz w:val="14"/>
                <w:szCs w:val="14"/>
                <w:color w:val="auto"/>
                <w:w w:val="99"/>
              </w:rPr>
              <w:t>Fair</w:t>
            </w:r>
          </w:p>
        </w:tc>
        <w:tc>
          <w:tcPr>
            <w:tcW w:w="960" w:type="dxa"/>
            <w:vAlign w:val="bottom"/>
            <w:tcBorders>
              <w:top w:val="single" w:sz="8" w:color="auto"/>
            </w:tcBorders>
          </w:tcPr>
          <w:p>
            <w:pPr>
              <w:jc w:val="right"/>
              <w:ind w:right="91"/>
              <w:spacing w:after="0" w:line="137"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color w:val="auto"/>
                <w:w w:val="95"/>
              </w:rPr>
              <w:t>value</w:t>
            </w:r>
          </w:p>
        </w:tc>
        <w:tc>
          <w:tcPr>
            <w:tcW w:w="1540" w:type="dxa"/>
            <w:vAlign w:val="bottom"/>
            <w:gridSpan w:val="3"/>
          </w:tcPr>
          <w:p>
            <w:pPr>
              <w:jc w:val="center"/>
              <w:ind w:right="640"/>
              <w:spacing w:after="0"/>
              <w:rPr>
                <w:sz w:val="20"/>
                <w:szCs w:val="20"/>
                <w:color w:val="auto"/>
              </w:rPr>
            </w:pPr>
            <w:r>
              <w:rPr>
                <w:rFonts w:ascii="Arial" w:cs="Arial" w:eastAsia="Arial" w:hAnsi="Arial"/>
                <w:sz w:val="14"/>
                <w:szCs w:val="14"/>
                <w:color w:val="auto"/>
                <w:w w:val="85"/>
              </w:rPr>
              <w:t>losses</w:t>
            </w:r>
          </w:p>
        </w:tc>
        <w:tc>
          <w:tcPr>
            <w:tcW w:w="98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value</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700"/>
              <w:spacing w:after="0" w:line="155" w:lineRule="exact"/>
              <w:rPr>
                <w:sz w:val="20"/>
                <w:szCs w:val="20"/>
                <w:color w:val="auto"/>
              </w:rPr>
            </w:pPr>
            <w:r>
              <w:rPr>
                <w:rFonts w:ascii="Arial" w:cs="Arial" w:eastAsia="Arial" w:hAnsi="Arial"/>
                <w:sz w:val="14"/>
                <w:szCs w:val="14"/>
                <w:color w:val="auto"/>
                <w:w w:val="92"/>
              </w:rPr>
              <w:t>(in thousands)</w:t>
            </w: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2016</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472</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224,128</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(904)</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7,294</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106,876</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(17,969)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228,250</w:t>
            </w:r>
          </w:p>
        </w:tc>
        <w:tc>
          <w:tcPr>
            <w:tcW w:w="3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3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114,814</w:t>
            </w:r>
          </w:p>
        </w:tc>
        <w:tc>
          <w:tcPr>
            <w:tcW w:w="3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19,557</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11,050</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74,629</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19,256</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17,542</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(2,371)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91,127</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(36,751)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111,728</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121,433</w:t>
            </w: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339,978</w:t>
            </w:r>
          </w:p>
        </w:tc>
        <w:tc>
          <w:tcPr>
            <w:tcW w:w="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236,247</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147,508</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4,061,899</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(48,534)</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7,216</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Collateralized debt obligations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5,711</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Other debt securities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12,935</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93,344</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(19,728)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18,073</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4,246,991</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(49,727)</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104,154</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top w:val="single" w:sz="8" w:color="CFF0FC"/>
            </w:tcBorders>
            <w:shd w:val="clear" w:color="auto" w:fill="CFF0FC"/>
          </w:tcPr>
          <w:p>
            <w:pPr>
              <w:spacing w:after="0"/>
              <w:rPr>
                <w:sz w:val="20"/>
                <w:szCs w:val="20"/>
                <w:color w:val="auto"/>
              </w:rPr>
            </w:pPr>
          </w:p>
        </w:tc>
        <w:tc>
          <w:tcPr>
            <w:tcW w:w="16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42,913</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459,983</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(1,801)</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228,867</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112,155</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502,896</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(2,136)</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346,875</w:t>
            </w: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(47,469)</w:t>
            </w: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4,749,887</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(51,863)</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451,029</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(68,406)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Company owned 504 individual investment securities with aggregate gross unrealized losses of $59 million at September 30, 2016. Based on a review of each of the securities in the investment securities portfolio at September 30, 2016, the Company concluded that it expected to recover the amortized cost basis of its investment. As of September 30, 2016, the Company does not intend to sell nor is it anticipated that it would be required to sell any of its impaired investment securities at a loss. At September 30, 2016, the Company has not identified events or changes in circumstances which may have a significant adverse effect on the fair value of the $461 million of cost method investment securities.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Loans and leases and the allowance for credit losses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outstanding principal balance and the carrying amount of loans acquired at a discount that were recorded at fair value at the acquisition date and included in the consolidated balance sheet were as follows: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color w:val="auto"/>
              </w:rPr>
              <w:t>September 30,</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December 31,</w:t>
            </w:r>
          </w:p>
        </w:tc>
      </w:tr>
      <w:tr>
        <w:trPr>
          <w:trHeight w:val="167"/>
        </w:trPr>
        <w:tc>
          <w:tcPr>
            <w:tcW w:w="5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4"/>
                <w:szCs w:val="14"/>
                <w:color w:val="auto"/>
              </w:rPr>
            </w:pPr>
          </w:p>
        </w:tc>
      </w:tr>
      <w:tr>
        <w:trPr>
          <w:trHeight w:val="156"/>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3"/>
          </w:tcPr>
          <w:p>
            <w:pPr>
              <w:jc w:val="right"/>
              <w:ind w:right="634"/>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3"/>
                <w:szCs w:val="13"/>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 balance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2,556,085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3,122,935</w:t>
            </w:r>
          </w:p>
        </w:tc>
        <w:tc>
          <w:tcPr>
            <w:tcW w:w="6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Carrying amount: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62,244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78,847</w:t>
            </w:r>
          </w:p>
        </w:tc>
        <w:tc>
          <w:tcPr>
            <w:tcW w:w="60" w:type="dxa"/>
            <w:vAlign w:val="bottom"/>
            <w:shd w:val="clear" w:color="auto" w:fill="CFF0FC"/>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504,406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644,284</w:t>
            </w:r>
          </w:p>
        </w:tc>
        <w:tc>
          <w:tcPr>
            <w:tcW w:w="60" w:type="dxa"/>
            <w:vAlign w:val="bottom"/>
          </w:tcPr>
          <w:p>
            <w:pPr>
              <w:spacing w:after="0"/>
              <w:rPr>
                <w:sz w:val="19"/>
                <w:szCs w:val="19"/>
                <w:color w:val="auto"/>
              </w:rPr>
            </w:pPr>
          </w:p>
        </w:tc>
      </w:tr>
      <w:tr>
        <w:trPr>
          <w:trHeight w:val="230"/>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845,976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1,016,129</w:t>
            </w:r>
          </w:p>
        </w:tc>
        <w:tc>
          <w:tcPr>
            <w:tcW w:w="60" w:type="dxa"/>
            <w:vAlign w:val="bottom"/>
            <w:shd w:val="clear" w:color="auto" w:fill="CFF0FC"/>
          </w:tcPr>
          <w:p>
            <w:pPr>
              <w:spacing w:after="0"/>
              <w:rPr>
                <w:sz w:val="19"/>
                <w:szCs w:val="19"/>
                <w:color w:val="auto"/>
              </w:rPr>
            </w:pPr>
          </w:p>
        </w:tc>
      </w:tr>
      <w:tr>
        <w:trPr>
          <w:trHeight w:val="230"/>
        </w:trPr>
        <w:tc>
          <w:tcPr>
            <w:tcW w:w="5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609,400</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725,807</w:t>
            </w:r>
          </w:p>
        </w:tc>
        <w:tc>
          <w:tcPr>
            <w:tcW w:w="60" w:type="dxa"/>
            <w:vAlign w:val="bottom"/>
            <w:tcBorders>
              <w:bottom w:val="single" w:sz="8" w:color="CFF0FC"/>
            </w:tcBorders>
          </w:tcPr>
          <w:p>
            <w:pPr>
              <w:spacing w:after="0"/>
              <w:rPr>
                <w:sz w:val="19"/>
                <w:szCs w:val="19"/>
                <w:color w:val="auto"/>
              </w:rPr>
            </w:pPr>
          </w:p>
        </w:tc>
      </w:tr>
      <w:tr>
        <w:trPr>
          <w:trHeight w:val="223"/>
        </w:trPr>
        <w:tc>
          <w:tcPr>
            <w:tcW w:w="5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2,022,026</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2,465,067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Purchased impaired loans included in the table above totaled $617 million at September 30, 2016 and $768 million at December 31, 2015, representing less than 1% of the Company’s assets as of each date. A summary of changes in the accretable yield for loans acquired at a discount for the three months and nine months ended September 30, 2016 and 2015 follows: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6"/>
          </w:tcPr>
          <w:p>
            <w:pPr>
              <w:jc w:val="center"/>
              <w:ind w:right="300"/>
              <w:spacing w:after="0"/>
              <w:rPr>
                <w:sz w:val="20"/>
                <w:szCs w:val="20"/>
                <w:color w:val="auto"/>
              </w:rPr>
            </w:pPr>
            <w:r>
              <w:rPr>
                <w:rFonts w:ascii="Arial" w:cs="Arial" w:eastAsia="Arial" w:hAnsi="Arial"/>
                <w:sz w:val="14"/>
                <w:szCs w:val="14"/>
                <w:color w:val="auto"/>
                <w:w w:val="90"/>
              </w:rPr>
              <w:t>Three months ended September 30</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2016</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2015</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4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440"/>
              <w:spacing w:after="0" w:line="151" w:lineRule="exact"/>
              <w:rPr>
                <w:sz w:val="20"/>
                <w:szCs w:val="20"/>
                <w:color w:val="auto"/>
              </w:rPr>
            </w:pPr>
            <w:r>
              <w:rPr>
                <w:rFonts w:ascii="Arial" w:cs="Arial" w:eastAsia="Arial" w:hAnsi="Arial"/>
                <w:sz w:val="14"/>
                <w:szCs w:val="14"/>
                <w:color w:val="auto"/>
                <w:w w:val="86"/>
              </w:rPr>
              <w:t>Purchased</w:t>
            </w:r>
          </w:p>
        </w:tc>
        <w:tc>
          <w:tcPr>
            <w:tcW w:w="920" w:type="dxa"/>
            <w:vAlign w:val="bottom"/>
          </w:tcPr>
          <w:p>
            <w:pPr>
              <w:jc w:val="center"/>
              <w:spacing w:after="0" w:line="151" w:lineRule="exact"/>
              <w:rPr>
                <w:sz w:val="20"/>
                <w:szCs w:val="20"/>
                <w:color w:val="auto"/>
              </w:rPr>
            </w:pPr>
            <w:r>
              <w:rPr>
                <w:rFonts w:ascii="Arial" w:cs="Arial" w:eastAsia="Arial" w:hAnsi="Arial"/>
                <w:sz w:val="14"/>
                <w:szCs w:val="14"/>
                <w:color w:val="auto"/>
                <w:w w:val="91"/>
              </w:rPr>
              <w:t>Other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440"/>
              <w:spacing w:after="0" w:line="151" w:lineRule="exact"/>
              <w:rPr>
                <w:sz w:val="20"/>
                <w:szCs w:val="20"/>
                <w:color w:val="auto"/>
              </w:rPr>
            </w:pPr>
            <w:r>
              <w:rPr>
                <w:rFonts w:ascii="Arial" w:cs="Arial" w:eastAsia="Arial" w:hAnsi="Arial"/>
                <w:sz w:val="14"/>
                <w:szCs w:val="14"/>
                <w:color w:val="auto"/>
                <w:w w:val="89"/>
              </w:rPr>
              <w:t>Purchased</w:t>
            </w:r>
          </w:p>
        </w:tc>
        <w:tc>
          <w:tcPr>
            <w:tcW w:w="940" w:type="dxa"/>
            <w:vAlign w:val="bottom"/>
          </w:tcPr>
          <w:p>
            <w:pPr>
              <w:jc w:val="center"/>
              <w:spacing w:after="0" w:line="15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3"/>
                <w:szCs w:val="13"/>
                <w:color w:val="auto"/>
              </w:rPr>
            </w:pPr>
          </w:p>
        </w:tc>
      </w:tr>
      <w:tr>
        <w:trPr>
          <w:trHeight w:val="167"/>
        </w:trPr>
        <w:tc>
          <w:tcPr>
            <w:tcW w:w="4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impaired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acquired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impaired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acquired</w:t>
            </w:r>
          </w:p>
        </w:tc>
      </w:tr>
      <w:tr>
        <w:trPr>
          <w:trHeight w:val="156"/>
        </w:trPr>
        <w:tc>
          <w:tcPr>
            <w:tcW w:w="4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6"/>
          </w:tcPr>
          <w:p>
            <w:pPr>
              <w:jc w:val="center"/>
              <w:ind w:right="320"/>
              <w:spacing w:after="0" w:line="155" w:lineRule="exact"/>
              <w:rPr>
                <w:sz w:val="20"/>
                <w:szCs w:val="20"/>
                <w:color w:val="auto"/>
              </w:rPr>
            </w:pPr>
            <w:r>
              <w:rPr>
                <w:rFonts w:ascii="Arial" w:cs="Arial" w:eastAsia="Arial" w:hAnsi="Arial"/>
                <w:sz w:val="14"/>
                <w:szCs w:val="14"/>
                <w:color w:val="auto"/>
                <w:w w:val="92"/>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162,023</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245,195</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77,624</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344,989</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(12,784)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(26,540)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(5,865)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(37,396)</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Reclassifications from nonaccretable balance</w:t>
            </w: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 (a)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19"/>
                <w:szCs w:val="19"/>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71,806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4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6"/>
          </w:tcPr>
          <w:p>
            <w:pPr>
              <w:jc w:val="center"/>
              <w:ind w:right="300"/>
              <w:spacing w:after="0"/>
              <w:rPr>
                <w:sz w:val="20"/>
                <w:szCs w:val="20"/>
                <w:color w:val="auto"/>
              </w:rPr>
            </w:pPr>
            <w:r>
              <w:rPr>
                <w:rFonts w:ascii="Arial" w:cs="Arial" w:eastAsia="Arial" w:hAnsi="Arial"/>
                <w:sz w:val="14"/>
                <w:szCs w:val="14"/>
                <w:color w:val="auto"/>
                <w:w w:val="91"/>
              </w:rPr>
              <w:t>Nine months ended September 30</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4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2016</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2015</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4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440"/>
              <w:spacing w:after="0" w:line="151" w:lineRule="exact"/>
              <w:rPr>
                <w:sz w:val="20"/>
                <w:szCs w:val="20"/>
                <w:color w:val="auto"/>
              </w:rPr>
            </w:pPr>
            <w:r>
              <w:rPr>
                <w:rFonts w:ascii="Arial" w:cs="Arial" w:eastAsia="Arial" w:hAnsi="Arial"/>
                <w:sz w:val="14"/>
                <w:szCs w:val="14"/>
                <w:color w:val="auto"/>
                <w:w w:val="86"/>
              </w:rPr>
              <w:t>Purchased</w:t>
            </w:r>
          </w:p>
        </w:tc>
        <w:tc>
          <w:tcPr>
            <w:tcW w:w="920" w:type="dxa"/>
            <w:vAlign w:val="bottom"/>
          </w:tcPr>
          <w:p>
            <w:pPr>
              <w:jc w:val="center"/>
              <w:spacing w:after="0" w:line="151" w:lineRule="exact"/>
              <w:rPr>
                <w:sz w:val="20"/>
                <w:szCs w:val="20"/>
                <w:color w:val="auto"/>
              </w:rPr>
            </w:pPr>
            <w:r>
              <w:rPr>
                <w:rFonts w:ascii="Arial" w:cs="Arial" w:eastAsia="Arial" w:hAnsi="Arial"/>
                <w:sz w:val="14"/>
                <w:szCs w:val="14"/>
                <w:color w:val="auto"/>
                <w:w w:val="91"/>
              </w:rPr>
              <w:t>Other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440"/>
              <w:spacing w:after="0" w:line="151" w:lineRule="exact"/>
              <w:rPr>
                <w:sz w:val="20"/>
                <w:szCs w:val="20"/>
                <w:color w:val="auto"/>
              </w:rPr>
            </w:pPr>
            <w:r>
              <w:rPr>
                <w:rFonts w:ascii="Arial" w:cs="Arial" w:eastAsia="Arial" w:hAnsi="Arial"/>
                <w:sz w:val="14"/>
                <w:szCs w:val="14"/>
                <w:color w:val="auto"/>
                <w:w w:val="89"/>
              </w:rPr>
              <w:t>Purchased</w:t>
            </w:r>
          </w:p>
        </w:tc>
        <w:tc>
          <w:tcPr>
            <w:tcW w:w="940" w:type="dxa"/>
            <w:vAlign w:val="bottom"/>
          </w:tcPr>
          <w:p>
            <w:pPr>
              <w:jc w:val="center"/>
              <w:spacing w:after="0" w:line="15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3"/>
                <w:szCs w:val="13"/>
                <w:color w:val="auto"/>
              </w:rPr>
            </w:pPr>
          </w:p>
        </w:tc>
      </w:tr>
      <w:tr>
        <w:trPr>
          <w:trHeight w:val="167"/>
        </w:trPr>
        <w:tc>
          <w:tcPr>
            <w:tcW w:w="4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impaired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acquired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impaired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acquired</w:t>
            </w:r>
          </w:p>
        </w:tc>
      </w:tr>
      <w:tr>
        <w:trPr>
          <w:trHeight w:val="156"/>
        </w:trPr>
        <w:tc>
          <w:tcPr>
            <w:tcW w:w="4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6"/>
          </w:tcPr>
          <w:p>
            <w:pPr>
              <w:jc w:val="center"/>
              <w:ind w:right="320"/>
              <w:spacing w:after="0" w:line="155" w:lineRule="exact"/>
              <w:rPr>
                <w:sz w:val="20"/>
                <w:szCs w:val="20"/>
                <w:color w:val="auto"/>
              </w:rPr>
            </w:pPr>
            <w:r>
              <w:rPr>
                <w:rFonts w:ascii="Arial" w:cs="Arial" w:eastAsia="Arial" w:hAnsi="Arial"/>
                <w:sz w:val="14"/>
                <w:szCs w:val="14"/>
                <w:color w:val="auto"/>
                <w:w w:val="92"/>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184,618</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296,434</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76,518</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397,379</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(40,906)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(97,300)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(16,843)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(118,697)</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Reclassifications from nonaccretable balance</w:t>
            </w: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7,783</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27,792</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 (a)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19"/>
                <w:szCs w:val="19"/>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71,806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38"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current, past due and nonaccrual loans as of September 30, 2016 and December 31, 2015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Accruing</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loans</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9"/>
              </w:rPr>
              <w:t>Accruing</w:t>
            </w:r>
          </w:p>
        </w:tc>
        <w:tc>
          <w:tcPr>
            <w:tcW w:w="2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acquired at</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0"/>
              </w:rPr>
              <w:t>loans past</w:t>
            </w: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a discount</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due 90</w:t>
            </w:r>
          </w:p>
        </w:tc>
        <w:tc>
          <w:tcPr>
            <w:tcW w:w="2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past due</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30-89 days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days or</w:t>
            </w:r>
          </w:p>
        </w:tc>
        <w:tc>
          <w:tcPr>
            <w:tcW w:w="2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90 days</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Purchased</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60" w:type="dxa"/>
            <w:vAlign w:val="bottom"/>
            <w:vMerge w:val="restart"/>
          </w:tcPr>
          <w:p>
            <w:pPr>
              <w:spacing w:after="0"/>
              <w:rPr>
                <w:sz w:val="20"/>
                <w:szCs w:val="20"/>
                <w:color w:val="auto"/>
              </w:rPr>
            </w:pPr>
            <w:r>
              <w:rPr>
                <w:rFonts w:ascii="Arial" w:cs="Arial" w:eastAsia="Arial" w:hAnsi="Arial"/>
                <w:sz w:val="14"/>
                <w:szCs w:val="14"/>
                <w:color w:val="auto"/>
              </w:rPr>
              <w:t>September 30, 2016</w:t>
            </w: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Current</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past due</w:t>
            </w: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more (a)</w:t>
            </w:r>
          </w:p>
        </w:tc>
        <w:tc>
          <w:tcPr>
            <w:tcW w:w="2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or more (b)</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impaired (c)</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Nonaccrual</w:t>
            </w:r>
          </w:p>
        </w:tc>
        <w:tc>
          <w:tcPr>
            <w:tcW w:w="20" w:type="dxa"/>
            <w:vAlign w:val="bottom"/>
          </w:tcPr>
          <w:p>
            <w:pPr>
              <w:spacing w:after="0"/>
              <w:rPr>
                <w:sz w:val="14"/>
                <w:szCs w:val="14"/>
                <w:color w:val="auto"/>
              </w:rPr>
            </w:pPr>
          </w:p>
        </w:tc>
        <w:tc>
          <w:tcPr>
            <w:tcW w:w="1020" w:type="dxa"/>
            <w:vAlign w:val="bottom"/>
            <w:gridSpan w:val="2"/>
          </w:tcPr>
          <w:p>
            <w:pPr>
              <w:ind w:lef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4160" w:type="dxa"/>
            <w:vAlign w:val="bottom"/>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ind w:left="120"/>
              <w:spacing w:after="0" w:line="155" w:lineRule="exact"/>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$ 21,601,646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70,597</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231,401</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5"/>
              </w:rPr>
              <w:t>$ 21,917,163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Real estate:</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24,283,146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116,651</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13,292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32,775</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157,527</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24,619,317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920" w:type="dxa"/>
            <w:vAlign w:val="bottom"/>
          </w:tcPr>
          <w:p>
            <w:pPr>
              <w:jc w:val="right"/>
              <w:spacing w:after="0"/>
              <w:rPr>
                <w:sz w:val="20"/>
                <w:szCs w:val="20"/>
                <w:color w:val="auto"/>
              </w:rPr>
            </w:pPr>
            <w:r>
              <w:rPr>
                <w:rFonts w:ascii="Arial" w:cs="Arial" w:eastAsia="Arial" w:hAnsi="Arial"/>
                <w:sz w:val="18"/>
                <w:szCs w:val="18"/>
                <w:color w:val="auto"/>
              </w:rPr>
              <w:t>1,814,299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16,993</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3,262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18,096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20,118</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1,877,244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5,525,684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15,412</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20,669</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5,582,201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18,438,396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494,767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281,023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12,510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401,551</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213,896</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19,842,143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Residential-limited documentation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3,400,578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105,621</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146,722</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89,356</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3,742,277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5,586,704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40,406</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13,014</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79,623</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5,721,387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920" w:type="dxa"/>
            <w:vAlign w:val="bottom"/>
          </w:tcPr>
          <w:p>
            <w:pPr>
              <w:jc w:val="right"/>
              <w:spacing w:after="0"/>
              <w:rPr>
                <w:sz w:val="20"/>
                <w:szCs w:val="20"/>
                <w:color w:val="auto"/>
              </w:rPr>
            </w:pPr>
            <w:r>
              <w:rPr>
                <w:rFonts w:ascii="Arial" w:cs="Arial" w:eastAsia="Arial" w:hAnsi="Arial"/>
                <w:sz w:val="18"/>
                <w:szCs w:val="18"/>
                <w:color w:val="auto"/>
              </w:rPr>
              <w:t>2,805,779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46,347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14,453</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2,866,583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3,410,790</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31,033</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21,009</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10,319</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3,478,177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86,867,022</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942,653</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317,282</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65,182</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616,991</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837,362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89,646,492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4"/>
                <w:szCs w:val="14"/>
                <w:color w:val="auto"/>
              </w:rPr>
              <w:t>December 31, 2015</w:t>
            </w: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1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$ 20,122,648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52,868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241,917</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5"/>
              </w:rPr>
              <w:t>$ 20,422,338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Real estate:</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(d)</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23,111,673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172,439</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8,790</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46,790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179,606</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23,532,261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920" w:type="dxa"/>
            <w:vAlign w:val="bottom"/>
          </w:tcPr>
          <w:p>
            <w:pPr>
              <w:jc w:val="right"/>
              <w:spacing w:after="0"/>
              <w:rPr>
                <w:sz w:val="20"/>
                <w:szCs w:val="20"/>
                <w:color w:val="auto"/>
              </w:rPr>
            </w:pPr>
            <w:r>
              <w:rPr>
                <w:rFonts w:ascii="Arial" w:cs="Arial" w:eastAsia="Arial" w:hAnsi="Arial"/>
                <w:sz w:val="18"/>
                <w:szCs w:val="18"/>
                <w:color w:val="auto"/>
              </w:rPr>
              <w:t>1,507,856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6,925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28,734</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28,429</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1,585,673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 (d)</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3,962,620</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65,932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24,525</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16,363</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4,079,377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20,507,551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560,312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284,451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16,079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488,599</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153,281</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22,010,273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Residential-limited documentation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3,885,073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137,289</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175,518</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61,950</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4,259,830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5,805,222</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45,604</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15,222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84,467</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5,952,776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920" w:type="dxa"/>
            <w:vAlign w:val="bottom"/>
          </w:tcPr>
          <w:p>
            <w:pPr>
              <w:jc w:val="right"/>
              <w:spacing w:after="0"/>
              <w:rPr>
                <w:sz w:val="20"/>
                <w:szCs w:val="20"/>
                <w:color w:val="auto"/>
              </w:rPr>
            </w:pPr>
            <w:r>
              <w:rPr>
                <w:rFonts w:ascii="Arial" w:cs="Arial" w:eastAsia="Arial" w:hAnsi="Arial"/>
                <w:sz w:val="18"/>
                <w:szCs w:val="18"/>
                <w:color w:val="auto"/>
              </w:rPr>
              <w:t>2,446,473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56,181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16,597</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2,519,257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3,051,435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18,757</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16,799</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3,127,714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84,400,551</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1,135,296</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317,441</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68,473</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768,329</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799,409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87,489,499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23" w:lineRule="exact"/>
        <w:rPr>
          <w:rFonts w:ascii="Arial" w:cs="Arial" w:eastAsia="Arial" w:hAnsi="Arial"/>
          <w:sz w:val="18"/>
          <w:szCs w:val="18"/>
          <w:i w:val="1"/>
          <w:iCs w:val="1"/>
          <w:color w:val="auto"/>
        </w:rPr>
      </w:pPr>
    </w:p>
    <w:p>
      <w:pPr>
        <w:ind w:left="520" w:right="20" w:hanging="512"/>
        <w:spacing w:after="0" w:line="250" w:lineRule="auto"/>
        <w:tabs>
          <w:tab w:leader="none" w:pos="5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520" w:hanging="512"/>
        <w:spacing w:after="0"/>
        <w:tabs>
          <w:tab w:leader="none" w:pos="5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9" w:lineRule="exact"/>
        <w:rPr>
          <w:rFonts w:ascii="Arial" w:cs="Arial" w:eastAsia="Arial" w:hAnsi="Arial"/>
          <w:sz w:val="18"/>
          <w:szCs w:val="18"/>
          <w:i w:val="1"/>
          <w:iCs w:val="1"/>
          <w:color w:val="auto"/>
        </w:rPr>
      </w:pPr>
    </w:p>
    <w:p>
      <w:pPr>
        <w:ind w:left="520" w:right="20" w:hanging="512"/>
        <w:spacing w:after="0" w:line="261" w:lineRule="auto"/>
        <w:tabs>
          <w:tab w:leader="none" w:pos="5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expanded its definition of construction loans in 2016 and, as a result, re-characterized certain commercial real estate loans as other commercial construction loans. The December 31, 2015 balances reflect such changes.</w:t>
      </w:r>
    </w:p>
    <w:p>
      <w:pPr>
        <w:spacing w:after="0" w:line="18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One-to-four family residential mortgage loans held for sale were $415 million and $353 million at September 30, 2016 and December 31, 2015, respectively. Commercial mortgage loans held for sale were $290 million at September 30, 2016 and $39 million at December 31,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allowance for credit losses for the three months ended September 30, 2016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720" w:type="dxa"/>
            <w:vAlign w:val="bottom"/>
            <w:gridSpan w:val="3"/>
          </w:tcPr>
          <w:p>
            <w:pPr>
              <w:jc w:val="center"/>
              <w:ind w:left="1254"/>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Financial,</w:t>
            </w:r>
          </w:p>
        </w:tc>
        <w:tc>
          <w:tcPr>
            <w:tcW w:w="212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0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9"/>
              </w:rPr>
              <w:t>Consumer</w:t>
            </w:r>
          </w:p>
        </w:tc>
        <w:tc>
          <w:tcPr>
            <w:tcW w:w="10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Unallocated</w:t>
            </w:r>
          </w:p>
        </w:tc>
        <w:tc>
          <w:tcPr>
            <w:tcW w:w="140" w:type="dxa"/>
            <w:vAlign w:val="bottom"/>
          </w:tcPr>
          <w:p>
            <w:pPr>
              <w:spacing w:after="0"/>
              <w:rPr>
                <w:sz w:val="13"/>
                <w:szCs w:val="13"/>
                <w:color w:val="auto"/>
              </w:rPr>
            </w:pPr>
          </w:p>
        </w:tc>
        <w:tc>
          <w:tcPr>
            <w:tcW w:w="7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Total</w:t>
            </w:r>
          </w:p>
        </w:tc>
      </w:tr>
      <w:tr>
        <w:trPr>
          <w:trHeight w:val="156"/>
        </w:trPr>
        <w:tc>
          <w:tcPr>
            <w:tcW w:w="3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800"/>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$ 316,079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349,674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69,660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157,361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77,722</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970,496</w:t>
            </w:r>
          </w:p>
        </w:tc>
        <w:tc>
          <w:tcPr>
            <w:tcW w:w="12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26,222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9,963</w:t>
            </w:r>
          </w:p>
        </w:tc>
        <w:tc>
          <w:tcPr>
            <w:tcW w:w="3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(6,232)</w:t>
            </w:r>
          </w:p>
        </w:tc>
        <w:tc>
          <w:tcPr>
            <w:tcW w:w="760" w:type="dxa"/>
            <w:vAlign w:val="bottom"/>
          </w:tcPr>
          <w:p>
            <w:pPr>
              <w:jc w:val="right"/>
              <w:spacing w:after="0"/>
              <w:rPr>
                <w:sz w:val="20"/>
                <w:szCs w:val="20"/>
                <w:color w:val="auto"/>
              </w:rPr>
            </w:pPr>
            <w:r>
              <w:rPr>
                <w:rFonts w:ascii="Arial" w:cs="Arial" w:eastAsia="Arial" w:hAnsi="Arial"/>
                <w:sz w:val="18"/>
                <w:szCs w:val="18"/>
                <w:color w:val="auto"/>
              </w:rPr>
              <w:t>16,539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47,000</w:t>
            </w:r>
          </w:p>
        </w:tc>
        <w:tc>
          <w:tcPr>
            <w:tcW w:w="1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6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2720" w:type="dxa"/>
            <w:vAlign w:val="bottom"/>
            <w:gridSpan w:val="3"/>
          </w:tcPr>
          <w:p>
            <w:pPr>
              <w:jc w:val="right"/>
              <w:ind w:right="240"/>
              <w:spacing w:after="0"/>
              <w:rPr>
                <w:sz w:val="20"/>
                <w:szCs w:val="20"/>
                <w:color w:val="auto"/>
              </w:rPr>
            </w:pPr>
            <w:r>
              <w:rPr>
                <w:rFonts w:ascii="Arial" w:cs="Arial" w:eastAsia="Arial" w:hAnsi="Arial"/>
                <w:sz w:val="18"/>
                <w:szCs w:val="18"/>
                <w:color w:val="auto"/>
              </w:rPr>
              <w:t>(21,075)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(1,564)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(6,754)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(29,882)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(59,275)</w:t>
            </w: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6,958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7,319</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17,900</w:t>
            </w:r>
          </w:p>
        </w:tc>
        <w:tc>
          <w:tcPr>
            <w:tcW w:w="120" w:type="dxa"/>
            <w:vAlign w:val="bottom"/>
            <w:shd w:val="clear" w:color="auto" w:fill="CFF0FC"/>
          </w:tcPr>
          <w:p>
            <w:pPr>
              <w:spacing w:after="0"/>
              <w:rPr>
                <w:sz w:val="19"/>
                <w:szCs w:val="19"/>
                <w:color w:val="auto"/>
              </w:rPr>
            </w:pPr>
          </w:p>
        </w:tc>
      </w:tr>
      <w:tr>
        <w:trPr>
          <w:trHeight w:val="223"/>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66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(14,117)</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3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(22,563)</w:t>
            </w:r>
          </w:p>
        </w:tc>
        <w:tc>
          <w:tcPr>
            <w:tcW w:w="3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(41,375)</w:t>
            </w:r>
          </w:p>
        </w:tc>
        <w:tc>
          <w:tcPr>
            <w:tcW w:w="120" w:type="dxa"/>
            <w:vAlign w:val="bottom"/>
            <w:tcBorders>
              <w:bottom w:val="single" w:sz="8" w:color="CFF0FC"/>
            </w:tcBorders>
          </w:tcPr>
          <w:p>
            <w:pPr>
              <w:spacing w:after="0"/>
              <w:rPr>
                <w:sz w:val="19"/>
                <w:szCs w:val="19"/>
                <w:color w:val="auto"/>
              </w:rPr>
            </w:pP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$ 328,184</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359,777</w:t>
            </w: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58,593</w:t>
            </w: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151,337</w:t>
            </w: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78,230</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976,121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allowance for credit losses for the three months ended September 30, 2015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720" w:type="dxa"/>
            <w:vAlign w:val="bottom"/>
            <w:gridSpan w:val="3"/>
          </w:tcPr>
          <w:p>
            <w:pPr>
              <w:jc w:val="center"/>
              <w:ind w:left="1254"/>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Financial,</w:t>
            </w:r>
          </w:p>
        </w:tc>
        <w:tc>
          <w:tcPr>
            <w:tcW w:w="212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0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9"/>
              </w:rPr>
              <w:t>Consumer</w:t>
            </w:r>
          </w:p>
        </w:tc>
        <w:tc>
          <w:tcPr>
            <w:tcW w:w="108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w w:val="94"/>
              </w:rPr>
              <w:t>Unallocated</w:t>
            </w:r>
          </w:p>
        </w:tc>
        <w:tc>
          <w:tcPr>
            <w:tcW w:w="140" w:type="dxa"/>
            <w:vAlign w:val="bottom"/>
          </w:tcPr>
          <w:p>
            <w:pPr>
              <w:spacing w:after="0"/>
              <w:rPr>
                <w:sz w:val="13"/>
                <w:szCs w:val="13"/>
                <w:color w:val="auto"/>
              </w:rPr>
            </w:pPr>
          </w:p>
        </w:tc>
        <w:tc>
          <w:tcPr>
            <w:tcW w:w="7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Total</w:t>
            </w:r>
          </w:p>
        </w:tc>
      </w:tr>
      <w:tr>
        <w:trPr>
          <w:trHeight w:val="156"/>
        </w:trPr>
        <w:tc>
          <w:tcPr>
            <w:tcW w:w="3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800"/>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$ 286,750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311,294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60,294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194,238</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77,411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929,987</w:t>
            </w:r>
          </w:p>
        </w:tc>
        <w:tc>
          <w:tcPr>
            <w:tcW w:w="12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21,507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1,879</w:t>
            </w:r>
          </w:p>
        </w:tc>
        <w:tc>
          <w:tcPr>
            <w:tcW w:w="3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(3,155)</w:t>
            </w:r>
          </w:p>
        </w:tc>
        <w:tc>
          <w:tcPr>
            <w:tcW w:w="760" w:type="dxa"/>
            <w:vAlign w:val="bottom"/>
          </w:tcPr>
          <w:p>
            <w:pPr>
              <w:jc w:val="right"/>
              <w:spacing w:after="0"/>
              <w:rPr>
                <w:sz w:val="20"/>
                <w:szCs w:val="20"/>
                <w:color w:val="auto"/>
              </w:rPr>
            </w:pPr>
            <w:r>
              <w:rPr>
                <w:rFonts w:ascii="Arial" w:cs="Arial" w:eastAsia="Arial" w:hAnsi="Arial"/>
                <w:sz w:val="18"/>
                <w:szCs w:val="18"/>
                <w:color w:val="auto"/>
              </w:rPr>
              <w:t>24,448</w:t>
            </w:r>
          </w:p>
        </w:tc>
        <w:tc>
          <w:tcPr>
            <w:tcW w:w="3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44,000</w:t>
            </w:r>
          </w:p>
        </w:tc>
        <w:tc>
          <w:tcPr>
            <w:tcW w:w="1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6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2720" w:type="dxa"/>
            <w:vAlign w:val="bottom"/>
            <w:gridSpan w:val="3"/>
          </w:tcPr>
          <w:p>
            <w:pPr>
              <w:jc w:val="right"/>
              <w:ind w:right="240"/>
              <w:spacing w:after="0"/>
              <w:rPr>
                <w:sz w:val="20"/>
                <w:szCs w:val="20"/>
                <w:color w:val="auto"/>
              </w:rPr>
            </w:pPr>
            <w:r>
              <w:rPr>
                <w:rFonts w:ascii="Arial" w:cs="Arial" w:eastAsia="Arial" w:hAnsi="Arial"/>
                <w:sz w:val="18"/>
                <w:szCs w:val="18"/>
                <w:color w:val="auto"/>
              </w:rPr>
              <w:t>(26,912)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(2,203)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(3,268)</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(20,758)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(53,141)</w:t>
            </w: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12,952</w:t>
            </w:r>
          </w:p>
        </w:tc>
        <w:tc>
          <w:tcPr>
            <w:tcW w:w="120" w:type="dxa"/>
            <w:vAlign w:val="bottom"/>
            <w:shd w:val="clear" w:color="auto" w:fill="CFF0FC"/>
          </w:tcPr>
          <w:p>
            <w:pPr>
              <w:spacing w:after="0"/>
              <w:rPr>
                <w:sz w:val="19"/>
                <w:szCs w:val="19"/>
                <w:color w:val="auto"/>
              </w:rPr>
            </w:pPr>
          </w:p>
        </w:tc>
      </w:tr>
      <w:tr>
        <w:trPr>
          <w:trHeight w:val="223"/>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66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(21,590)</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3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3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(40,189)</w:t>
            </w:r>
          </w:p>
        </w:tc>
        <w:tc>
          <w:tcPr>
            <w:tcW w:w="120" w:type="dxa"/>
            <w:vAlign w:val="bottom"/>
            <w:tcBorders>
              <w:bottom w:val="single" w:sz="8" w:color="CFF0FC"/>
            </w:tcBorders>
          </w:tcPr>
          <w:p>
            <w:pPr>
              <w:spacing w:after="0"/>
              <w:rPr>
                <w:sz w:val="19"/>
                <w:szCs w:val="19"/>
                <w:color w:val="auto"/>
              </w:rPr>
            </w:pP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$ 286,667</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313,089</w:t>
            </w: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54,996</w:t>
            </w: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202,314</w:t>
            </w: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76,732</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933,798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allowance for credit losses for the nine months ended September 30, 2016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720" w:type="dxa"/>
            <w:vAlign w:val="bottom"/>
            <w:gridSpan w:val="3"/>
          </w:tcPr>
          <w:p>
            <w:pPr>
              <w:jc w:val="center"/>
              <w:ind w:left="1234"/>
              <w:spacing w:after="0"/>
              <w:rPr>
                <w:sz w:val="20"/>
                <w:szCs w:val="20"/>
                <w:color w:val="auto"/>
              </w:rPr>
            </w:pPr>
            <w:r>
              <w:rPr>
                <w:rFonts w:ascii="Arial" w:cs="Arial" w:eastAsia="Arial" w:hAnsi="Arial"/>
                <w:sz w:val="14"/>
                <w:szCs w:val="14"/>
                <w:color w:val="auto"/>
                <w:w w:val="96"/>
              </w:rPr>
              <w:t>Commercial,</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Financial,</w:t>
            </w:r>
          </w:p>
        </w:tc>
        <w:tc>
          <w:tcPr>
            <w:tcW w:w="2100" w:type="dxa"/>
            <w:vAlign w:val="bottom"/>
            <w:gridSpan w:val="4"/>
          </w:tcPr>
          <w:p>
            <w:pPr>
              <w:jc w:val="right"/>
              <w:ind w:right="880"/>
              <w:spacing w:after="0"/>
              <w:rPr>
                <w:sz w:val="20"/>
                <w:szCs w:val="20"/>
                <w:color w:val="auto"/>
              </w:rPr>
            </w:pPr>
            <w:r>
              <w:rPr>
                <w:rFonts w:ascii="Arial" w:cs="Arial" w:eastAsia="Arial" w:hAnsi="Arial"/>
                <w:sz w:val="14"/>
                <w:szCs w:val="14"/>
                <w:color w:val="auto"/>
              </w:rPr>
              <w:t>Real Estate</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5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8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0"/>
              </w:rPr>
              <w:t>Leasing, etc.</w:t>
            </w:r>
          </w:p>
        </w:tc>
        <w:tc>
          <w:tcPr>
            <w:tcW w:w="104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color w:val="auto"/>
                <w:w w:val="93"/>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Residential</w:t>
            </w:r>
          </w:p>
        </w:tc>
        <w:tc>
          <w:tcPr>
            <w:tcW w:w="300" w:type="dxa"/>
            <w:vAlign w:val="bottom"/>
          </w:tcPr>
          <w:p>
            <w:pPr>
              <w:spacing w:after="0"/>
              <w:rPr>
                <w:sz w:val="13"/>
                <w:szCs w:val="13"/>
                <w:color w:val="auto"/>
              </w:rPr>
            </w:pPr>
          </w:p>
        </w:tc>
        <w:tc>
          <w:tcPr>
            <w:tcW w:w="11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Consumer</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4"/>
              </w:rPr>
              <w:t>Unallocated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Total</w:t>
            </w:r>
          </w:p>
        </w:tc>
      </w:tr>
      <w:tr>
        <w:trPr>
          <w:trHeight w:val="156"/>
        </w:trPr>
        <w:tc>
          <w:tcPr>
            <w:tcW w:w="35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4"/>
          </w:tcPr>
          <w:p>
            <w:pPr>
              <w:jc w:val="right"/>
              <w:ind w:right="800"/>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$ 300,404</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326,831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72,238</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178,320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78,199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955,992</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39,667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29,799</w:t>
            </w:r>
          </w:p>
        </w:tc>
        <w:tc>
          <w:tcPr>
            <w:tcW w:w="3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(610)</w:t>
            </w:r>
          </w:p>
        </w:tc>
        <w:tc>
          <w:tcPr>
            <w:tcW w:w="780" w:type="dxa"/>
            <w:vAlign w:val="bottom"/>
          </w:tcPr>
          <w:p>
            <w:pPr>
              <w:jc w:val="right"/>
              <w:spacing w:after="0"/>
              <w:rPr>
                <w:sz w:val="20"/>
                <w:szCs w:val="20"/>
                <w:color w:val="auto"/>
              </w:rPr>
            </w:pPr>
            <w:r>
              <w:rPr>
                <w:rFonts w:ascii="Arial" w:cs="Arial" w:eastAsia="Arial" w:hAnsi="Arial"/>
                <w:sz w:val="18"/>
                <w:szCs w:val="18"/>
                <w:color w:val="auto"/>
              </w:rPr>
              <w:t>59,113</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128,000</w:t>
            </w: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6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2720" w:type="dxa"/>
            <w:vAlign w:val="bottom"/>
            <w:gridSpan w:val="3"/>
          </w:tcPr>
          <w:p>
            <w:pPr>
              <w:jc w:val="right"/>
              <w:ind w:right="260"/>
              <w:spacing w:after="0"/>
              <w:rPr>
                <w:sz w:val="20"/>
                <w:szCs w:val="20"/>
                <w:color w:val="auto"/>
              </w:rPr>
            </w:pPr>
            <w:r>
              <w:rPr>
                <w:rFonts w:ascii="Arial" w:cs="Arial" w:eastAsia="Arial" w:hAnsi="Arial"/>
                <w:sz w:val="18"/>
                <w:szCs w:val="18"/>
                <w:color w:val="auto"/>
              </w:rPr>
              <w:t>(34,711)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(3,569)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(18,816)</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(107,761)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(164,857)</w:t>
            </w:r>
          </w:p>
        </w:tc>
      </w:tr>
      <w:tr>
        <w:trPr>
          <w:trHeight w:val="230"/>
        </w:trPr>
        <w:tc>
          <w:tcPr>
            <w:tcW w:w="3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22,824</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5,781</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21,665</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56,986</w:t>
            </w:r>
          </w:p>
        </w:tc>
        <w:tc>
          <w:tcPr>
            <w:tcW w:w="120" w:type="dxa"/>
            <w:vAlign w:val="bottom"/>
            <w:shd w:val="clear" w:color="auto" w:fill="CFF0FC"/>
          </w:tcPr>
          <w:p>
            <w:pPr>
              <w:spacing w:after="0"/>
              <w:rPr>
                <w:sz w:val="19"/>
                <w:szCs w:val="19"/>
                <w:color w:val="auto"/>
              </w:rPr>
            </w:pPr>
          </w:p>
        </w:tc>
      </w:tr>
      <w:tr>
        <w:trPr>
          <w:trHeight w:val="223"/>
        </w:trPr>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64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(11,887)</w:t>
            </w:r>
          </w:p>
        </w:tc>
        <w:tc>
          <w:tcPr>
            <w:tcW w:w="32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3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(13,035)</w:t>
            </w:r>
          </w:p>
        </w:tc>
        <w:tc>
          <w:tcPr>
            <w:tcW w:w="30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(86,096)</w:t>
            </w:r>
          </w:p>
        </w:tc>
        <w:tc>
          <w:tcPr>
            <w:tcW w:w="3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(107,871)</w:t>
            </w:r>
          </w:p>
        </w:tc>
        <w:tc>
          <w:tcPr>
            <w:tcW w:w="120" w:type="dxa"/>
            <w:vAlign w:val="bottom"/>
            <w:tcBorders>
              <w:bottom w:val="single" w:sz="8" w:color="CFF0FC"/>
            </w:tcBorders>
          </w:tcPr>
          <w:p>
            <w:pPr>
              <w:spacing w:after="0"/>
              <w:rPr>
                <w:sz w:val="19"/>
                <w:szCs w:val="19"/>
                <w:color w:val="auto"/>
              </w:rPr>
            </w:pPr>
          </w:p>
        </w:tc>
      </w:tr>
      <w:tr>
        <w:trPr>
          <w:trHeight w:val="223"/>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$ 328,184</w:t>
            </w: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359,777</w:t>
            </w: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58,593</w:t>
            </w:r>
          </w:p>
        </w:tc>
        <w:tc>
          <w:tcPr>
            <w:tcW w:w="3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151,337</w:t>
            </w: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78,230</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976,121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allowance for credit losses for the nine months ended September 30, 2015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Commercial,</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51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Financial,</w:t>
            </w:r>
          </w:p>
        </w:tc>
        <w:tc>
          <w:tcPr>
            <w:tcW w:w="2120" w:type="dxa"/>
            <w:vAlign w:val="bottom"/>
            <w:gridSpan w:val="4"/>
          </w:tcPr>
          <w:p>
            <w:pPr>
              <w:jc w:val="right"/>
              <w:ind w:right="820"/>
              <w:spacing w:after="0"/>
              <w:rPr>
                <w:sz w:val="20"/>
                <w:szCs w:val="20"/>
                <w:color w:val="auto"/>
              </w:rPr>
            </w:pPr>
            <w:r>
              <w:rPr>
                <w:rFonts w:ascii="Arial" w:cs="Arial" w:eastAsia="Arial" w:hAnsi="Arial"/>
                <w:sz w:val="14"/>
                <w:szCs w:val="14"/>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18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93"/>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9"/>
              </w:rPr>
              <w:t>Consumer</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4"/>
              </w:rPr>
              <w:t>Unallocated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3"/>
                <w:szCs w:val="13"/>
                <w:color w:val="auto"/>
              </w:rPr>
            </w:pPr>
          </w:p>
        </w:tc>
      </w:tr>
      <w:tr>
        <w:trPr>
          <w:trHeight w:val="156"/>
        </w:trPr>
        <w:tc>
          <w:tcPr>
            <w:tcW w:w="5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700"/>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$ 288,038</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307,927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61,910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186,033</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75,654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60" w:type="dxa"/>
            <w:vAlign w:val="bottom"/>
          </w:tcPr>
          <w:p>
            <w:pPr>
              <w:jc w:val="right"/>
              <w:spacing w:after="0"/>
              <w:rPr>
                <w:sz w:val="20"/>
                <w:szCs w:val="20"/>
                <w:color w:val="auto"/>
              </w:rPr>
            </w:pPr>
            <w:r>
              <w:rPr>
                <w:rFonts w:ascii="Arial" w:cs="Arial" w:eastAsia="Arial" w:hAnsi="Arial"/>
                <w:sz w:val="18"/>
                <w:szCs w:val="18"/>
                <w:color w:val="auto"/>
              </w:rPr>
              <w:t>32,686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13,769</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(571)</w:t>
            </w:r>
          </w:p>
        </w:tc>
        <w:tc>
          <w:tcPr>
            <w:tcW w:w="760" w:type="dxa"/>
            <w:vAlign w:val="bottom"/>
          </w:tcPr>
          <w:p>
            <w:pPr>
              <w:jc w:val="right"/>
              <w:spacing w:after="0"/>
              <w:rPr>
                <w:sz w:val="20"/>
                <w:szCs w:val="20"/>
                <w:color w:val="auto"/>
              </w:rPr>
            </w:pPr>
            <w:r>
              <w:rPr>
                <w:rFonts w:ascii="Arial" w:cs="Arial" w:eastAsia="Arial" w:hAnsi="Arial"/>
                <w:sz w:val="18"/>
                <w:szCs w:val="18"/>
                <w:color w:val="auto"/>
              </w:rPr>
              <w:t>65,038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(46,990)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(12,352)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(9,695)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(64,542)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(133,579)</w:t>
            </w:r>
          </w:p>
        </w:tc>
        <w:tc>
          <w:tcPr>
            <w:tcW w:w="2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12,933</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3,745</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3,352</w:t>
            </w: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15,785</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(34,057</w:t>
            </w:r>
          </w:p>
        </w:tc>
        <w:tc>
          <w:tcPr>
            <w:tcW w:w="300" w:type="dxa"/>
            <w:vAlign w:val="bottom"/>
            <w:tcBorders>
              <w:bottom w:val="single" w:sz="8" w:color="CFF0FC"/>
            </w:tcBorders>
          </w:tcPr>
          <w:p>
            <w:pPr>
              <w:jc w:val="right"/>
              <w:ind w:right="160"/>
              <w:spacing w:after="0"/>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w:t>
            </w:r>
          </w:p>
        </w:tc>
        <w:tc>
          <w:tcPr>
            <w:tcW w:w="300" w:type="dxa"/>
            <w:vAlign w:val="bottom"/>
            <w:tcBorders>
              <w:bottom w:val="single" w:sz="8" w:color="CFF0FC"/>
            </w:tcBorders>
          </w:tcPr>
          <w:p>
            <w:pPr>
              <w:jc w:val="right"/>
              <w:ind w:right="160"/>
              <w:spacing w:after="0"/>
              <w:rPr>
                <w:sz w:val="20"/>
                <w:szCs w:val="20"/>
                <w:color w:val="auto"/>
              </w:rPr>
            </w:pPr>
            <w:r>
              <w:rPr>
                <w:rFonts w:ascii="Arial" w:cs="Arial" w:eastAsia="Arial" w:hAnsi="Arial"/>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w:t>
            </w:r>
          </w:p>
        </w:tc>
        <w:tc>
          <w:tcPr>
            <w:tcW w:w="320" w:type="dxa"/>
            <w:vAlign w:val="bottom"/>
            <w:tcBorders>
              <w:bottom w:val="single" w:sz="8" w:color="CFF0FC"/>
            </w:tcBorders>
          </w:tcPr>
          <w:p>
            <w:pPr>
              <w:jc w:val="right"/>
              <w:ind w:right="180"/>
              <w:spacing w:after="0"/>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(48,757</w:t>
            </w:r>
          </w:p>
        </w:tc>
        <w:tc>
          <w:tcPr>
            <w:tcW w:w="300" w:type="dxa"/>
            <w:vAlign w:val="bottom"/>
            <w:tcBorders>
              <w:bottom w:val="single" w:sz="8" w:color="CFF0FC"/>
            </w:tcBorders>
          </w:tcPr>
          <w:p>
            <w:pPr>
              <w:jc w:val="right"/>
              <w:ind w:right="160"/>
              <w:spacing w:after="0"/>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(97,764</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$ 286,667</w:t>
            </w: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313,089</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54,996</w:t>
            </w: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202,314</w:t>
            </w: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76,732</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933,798</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- 15 -</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Despite the allocation in the preceding table, the allowance for credit losses is general in nature and is available to absorb losses from any loan or 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type.</w:t>
      </w:r>
    </w:p>
    <w:p>
      <w:pPr>
        <w:spacing w:after="0" w:line="211"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loans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September 30, 2016 and December 31, 2015 and for the three-month and nine-month periods ended September 30, 2016 and 2015.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September 30, 2016</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December 31, 2015</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4"/>
              </w:rPr>
              <w:t>Unpaid</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9"/>
              </w:rPr>
              <w:t>Unpaid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Recorded</w:t>
            </w: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principal</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Related</w:t>
            </w:r>
          </w:p>
        </w:tc>
        <w:tc>
          <w:tcPr>
            <w:tcW w:w="7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Recorded</w:t>
            </w: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principal</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Related</w:t>
            </w:r>
          </w:p>
        </w:tc>
        <w:tc>
          <w:tcPr>
            <w:tcW w:w="20" w:type="dxa"/>
            <w:vAlign w:val="bottom"/>
          </w:tcPr>
          <w:p>
            <w:pPr>
              <w:spacing w:after="0"/>
              <w:rPr>
                <w:sz w:val="12"/>
                <w:szCs w:val="12"/>
                <w:color w:val="auto"/>
              </w:rPr>
            </w:pPr>
          </w:p>
        </w:tc>
      </w:tr>
      <w:tr>
        <w:trPr>
          <w:trHeight w:val="167"/>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7"/>
              </w:rPr>
              <w:t>investment</w:t>
            </w:r>
          </w:p>
        </w:tc>
        <w:tc>
          <w:tcPr>
            <w:tcW w:w="3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balance</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allowance</w:t>
            </w:r>
          </w:p>
        </w:tc>
        <w:tc>
          <w:tcPr>
            <w:tcW w:w="740" w:type="dxa"/>
            <w:vAlign w:val="bottom"/>
          </w:tcPr>
          <w:p>
            <w:pPr>
              <w:jc w:val="right"/>
              <w:spacing w:after="0"/>
              <w:rPr>
                <w:sz w:val="20"/>
                <w:szCs w:val="20"/>
                <w:color w:val="auto"/>
              </w:rPr>
            </w:pPr>
            <w:r>
              <w:rPr>
                <w:rFonts w:ascii="Arial" w:cs="Arial" w:eastAsia="Arial" w:hAnsi="Arial"/>
                <w:sz w:val="14"/>
                <w:szCs w:val="14"/>
                <w:color w:val="auto"/>
                <w:w w:val="97"/>
              </w:rPr>
              <w:t>investment</w:t>
            </w:r>
          </w:p>
        </w:tc>
        <w:tc>
          <w:tcPr>
            <w:tcW w:w="3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balance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allowance</w:t>
            </w:r>
          </w:p>
        </w:tc>
        <w:tc>
          <w:tcPr>
            <w:tcW w:w="20" w:type="dxa"/>
            <w:vAlign w:val="bottom"/>
          </w:tcPr>
          <w:p>
            <w:pPr>
              <w:spacing w:after="0"/>
              <w:rPr>
                <w:sz w:val="14"/>
                <w:szCs w:val="14"/>
                <w:color w:val="auto"/>
              </w:rPr>
            </w:pPr>
          </w:p>
        </w:tc>
      </w:tr>
      <w:tr>
        <w:trPr>
          <w:trHeight w:val="156"/>
        </w:trPr>
        <w:tc>
          <w:tcPr>
            <w:tcW w:w="4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51"/>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With an allowance recorded:</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$ 192,805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212,009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55,020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179,037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195,821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75,749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85,137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14,939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85,974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95,855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8,142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8,923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2,729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3,092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3,843</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79,036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97,466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79,558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96,751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Residential-limited documentation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83,296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97,984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90,356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104,251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42,862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46,844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7,697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26,195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18,033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19,218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22,525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Other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4,122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5,122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17,620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506,774</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575,795</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93,418</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507,154</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567,962</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90,093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72,429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80,757</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93,190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110,735</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90,425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104,508</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101,340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116,230</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17,346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23,617</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47,246</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18,265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37,432</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31,477</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18,079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26,127</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30,940</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Residential-limited documentation</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17,611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27,936</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31,113</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20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234,155</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300,377</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273,437</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367,741</w:t>
            </w:r>
          </w:p>
        </w:tc>
        <w:tc>
          <w:tcPr>
            <w:tcW w:w="3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265,234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292,766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55,020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272,227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306,556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166,174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189,645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14,939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187,314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212,085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25,488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32,540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52,347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20,994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40,524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35,320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97,115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123,593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99,179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127,691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Residential-limited documentation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100,907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125,920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108,770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135,364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42,862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46,844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7,697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26,195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18,033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19,218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22,525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Other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4,122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5,122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17,620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$ 740,929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876,172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93,418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780,591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935,703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1940" w:type="dxa"/>
            <w:vAlign w:val="bottom"/>
            <w:gridSpan w:val="2"/>
          </w:tcPr>
          <w:p>
            <w:pPr>
              <w:jc w:val="right"/>
              <w:ind w:right="157"/>
              <w:spacing w:after="0"/>
              <w:rPr>
                <w:sz w:val="20"/>
                <w:szCs w:val="20"/>
                <w:color w:val="auto"/>
              </w:rPr>
            </w:pPr>
            <w:r>
              <w:rPr>
                <w:rFonts w:ascii="Arial" w:cs="Arial" w:eastAsia="Arial" w:hAnsi="Arial"/>
                <w:sz w:val="18"/>
                <w:szCs w:val="18"/>
                <w:color w:val="auto"/>
              </w:rPr>
              <w:t>- 17 -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7"/>
          </w:tcPr>
          <w:p>
            <w:pPr>
              <w:jc w:val="center"/>
              <w:ind w:right="420"/>
              <w:spacing w:after="0"/>
              <w:rPr>
                <w:sz w:val="20"/>
                <w:szCs w:val="20"/>
                <w:color w:val="auto"/>
              </w:rPr>
            </w:pPr>
            <w:r>
              <w:rPr>
                <w:rFonts w:ascii="Arial" w:cs="Arial" w:eastAsia="Arial" w:hAnsi="Arial"/>
                <w:sz w:val="14"/>
                <w:szCs w:val="14"/>
                <w:color w:val="auto"/>
                <w:w w:val="91"/>
              </w:rPr>
              <w:t>Three months ended September 30, 2016</w:t>
            </w:r>
          </w:p>
        </w:tc>
        <w:tc>
          <w:tcPr>
            <w:tcW w:w="3140" w:type="dxa"/>
            <w:vAlign w:val="bottom"/>
            <w:gridSpan w:val="7"/>
          </w:tcPr>
          <w:p>
            <w:pPr>
              <w:jc w:val="center"/>
              <w:ind w:right="140"/>
              <w:spacing w:after="0"/>
              <w:rPr>
                <w:sz w:val="20"/>
                <w:szCs w:val="20"/>
                <w:color w:val="auto"/>
              </w:rPr>
            </w:pPr>
            <w:r>
              <w:rPr>
                <w:rFonts w:ascii="Arial" w:cs="Arial" w:eastAsia="Arial" w:hAnsi="Arial"/>
                <w:sz w:val="14"/>
                <w:szCs w:val="14"/>
                <w:color w:val="auto"/>
                <w:w w:val="90"/>
              </w:rPr>
              <w:t>Three months ended September 30, 2015</w:t>
            </w:r>
          </w:p>
        </w:tc>
        <w:tc>
          <w:tcPr>
            <w:tcW w:w="0" w:type="dxa"/>
            <w:vAlign w:val="bottom"/>
          </w:tcPr>
          <w:p>
            <w:pPr>
              <w:spacing w:after="0"/>
              <w:rPr>
                <w:sz w:val="1"/>
                <w:szCs w:val="1"/>
                <w:color w:val="auto"/>
              </w:rPr>
            </w:pPr>
          </w:p>
        </w:tc>
      </w:tr>
      <w:tr>
        <w:trPr>
          <w:trHeight w:val="137"/>
        </w:trPr>
        <w:tc>
          <w:tcPr>
            <w:tcW w:w="5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color w:val="auto"/>
                <w:w w:val="91"/>
              </w:rPr>
              <w:t>Average</w:t>
            </w:r>
          </w:p>
        </w:tc>
        <w:tc>
          <w:tcPr>
            <w:tcW w:w="132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color w:val="auto"/>
                <w:w w:val="90"/>
              </w:rPr>
              <w:t>recognized</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1"/>
              </w:rPr>
              <w:t>Average</w:t>
            </w:r>
          </w:p>
        </w:tc>
        <w:tc>
          <w:tcPr>
            <w:tcW w:w="13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color w:val="auto"/>
                <w:w w:val="90"/>
              </w:rPr>
              <w:t>recognized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recorded</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recorded</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investment</w:t>
            </w: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color w:val="auto"/>
                <w:w w:val="96"/>
              </w:rPr>
              <w:t>Total</w:t>
            </w: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basis</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investment</w:t>
            </w: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color w:val="auto"/>
                <w:w w:val="96"/>
              </w:rPr>
              <w:t>Total</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4"/>
          </w:tcPr>
          <w:p>
            <w:pPr>
              <w:ind w:left="340"/>
              <w:spacing w:after="0" w:line="155" w:lineRule="exact"/>
              <w:rPr>
                <w:sz w:val="20"/>
                <w:szCs w:val="20"/>
                <w:color w:val="auto"/>
              </w:rPr>
            </w:pPr>
            <w:r>
              <w:rPr>
                <w:rFonts w:ascii="Arial" w:cs="Arial" w:eastAsia="Arial" w:hAnsi="Arial"/>
                <w:sz w:val="14"/>
                <w:szCs w:val="14"/>
                <w:color w:val="auto"/>
              </w:rPr>
              <w:t>(in thousands)</w:t>
            </w: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262,796</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242,157</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175,256</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179,327</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26,996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53,009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17,236</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96,961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99,939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Residential-limited documentation</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101,877</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116,191</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21,952</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18,571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24,429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w:t>
            </w:r>
          </w:p>
        </w:tc>
        <w:tc>
          <w:tcPr>
            <w:tcW w:w="2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19,238</w:t>
            </w:r>
          </w:p>
        </w:tc>
        <w:tc>
          <w:tcPr>
            <w:tcW w:w="2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749,774</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773,478</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7"/>
          </w:tcPr>
          <w:p>
            <w:pPr>
              <w:jc w:val="center"/>
              <w:ind w:right="420"/>
              <w:spacing w:after="0"/>
              <w:rPr>
                <w:sz w:val="20"/>
                <w:szCs w:val="20"/>
                <w:color w:val="auto"/>
              </w:rPr>
            </w:pPr>
            <w:r>
              <w:rPr>
                <w:rFonts w:ascii="Arial" w:cs="Arial" w:eastAsia="Arial" w:hAnsi="Arial"/>
                <w:sz w:val="14"/>
                <w:szCs w:val="14"/>
                <w:color w:val="auto"/>
                <w:w w:val="91"/>
              </w:rPr>
              <w:t>Nine months ended September 30, 2016</w:t>
            </w:r>
          </w:p>
        </w:tc>
        <w:tc>
          <w:tcPr>
            <w:tcW w:w="3140" w:type="dxa"/>
            <w:vAlign w:val="bottom"/>
            <w:gridSpan w:val="7"/>
          </w:tcPr>
          <w:p>
            <w:pPr>
              <w:jc w:val="center"/>
              <w:ind w:right="140"/>
              <w:spacing w:after="0"/>
              <w:rPr>
                <w:sz w:val="20"/>
                <w:szCs w:val="20"/>
                <w:color w:val="auto"/>
              </w:rPr>
            </w:pPr>
            <w:r>
              <w:rPr>
                <w:rFonts w:ascii="Arial" w:cs="Arial" w:eastAsia="Arial" w:hAnsi="Arial"/>
                <w:sz w:val="14"/>
                <w:szCs w:val="14"/>
                <w:color w:val="auto"/>
                <w:w w:val="91"/>
              </w:rPr>
              <w:t>Nine months ended September 30, 2015</w:t>
            </w:r>
          </w:p>
        </w:tc>
        <w:tc>
          <w:tcPr>
            <w:tcW w:w="0" w:type="dxa"/>
            <w:vAlign w:val="bottom"/>
          </w:tcPr>
          <w:p>
            <w:pPr>
              <w:spacing w:after="0"/>
              <w:rPr>
                <w:sz w:val="1"/>
                <w:szCs w:val="1"/>
                <w:color w:val="auto"/>
              </w:rPr>
            </w:pPr>
          </w:p>
        </w:tc>
      </w:tr>
      <w:tr>
        <w:trPr>
          <w:trHeight w:val="137"/>
        </w:trPr>
        <w:tc>
          <w:tcPr>
            <w:tcW w:w="5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color w:val="auto"/>
                <w:w w:val="91"/>
              </w:rPr>
              <w:t>Average</w:t>
            </w:r>
          </w:p>
        </w:tc>
        <w:tc>
          <w:tcPr>
            <w:tcW w:w="132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color w:val="auto"/>
                <w:w w:val="90"/>
              </w:rPr>
              <w:t>recognized</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1"/>
              </w:rPr>
              <w:t>Average</w:t>
            </w:r>
          </w:p>
        </w:tc>
        <w:tc>
          <w:tcPr>
            <w:tcW w:w="13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color w:val="auto"/>
                <w:w w:val="90"/>
              </w:rPr>
              <w:t>recognized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recorded</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recorded</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investment</w:t>
            </w: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color w:val="auto"/>
                <w:w w:val="96"/>
              </w:rPr>
              <w:t>Total</w:t>
            </w: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basis</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investment</w:t>
            </w: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color w:val="auto"/>
                <w:w w:val="96"/>
              </w:rPr>
              <w:t>Total</w:t>
            </w: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4"/>
          </w:tcPr>
          <w:p>
            <w:pPr>
              <w:ind w:left="340"/>
              <w:spacing w:after="0" w:line="155" w:lineRule="exact"/>
              <w:rPr>
                <w:sz w:val="20"/>
                <w:szCs w:val="20"/>
                <w:color w:val="auto"/>
              </w:rPr>
            </w:pPr>
            <w:r>
              <w:rPr>
                <w:rFonts w:ascii="Arial" w:cs="Arial" w:eastAsia="Arial" w:hAnsi="Arial"/>
                <w:sz w:val="14"/>
                <w:szCs w:val="14"/>
                <w:color w:val="auto"/>
              </w:rPr>
              <w:t>(in thousands)</w:t>
            </w: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283,783</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226,243</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177,579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3,891</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161,834</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30,832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64,165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19,774</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97,229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101,997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Residential-limited documentation</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104,382</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120,710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33,998</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20,358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26,521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10,987</w:t>
            </w:r>
          </w:p>
        </w:tc>
        <w:tc>
          <w:tcPr>
            <w:tcW w:w="2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19,053</w:t>
            </w:r>
          </w:p>
        </w:tc>
        <w:tc>
          <w:tcPr>
            <w:tcW w:w="2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778,922</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763,272</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loans and commercial real estate loans are individually reviewed by centralized loan review personnel each quarter to determine the appropriateness of the assigned loan grade, including whether the loan should be reported as accruing or nonaccruing. Smaller-balance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loans and commercial real estate loans.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4"/>
              </w:rPr>
              <w:t>Commercial,</w:t>
            </w: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Real Estate</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ind w:left="180"/>
              <w:spacing w:after="0" w:line="151" w:lineRule="exact"/>
              <w:rPr>
                <w:sz w:val="20"/>
                <w:szCs w:val="20"/>
                <w:color w:val="auto"/>
              </w:rPr>
            </w:pPr>
            <w:r>
              <w:rPr>
                <w:rFonts w:ascii="Arial" w:cs="Arial" w:eastAsia="Arial" w:hAnsi="Arial"/>
                <w:sz w:val="14"/>
                <w:szCs w:val="14"/>
                <w:color w:val="auto"/>
              </w:rPr>
              <w:t>Residential</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color w:val="auto"/>
                <w:w w:val="96"/>
              </w:rPr>
              <w:t>Financial,</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color w:val="auto"/>
              </w:rPr>
              <w:t>Builder and</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Leasing, etc.</w:t>
            </w:r>
          </w:p>
        </w:tc>
        <w:tc>
          <w:tcPr>
            <w:tcW w:w="1340" w:type="dxa"/>
            <w:vAlign w:val="bottom"/>
            <w:gridSpan w:val="2"/>
          </w:tcPr>
          <w:p>
            <w:pPr>
              <w:ind w:left="140"/>
              <w:spacing w:after="0"/>
              <w:rPr>
                <w:sz w:val="20"/>
                <w:szCs w:val="20"/>
                <w:color w:val="auto"/>
              </w:rPr>
            </w:pPr>
            <w:r>
              <w:rPr>
                <w:rFonts w:ascii="Arial" w:cs="Arial" w:eastAsia="Arial" w:hAnsi="Arial"/>
                <w:sz w:val="14"/>
                <w:szCs w:val="14"/>
                <w:color w:val="auto"/>
              </w:rPr>
              <w:t>Commercial</w:t>
            </w:r>
          </w:p>
        </w:tc>
        <w:tc>
          <w:tcPr>
            <w:tcW w:w="1360" w:type="dxa"/>
            <w:vAlign w:val="bottom"/>
            <w:gridSpan w:val="2"/>
          </w:tcPr>
          <w:p>
            <w:pPr>
              <w:ind w:left="200"/>
              <w:spacing w:after="0"/>
              <w:rPr>
                <w:sz w:val="20"/>
                <w:szCs w:val="20"/>
                <w:color w:val="auto"/>
              </w:rPr>
            </w:pPr>
            <w:r>
              <w:rPr>
                <w:rFonts w:ascii="Arial" w:cs="Arial" w:eastAsia="Arial" w:hAnsi="Arial"/>
                <w:sz w:val="14"/>
                <w:szCs w:val="14"/>
                <w:color w:val="auto"/>
              </w:rPr>
              <w:t>Developer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ind w:left="760"/>
              <w:spacing w:after="0" w:line="155" w:lineRule="exact"/>
              <w:rPr>
                <w:sz w:val="20"/>
                <w:szCs w:val="20"/>
                <w:color w:val="auto"/>
              </w:rPr>
            </w:pPr>
            <w:r>
              <w:rPr>
                <w:rFonts w:ascii="Arial" w:cs="Arial" w:eastAsia="Arial" w:hAnsi="Arial"/>
                <w:sz w:val="14"/>
                <w:szCs w:val="14"/>
                <w:color w:val="auto"/>
              </w:rPr>
              <w:t>(in thousands)</w:t>
            </w: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2016</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Pass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20,825,301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23,540,787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1,699,263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5,405,719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860,461</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921,003</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157,863</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Criticized nonaccrual</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231,401</w:t>
            </w:r>
          </w:p>
        </w:tc>
        <w:tc>
          <w:tcPr>
            <w:tcW w:w="3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157,527</w:t>
            </w:r>
          </w:p>
        </w:tc>
        <w:tc>
          <w:tcPr>
            <w:tcW w:w="3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20,118</w:t>
            </w:r>
          </w:p>
        </w:tc>
        <w:tc>
          <w:tcPr>
            <w:tcW w:w="3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21,917,163</w:t>
            </w:r>
          </w:p>
        </w:tc>
        <w:tc>
          <w:tcPr>
            <w:tcW w:w="3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24,619,317</w:t>
            </w:r>
          </w:p>
        </w:tc>
        <w:tc>
          <w:tcPr>
            <w:tcW w:w="3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1,877,244</w:t>
            </w:r>
          </w:p>
        </w:tc>
        <w:tc>
          <w:tcPr>
            <w:tcW w:w="3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5,582,201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December 31, 2015</w:t>
            </w: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Pass</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19,442,183</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22,697,398</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1,497,465</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Criticized accrual</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738,238</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655,257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59,779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Criticized nonaccrual</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241,917</w:t>
            </w:r>
          </w:p>
        </w:tc>
        <w:tc>
          <w:tcPr>
            <w:tcW w:w="3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179,606</w:t>
            </w:r>
          </w:p>
        </w:tc>
        <w:tc>
          <w:tcPr>
            <w:tcW w:w="3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28,429</w:t>
            </w:r>
          </w:p>
        </w:tc>
        <w:tc>
          <w:tcPr>
            <w:tcW w:w="3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20,422,338</w:t>
            </w: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23,532,261</w:t>
            </w: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1,585,673</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aggregated $47 million and $33 million, respectively, at September 30, 2016 and $55 million and $21 million, respectively, at December 31, 2015. Residential real estate loans and home equity loans and lines of credit that were more than 150 days past due but did not require a partial charge-off because the net realizable value of the collateral exceeded the outstanding customer balance totaled $20 million and $38 million, respectively, at September 30, 2016 and $20 million and $28 million, respectively, at December 31, 2015.</w:t>
      </w:r>
    </w:p>
    <w:p>
      <w:pPr>
        <w:spacing w:after="0" w:line="175"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color w:val="auto"/>
                <w:w w:val="94"/>
              </w:rPr>
              <w:t>Commercial,</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Financial,</w:t>
            </w:r>
          </w:p>
        </w:tc>
        <w:tc>
          <w:tcPr>
            <w:tcW w:w="2280" w:type="dxa"/>
            <w:vAlign w:val="bottom"/>
            <w:gridSpan w:val="4"/>
          </w:tcPr>
          <w:p>
            <w:pPr>
              <w:ind w:left="640"/>
              <w:spacing w:after="0"/>
              <w:rPr>
                <w:sz w:val="20"/>
                <w:szCs w:val="20"/>
                <w:color w:val="auto"/>
              </w:rPr>
            </w:pPr>
            <w:r>
              <w:rPr>
                <w:rFonts w:ascii="Arial" w:cs="Arial" w:eastAsia="Arial" w:hAnsi="Arial"/>
                <w:sz w:val="14"/>
                <w:szCs w:val="14"/>
                <w:color w:val="auto"/>
              </w:rPr>
              <w:t>Real Estate</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gridSpan w:val="3"/>
          </w:tcPr>
          <w:p>
            <w:pPr>
              <w:jc w:val="center"/>
              <w:ind w:right="320"/>
              <w:spacing w:after="0" w:line="155" w:lineRule="exact"/>
              <w:rPr>
                <w:sz w:val="20"/>
                <w:szCs w:val="20"/>
                <w:color w:val="auto"/>
              </w:rPr>
            </w:pPr>
            <w:r>
              <w:rPr>
                <w:rFonts w:ascii="Arial" w:cs="Arial" w:eastAsia="Arial" w:hAnsi="Arial"/>
                <w:sz w:val="14"/>
                <w:szCs w:val="14"/>
                <w:color w:val="auto"/>
                <w:w w:val="93"/>
              </w:rPr>
              <w:t>Leasing, etc.</w:t>
            </w:r>
          </w:p>
        </w:tc>
        <w:tc>
          <w:tcPr>
            <w:tcW w:w="114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Commercial</w:t>
            </w: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Residential</w:t>
            </w:r>
          </w:p>
        </w:tc>
        <w:tc>
          <w:tcPr>
            <w:tcW w:w="320" w:type="dxa"/>
            <w:vAlign w:val="bottom"/>
          </w:tcPr>
          <w:p>
            <w:pPr>
              <w:spacing w:after="0"/>
              <w:rPr>
                <w:sz w:val="13"/>
                <w:szCs w:val="13"/>
                <w:color w:val="auto"/>
              </w:rPr>
            </w:pPr>
          </w:p>
        </w:tc>
        <w:tc>
          <w:tcPr>
            <w:tcW w:w="11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Consumer</w:t>
            </w:r>
          </w:p>
        </w:tc>
        <w:tc>
          <w:tcPr>
            <w:tcW w:w="180" w:type="dxa"/>
            <w:vAlign w:val="bottom"/>
          </w:tcPr>
          <w:p>
            <w:pPr>
              <w:spacing w:after="0"/>
              <w:rPr>
                <w:sz w:val="13"/>
                <w:szCs w:val="13"/>
                <w:color w:val="auto"/>
              </w:rPr>
            </w:pPr>
          </w:p>
        </w:tc>
        <w:tc>
          <w:tcPr>
            <w:tcW w:w="8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color w:val="auto"/>
                <w:w w:val="92"/>
              </w:rPr>
              <w:t>(in thousands)</w:t>
            </w: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2016</w:t>
            </w: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55,020</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16,608</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9,344</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12,298</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273,164</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340,737</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138,193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800,594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Purchased impaired</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2,432</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749</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Allocated</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328,184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359,777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58,593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8"/>
              </w:rPr>
              <w:t>897,891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Unallocated</w:t>
            </w: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78,230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tcBorders>
              <w:bottom w:val="single" w:sz="8" w:color="CFF0FC"/>
            </w:tcBorders>
            <w:vMerge w:val="continue"/>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976,121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December 31, 2015</w:t>
            </w: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44,752</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19,175</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255,615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307,000</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57,624</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163,511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783,750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5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3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3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w:t>
            </w:r>
          </w:p>
        </w:tc>
        <w:tc>
          <w:tcPr>
            <w:tcW w:w="15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300,404</w:t>
            </w:r>
          </w:p>
        </w:tc>
        <w:tc>
          <w:tcPr>
            <w:tcW w:w="32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326,831</w:t>
            </w:r>
          </w:p>
        </w:tc>
        <w:tc>
          <w:tcPr>
            <w:tcW w:w="32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72,238</w:t>
            </w:r>
          </w:p>
        </w:tc>
        <w:tc>
          <w:tcPr>
            <w:tcW w:w="32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178,320</w:t>
            </w:r>
          </w:p>
        </w:tc>
        <w:tc>
          <w:tcPr>
            <w:tcW w:w="3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8"/>
              </w:rPr>
              <w:t>877,793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955,992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Commercial,</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Financial,</w:t>
            </w:r>
          </w:p>
        </w:tc>
        <w:tc>
          <w:tcPr>
            <w:tcW w:w="2480" w:type="dxa"/>
            <w:vAlign w:val="bottom"/>
            <w:gridSpan w:val="4"/>
          </w:tcPr>
          <w:p>
            <w:pPr>
              <w:ind w:left="740"/>
              <w:spacing w:after="0"/>
              <w:rPr>
                <w:sz w:val="20"/>
                <w:szCs w:val="20"/>
                <w:color w:val="auto"/>
              </w:rPr>
            </w:pPr>
            <w:r>
              <w:rPr>
                <w:rFonts w:ascii="Arial" w:cs="Arial" w:eastAsia="Arial" w:hAnsi="Arial"/>
                <w:sz w:val="14"/>
                <w:szCs w:val="14"/>
                <w:color w:val="auto"/>
              </w:rPr>
              <w:t>Real Estate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420"/>
              <w:spacing w:after="0" w:line="155" w:lineRule="exact"/>
              <w:rPr>
                <w:sz w:val="20"/>
                <w:szCs w:val="20"/>
                <w:color w:val="auto"/>
              </w:rPr>
            </w:pPr>
            <w:r>
              <w:rPr>
                <w:rFonts w:ascii="Arial" w:cs="Arial" w:eastAsia="Arial" w:hAnsi="Arial"/>
                <w:sz w:val="14"/>
                <w:szCs w:val="14"/>
                <w:color w:val="auto"/>
                <w:w w:val="93"/>
              </w:rPr>
              <w:t>Leasing, etc.</w:t>
            </w:r>
          </w:p>
        </w:tc>
        <w:tc>
          <w:tcPr>
            <w:tcW w:w="12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color w:val="auto"/>
              </w:rPr>
              <w:t>Commercial</w:t>
            </w: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Residential</w:t>
            </w:r>
          </w:p>
        </w:tc>
        <w:tc>
          <w:tcPr>
            <w:tcW w:w="32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color w:val="auto"/>
                <w:w w:val="92"/>
              </w:rPr>
              <w:t>(in thousands)</w:t>
            </w: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2016</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265,234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211,730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198,022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65,017</w:t>
            </w:r>
          </w:p>
        </w:tc>
        <w:tc>
          <w:tcPr>
            <w:tcW w:w="3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740,003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21,651,134</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31,800,749</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22,838,125</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11,999,490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88,289,498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3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66,283</w:t>
            </w:r>
          </w:p>
        </w:tc>
        <w:tc>
          <w:tcPr>
            <w:tcW w:w="3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548,273</w:t>
            </w:r>
          </w:p>
        </w:tc>
        <w:tc>
          <w:tcPr>
            <w:tcW w:w="3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616,991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21,917,163</w:t>
            </w: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32,078,762</w:t>
            </w: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23,584,420</w:t>
            </w: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12,066,147</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89,646,492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December 31, 2015</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272,227</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234,132</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207,949</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65,365</w:t>
            </w:r>
          </w:p>
        </w:tc>
        <w:tc>
          <w:tcPr>
            <w:tcW w:w="3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20,148,209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28,863,130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25,398,037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11,532,121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85,941,497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100,049</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664,117</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20,422,338</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29,197,311</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26,270,103</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11,599,747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87,489,499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tables that follow summarize the Company’s loan modification activities that were considered troubled debt restructurings for the three months ended September 30, 2016 and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color w:val="auto"/>
              </w:rPr>
              <w:t>Financial effects of</w:t>
            </w:r>
          </w:p>
        </w:tc>
      </w:tr>
      <w:tr>
        <w:trPr>
          <w:trHeight w:val="167"/>
        </w:trPr>
        <w:tc>
          <w:tcPr>
            <w:tcW w:w="2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color w:val="auto"/>
              </w:rPr>
              <w:t>Recorded investment</w:t>
            </w:r>
          </w:p>
        </w:tc>
        <w:tc>
          <w:tcPr>
            <w:tcW w:w="100" w:type="dxa"/>
            <w:vAlign w:val="bottom"/>
          </w:tcPr>
          <w:p>
            <w:pPr>
              <w:spacing w:after="0"/>
              <w:rPr>
                <w:sz w:val="14"/>
                <w:szCs w:val="14"/>
                <w:color w:val="auto"/>
              </w:rPr>
            </w:pPr>
          </w:p>
        </w:tc>
        <w:tc>
          <w:tcPr>
            <w:tcW w:w="1920" w:type="dxa"/>
            <w:vAlign w:val="bottom"/>
            <w:gridSpan w:val="5"/>
          </w:tcPr>
          <w:p>
            <w:pPr>
              <w:jc w:val="right"/>
              <w:ind w:right="700"/>
              <w:spacing w:after="0"/>
              <w:rPr>
                <w:sz w:val="20"/>
                <w:szCs w:val="20"/>
                <w:color w:val="auto"/>
              </w:rPr>
            </w:pPr>
            <w:r>
              <w:rPr>
                <w:rFonts w:ascii="Arial" w:cs="Arial" w:eastAsia="Arial" w:hAnsi="Arial"/>
                <w:sz w:val="14"/>
                <w:szCs w:val="14"/>
                <w:color w:val="auto"/>
              </w:rPr>
              <w:t>modification</w:t>
            </w:r>
          </w:p>
        </w:tc>
      </w:tr>
      <w:tr>
        <w:trPr>
          <w:trHeight w:val="137"/>
        </w:trPr>
        <w:tc>
          <w:tcPr>
            <w:tcW w:w="23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360"/>
              <w:spacing w:after="0" w:line="137" w:lineRule="exact"/>
              <w:rPr>
                <w:sz w:val="20"/>
                <w:szCs w:val="20"/>
                <w:color w:val="auto"/>
              </w:rPr>
            </w:pPr>
            <w:r>
              <w:rPr>
                <w:rFonts w:ascii="Arial" w:cs="Arial" w:eastAsia="Arial" w:hAnsi="Arial"/>
                <w:sz w:val="14"/>
                <w:szCs w:val="14"/>
                <w:color w:val="auto"/>
                <w:w w:val="88"/>
              </w:rPr>
              <w:t>Recorded</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Pre-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Post-</w:t>
            </w: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1"/>
              </w:rPr>
              <w:t>investment</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8"/>
              </w:rPr>
              <w:t>Interest</w:t>
            </w:r>
          </w:p>
        </w:tc>
      </w:tr>
      <w:tr>
        <w:trPr>
          <w:trHeight w:val="161"/>
        </w:trPr>
        <w:tc>
          <w:tcPr>
            <w:tcW w:w="6320" w:type="dxa"/>
            <w:vAlign w:val="bottom"/>
            <w:gridSpan w:val="2"/>
          </w:tcPr>
          <w:p>
            <w:pPr>
              <w:spacing w:after="0" w:line="154" w:lineRule="exact"/>
              <w:rPr>
                <w:sz w:val="20"/>
                <w:szCs w:val="20"/>
                <w:color w:val="auto"/>
              </w:rPr>
            </w:pPr>
            <w:r>
              <w:rPr>
                <w:rFonts w:ascii="Arial" w:cs="Arial" w:eastAsia="Arial" w:hAnsi="Arial"/>
                <w:sz w:val="14"/>
                <w:szCs w:val="14"/>
                <w:color w:val="auto"/>
              </w:rPr>
              <w:t>Three months ended September 30, 2016</w:t>
            </w:r>
          </w:p>
        </w:tc>
        <w:tc>
          <w:tcPr>
            <w:tcW w:w="840" w:type="dxa"/>
            <w:vAlign w:val="bottom"/>
            <w:gridSpan w:val="2"/>
          </w:tcPr>
          <w:p>
            <w:pPr>
              <w:spacing w:after="0" w:line="154" w:lineRule="exact"/>
              <w:rPr>
                <w:sz w:val="20"/>
                <w:szCs w:val="20"/>
                <w:color w:val="auto"/>
              </w:rPr>
            </w:pPr>
            <w:r>
              <w:rPr>
                <w:rFonts w:ascii="Arial" w:cs="Arial" w:eastAsia="Arial" w:hAnsi="Arial"/>
                <w:sz w:val="14"/>
                <w:szCs w:val="14"/>
                <w:color w:val="auto"/>
              </w:rPr>
              <w:t>Number</w:t>
            </w:r>
          </w:p>
        </w:tc>
        <w:tc>
          <w:tcPr>
            <w:tcW w:w="780" w:type="dxa"/>
            <w:vAlign w:val="bottom"/>
            <w:gridSpan w:val="2"/>
          </w:tcPr>
          <w:p>
            <w:pPr>
              <w:ind w:left="20"/>
              <w:spacing w:after="0" w:line="154" w:lineRule="exact"/>
              <w:rPr>
                <w:sz w:val="20"/>
                <w:szCs w:val="20"/>
                <w:color w:val="auto"/>
              </w:rPr>
            </w:pPr>
            <w:r>
              <w:rPr>
                <w:rFonts w:ascii="Arial" w:cs="Arial" w:eastAsia="Arial" w:hAnsi="Arial"/>
                <w:sz w:val="14"/>
                <w:szCs w:val="14"/>
                <w:color w:val="auto"/>
                <w:w w:val="99"/>
              </w:rPr>
              <w:t>modification</w:t>
            </w:r>
          </w:p>
        </w:tc>
        <w:tc>
          <w:tcPr>
            <w:tcW w:w="340" w:type="dxa"/>
            <w:vAlign w:val="bottom"/>
          </w:tcPr>
          <w:p>
            <w:pPr>
              <w:spacing w:after="0"/>
              <w:rPr>
                <w:sz w:val="13"/>
                <w:szCs w:val="13"/>
                <w:color w:val="auto"/>
              </w:rPr>
            </w:pPr>
          </w:p>
        </w:tc>
        <w:tc>
          <w:tcPr>
            <w:tcW w:w="1120" w:type="dxa"/>
            <w:vAlign w:val="bottom"/>
            <w:gridSpan w:val="3"/>
          </w:tcPr>
          <w:p>
            <w:pPr>
              <w:jc w:val="center"/>
              <w:ind w:right="340"/>
              <w:spacing w:after="0" w:line="154" w:lineRule="exact"/>
              <w:rPr>
                <w:sz w:val="20"/>
                <w:szCs w:val="20"/>
                <w:color w:val="auto"/>
              </w:rPr>
            </w:pPr>
            <w:r>
              <w:rPr>
                <w:rFonts w:ascii="Arial" w:cs="Arial" w:eastAsia="Arial" w:hAnsi="Arial"/>
                <w:sz w:val="14"/>
                <w:szCs w:val="14"/>
                <w:color w:val="auto"/>
                <w:w w:val="99"/>
              </w:rPr>
              <w:t>modification</w:t>
            </w:r>
          </w:p>
        </w:tc>
        <w:tc>
          <w:tcPr>
            <w:tcW w:w="100" w:type="dxa"/>
            <w:vAlign w:val="bottom"/>
          </w:tcPr>
          <w:p>
            <w:pPr>
              <w:spacing w:after="0"/>
              <w:rPr>
                <w:sz w:val="13"/>
                <w:szCs w:val="13"/>
                <w:color w:val="auto"/>
              </w:rPr>
            </w:pPr>
          </w:p>
        </w:tc>
        <w:tc>
          <w:tcPr>
            <w:tcW w:w="102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3"/>
              </w:rPr>
              <w:t>(a)</w:t>
            </w:r>
          </w:p>
        </w:tc>
        <w:tc>
          <w:tcPr>
            <w:tcW w:w="120" w:type="dxa"/>
            <w:vAlign w:val="bottom"/>
          </w:tcPr>
          <w:p>
            <w:pPr>
              <w:spacing w:after="0"/>
              <w:rPr>
                <w:sz w:val="13"/>
                <w:szCs w:val="13"/>
                <w:color w:val="auto"/>
              </w:rPr>
            </w:pPr>
          </w:p>
        </w:tc>
        <w:tc>
          <w:tcPr>
            <w:tcW w:w="78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(b)</w:t>
            </w:r>
          </w:p>
        </w:tc>
      </w:tr>
      <w:tr>
        <w:trPr>
          <w:trHeight w:val="162"/>
        </w:trPr>
        <w:tc>
          <w:tcPr>
            <w:tcW w:w="2380" w:type="dxa"/>
            <w:vAlign w:val="bottom"/>
            <w:tcBorders>
              <w:top w:val="single" w:sz="8" w:color="auto"/>
            </w:tcBorders>
          </w:tcPr>
          <w:p>
            <w:pPr>
              <w:spacing w:after="0"/>
              <w:rPr>
                <w:sz w:val="14"/>
                <w:szCs w:val="14"/>
                <w:color w:val="auto"/>
              </w:rPr>
            </w:pPr>
          </w:p>
        </w:tc>
        <w:tc>
          <w:tcPr>
            <w:tcW w:w="39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(dollars in thousands)</w:t>
            </w:r>
          </w:p>
        </w:tc>
        <w:tc>
          <w:tcPr>
            <w:tcW w:w="7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2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41,652</w:t>
            </w:r>
          </w:p>
        </w:tc>
        <w:tc>
          <w:tcPr>
            <w:tcW w:w="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40,183</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27,834</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19,802</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(8,032)</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2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12,302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11,644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r>
      <w:tr>
        <w:trPr>
          <w:trHeight w:val="230"/>
        </w:trPr>
        <w:tc>
          <w:tcPr>
            <w:tcW w:w="632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r>
      <w:tr>
        <w:trPr>
          <w:trHeight w:val="230"/>
        </w:trPr>
        <w:tc>
          <w:tcPr>
            <w:tcW w:w="6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Residential-limited documentation</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2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2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w:t>
            </w:r>
          </w:p>
        </w:tc>
      </w:tr>
      <w:tr>
        <w:trPr>
          <w:trHeight w:val="230"/>
        </w:trPr>
        <w:tc>
          <w:tcPr>
            <w:tcW w:w="632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93,640</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83,898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520" w:hanging="512"/>
        <w:spacing w:after="0"/>
        <w:tabs>
          <w:tab w:leader="none" w:pos="5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4"/>
                <w:szCs w:val="14"/>
                <w:color w:val="auto"/>
              </w:rPr>
              <w:t>Financial effects of</w:t>
            </w:r>
          </w:p>
        </w:tc>
      </w:tr>
      <w:tr>
        <w:trPr>
          <w:trHeight w:val="167"/>
        </w:trPr>
        <w:tc>
          <w:tcPr>
            <w:tcW w:w="2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ind w:left="16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940" w:type="dxa"/>
            <w:vAlign w:val="bottom"/>
            <w:gridSpan w:val="6"/>
          </w:tcPr>
          <w:p>
            <w:pPr>
              <w:jc w:val="right"/>
              <w:ind w:right="720"/>
              <w:spacing w:after="0"/>
              <w:rPr>
                <w:sz w:val="20"/>
                <w:szCs w:val="20"/>
                <w:color w:val="auto"/>
              </w:rPr>
            </w:pPr>
            <w:r>
              <w:rPr>
                <w:rFonts w:ascii="Arial" w:cs="Arial" w:eastAsia="Arial" w:hAnsi="Arial"/>
                <w:sz w:val="14"/>
                <w:szCs w:val="14"/>
                <w:color w:val="auto"/>
              </w:rPr>
              <w:t>modification</w:t>
            </w:r>
          </w:p>
        </w:tc>
      </w:tr>
      <w:tr>
        <w:trPr>
          <w:trHeight w:val="137"/>
        </w:trPr>
        <w:tc>
          <w:tcPr>
            <w:tcW w:w="23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320"/>
              <w:spacing w:after="0" w:line="137" w:lineRule="exact"/>
              <w:rPr>
                <w:sz w:val="20"/>
                <w:szCs w:val="20"/>
                <w:color w:val="auto"/>
              </w:rPr>
            </w:pPr>
            <w:r>
              <w:rPr>
                <w:rFonts w:ascii="Arial" w:cs="Arial" w:eastAsia="Arial" w:hAnsi="Arial"/>
                <w:sz w:val="14"/>
                <w:szCs w:val="14"/>
                <w:color w:val="auto"/>
                <w:w w:val="92"/>
              </w:rPr>
              <w:t>Recorded</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Pre-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5"/>
              </w:rPr>
              <w:t>Post-</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investment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8"/>
              </w:rPr>
              <w:t>Interest</w:t>
            </w:r>
          </w:p>
        </w:tc>
      </w:tr>
      <w:tr>
        <w:trPr>
          <w:trHeight w:val="161"/>
        </w:trPr>
        <w:tc>
          <w:tcPr>
            <w:tcW w:w="6300" w:type="dxa"/>
            <w:vAlign w:val="bottom"/>
            <w:gridSpan w:val="2"/>
          </w:tcPr>
          <w:p>
            <w:pPr>
              <w:spacing w:after="0" w:line="154" w:lineRule="exact"/>
              <w:rPr>
                <w:sz w:val="20"/>
                <w:szCs w:val="20"/>
                <w:color w:val="auto"/>
              </w:rPr>
            </w:pPr>
            <w:r>
              <w:rPr>
                <w:rFonts w:ascii="Arial" w:cs="Arial" w:eastAsia="Arial" w:hAnsi="Arial"/>
                <w:sz w:val="14"/>
                <w:szCs w:val="14"/>
                <w:color w:val="auto"/>
              </w:rPr>
              <w:t>Three months ended September 30, 2015</w:t>
            </w:r>
          </w:p>
        </w:tc>
        <w:tc>
          <w:tcPr>
            <w:tcW w:w="520" w:type="dxa"/>
            <w:vAlign w:val="bottom"/>
          </w:tcPr>
          <w:p>
            <w:pPr>
              <w:jc w:val="right"/>
              <w:spacing w:after="0" w:line="154" w:lineRule="exact"/>
              <w:rPr>
                <w:sz w:val="20"/>
                <w:szCs w:val="20"/>
                <w:color w:val="auto"/>
              </w:rPr>
            </w:pPr>
            <w:r>
              <w:rPr>
                <w:rFonts w:ascii="Arial" w:cs="Arial" w:eastAsia="Arial" w:hAnsi="Arial"/>
                <w:sz w:val="14"/>
                <w:szCs w:val="14"/>
                <w:color w:val="auto"/>
                <w:w w:val="92"/>
              </w:rPr>
              <w:t>Number</w:t>
            </w:r>
          </w:p>
        </w:tc>
        <w:tc>
          <w:tcPr>
            <w:tcW w:w="320" w:type="dxa"/>
            <w:vAlign w:val="bottom"/>
          </w:tcPr>
          <w:p>
            <w:pPr>
              <w:spacing w:after="0"/>
              <w:rPr>
                <w:sz w:val="13"/>
                <w:szCs w:val="13"/>
                <w:color w:val="auto"/>
              </w:rPr>
            </w:pPr>
          </w:p>
        </w:tc>
        <w:tc>
          <w:tcPr>
            <w:tcW w:w="780" w:type="dxa"/>
            <w:vAlign w:val="bottom"/>
            <w:gridSpan w:val="2"/>
          </w:tcPr>
          <w:p>
            <w:pPr>
              <w:ind w:left="20"/>
              <w:spacing w:after="0" w:line="154" w:lineRule="exact"/>
              <w:rPr>
                <w:sz w:val="20"/>
                <w:szCs w:val="20"/>
                <w:color w:val="auto"/>
              </w:rPr>
            </w:pPr>
            <w:r>
              <w:rPr>
                <w:rFonts w:ascii="Arial" w:cs="Arial" w:eastAsia="Arial" w:hAnsi="Arial"/>
                <w:sz w:val="14"/>
                <w:szCs w:val="14"/>
                <w:color w:val="auto"/>
                <w:w w:val="99"/>
              </w:rPr>
              <w:t>modification</w:t>
            </w:r>
          </w:p>
        </w:tc>
        <w:tc>
          <w:tcPr>
            <w:tcW w:w="320" w:type="dxa"/>
            <w:vAlign w:val="bottom"/>
          </w:tcPr>
          <w:p>
            <w:pPr>
              <w:spacing w:after="0"/>
              <w:rPr>
                <w:sz w:val="13"/>
                <w:szCs w:val="13"/>
                <w:color w:val="auto"/>
              </w:rPr>
            </w:pPr>
          </w:p>
        </w:tc>
        <w:tc>
          <w:tcPr>
            <w:tcW w:w="1120" w:type="dxa"/>
            <w:vAlign w:val="bottom"/>
            <w:gridSpan w:val="3"/>
          </w:tcPr>
          <w:p>
            <w:pPr>
              <w:jc w:val="center"/>
              <w:ind w:right="320"/>
              <w:spacing w:after="0" w:line="154" w:lineRule="exact"/>
              <w:rPr>
                <w:sz w:val="20"/>
                <w:szCs w:val="20"/>
                <w:color w:val="auto"/>
              </w:rPr>
            </w:pPr>
            <w:r>
              <w:rPr>
                <w:rFonts w:ascii="Arial" w:cs="Arial" w:eastAsia="Arial" w:hAnsi="Arial"/>
                <w:sz w:val="14"/>
                <w:szCs w:val="14"/>
                <w:color w:val="auto"/>
                <w:w w:val="96"/>
              </w:rPr>
              <w:t>modification</w:t>
            </w:r>
          </w:p>
        </w:tc>
        <w:tc>
          <w:tcPr>
            <w:tcW w:w="120" w:type="dxa"/>
            <w:vAlign w:val="bottom"/>
          </w:tcPr>
          <w:p>
            <w:pPr>
              <w:spacing w:after="0"/>
              <w:rPr>
                <w:sz w:val="13"/>
                <w:szCs w:val="13"/>
                <w:color w:val="auto"/>
              </w:rPr>
            </w:pPr>
          </w:p>
        </w:tc>
        <w:tc>
          <w:tcPr>
            <w:tcW w:w="880" w:type="dxa"/>
            <w:vAlign w:val="bottom"/>
            <w:gridSpan w:val="2"/>
          </w:tcPr>
          <w:p>
            <w:pPr>
              <w:jc w:val="center"/>
              <w:ind w:right="320"/>
              <w:spacing w:after="0" w:line="154" w:lineRule="exact"/>
              <w:rPr>
                <w:sz w:val="20"/>
                <w:szCs w:val="20"/>
                <w:color w:val="auto"/>
              </w:rPr>
            </w:pPr>
            <w:r>
              <w:rPr>
                <w:rFonts w:ascii="Arial" w:cs="Arial" w:eastAsia="Arial" w:hAnsi="Arial"/>
                <w:sz w:val="14"/>
                <w:szCs w:val="14"/>
                <w:color w:val="auto"/>
                <w:w w:val="93"/>
              </w:rPr>
              <w:t>(a)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40"/>
              <w:spacing w:after="0" w:line="154" w:lineRule="exact"/>
              <w:rPr>
                <w:sz w:val="20"/>
                <w:szCs w:val="20"/>
                <w:color w:val="auto"/>
              </w:rPr>
            </w:pPr>
            <w:r>
              <w:rPr>
                <w:rFonts w:ascii="Arial" w:cs="Arial" w:eastAsia="Arial" w:hAnsi="Arial"/>
                <w:sz w:val="14"/>
                <w:szCs w:val="14"/>
                <w:color w:val="auto"/>
              </w:rPr>
              <w:t>(b)</w:t>
            </w:r>
          </w:p>
        </w:tc>
      </w:tr>
      <w:tr>
        <w:trPr>
          <w:trHeight w:val="162"/>
        </w:trPr>
        <w:tc>
          <w:tcPr>
            <w:tcW w:w="2380" w:type="dxa"/>
            <w:vAlign w:val="bottom"/>
            <w:tcBorders>
              <w:top w:val="single" w:sz="8" w:color="auto"/>
            </w:tcBorders>
          </w:tcPr>
          <w:p>
            <w:pPr>
              <w:spacing w:after="0"/>
              <w:rPr>
                <w:sz w:val="14"/>
                <w:szCs w:val="14"/>
                <w:color w:val="auto"/>
              </w:rPr>
            </w:pPr>
          </w:p>
        </w:tc>
        <w:tc>
          <w:tcPr>
            <w:tcW w:w="39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(dollars in thousands)</w:t>
            </w: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7,893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7,419</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r>
      <w:tr>
        <w:trPr>
          <w:trHeight w:val="230"/>
        </w:trPr>
        <w:tc>
          <w:tcPr>
            <w:tcW w:w="6300" w:type="dxa"/>
            <w:vAlign w:val="bottom"/>
            <w:gridSpan w:val="2"/>
          </w:tcPr>
          <w:p>
            <w:pPr>
              <w:ind w:left="260"/>
              <w:spacing w:after="0"/>
              <w:rPr>
                <w:sz w:val="20"/>
                <w:szCs w:val="20"/>
                <w:color w:val="auto"/>
              </w:rPr>
            </w:pPr>
            <w:r>
              <w:rPr>
                <w:rFonts w:ascii="Arial" w:cs="Arial" w:eastAsia="Arial" w:hAnsi="Arial"/>
                <w:sz w:val="18"/>
                <w:szCs w:val="18"/>
                <w:color w:val="auto"/>
              </w:rPr>
              <w:t>Other commercial construction</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w:t>
            </w:r>
          </w:p>
        </w:tc>
      </w:tr>
      <w:tr>
        <w:trPr>
          <w:trHeight w:val="230"/>
        </w:trPr>
        <w:tc>
          <w:tcPr>
            <w:tcW w:w="6300" w:type="dxa"/>
            <w:vAlign w:val="bottom"/>
            <w:gridSpan w:val="2"/>
          </w:tcPr>
          <w:p>
            <w:pPr>
              <w:ind w:left="260"/>
              <w:spacing w:after="0"/>
              <w:rPr>
                <w:sz w:val="20"/>
                <w:szCs w:val="20"/>
                <w:color w:val="auto"/>
              </w:rPr>
            </w:pPr>
            <w:r>
              <w:rPr>
                <w:rFonts w:ascii="Arial" w:cs="Arial" w:eastAsia="Arial" w:hAnsi="Arial"/>
                <w:sz w:val="18"/>
                <w:szCs w:val="18"/>
                <w:color w:val="auto"/>
              </w:rPr>
              <w:t>Residential-limited documentation</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30"/>
        </w:trPr>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0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230"/>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6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520" w:hanging="512"/>
        <w:spacing w:after="0"/>
        <w:tabs>
          <w:tab w:leader="none" w:pos="5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460"/>
              <w:spacing w:after="0"/>
              <w:rPr>
                <w:sz w:val="20"/>
                <w:szCs w:val="20"/>
                <w:color w:val="auto"/>
              </w:rPr>
            </w:pPr>
            <w:r>
              <w:rPr>
                <w:rFonts w:ascii="Arial" w:cs="Arial" w:eastAsia="Arial" w:hAnsi="Arial"/>
                <w:sz w:val="14"/>
                <w:szCs w:val="14"/>
                <w:color w:val="auto"/>
              </w:rPr>
              <w:t>Financial effects of</w:t>
            </w:r>
          </w:p>
        </w:tc>
      </w:tr>
      <w:tr>
        <w:trPr>
          <w:trHeight w:val="167"/>
        </w:trPr>
        <w:tc>
          <w:tcPr>
            <w:tcW w:w="23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right"/>
              <w:ind w:right="251"/>
              <w:spacing w:after="0"/>
              <w:rPr>
                <w:sz w:val="20"/>
                <w:szCs w:val="20"/>
                <w:color w:val="auto"/>
              </w:rPr>
            </w:pPr>
            <w:r>
              <w:rPr>
                <w:rFonts w:ascii="Arial" w:cs="Arial" w:eastAsia="Arial" w:hAnsi="Arial"/>
                <w:sz w:val="14"/>
                <w:szCs w:val="14"/>
                <w:color w:val="auto"/>
              </w:rPr>
              <w:t>Recorded investment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660"/>
              <w:spacing w:after="0"/>
              <w:rPr>
                <w:sz w:val="20"/>
                <w:szCs w:val="20"/>
                <w:color w:val="auto"/>
              </w:rPr>
            </w:pPr>
            <w:r>
              <w:rPr>
                <w:rFonts w:ascii="Arial" w:cs="Arial" w:eastAsia="Arial" w:hAnsi="Arial"/>
                <w:sz w:val="14"/>
                <w:szCs w:val="14"/>
                <w:color w:val="auto"/>
              </w:rPr>
              <w:t>modification</w:t>
            </w:r>
          </w:p>
        </w:tc>
      </w:tr>
      <w:tr>
        <w:trPr>
          <w:trHeight w:val="137"/>
        </w:trPr>
        <w:tc>
          <w:tcPr>
            <w:tcW w:w="23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380"/>
              <w:spacing w:after="0" w:line="137" w:lineRule="exact"/>
              <w:rPr>
                <w:sz w:val="20"/>
                <w:szCs w:val="20"/>
                <w:color w:val="auto"/>
              </w:rPr>
            </w:pPr>
            <w:r>
              <w:rPr>
                <w:rFonts w:ascii="Arial" w:cs="Arial" w:eastAsia="Arial" w:hAnsi="Arial"/>
                <w:sz w:val="14"/>
                <w:szCs w:val="14"/>
                <w:color w:val="auto"/>
                <w:w w:val="92"/>
              </w:rPr>
              <w:t>Recorded</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3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91"/>
              <w:spacing w:after="0" w:line="149" w:lineRule="exact"/>
              <w:rPr>
                <w:sz w:val="20"/>
                <w:szCs w:val="20"/>
                <w:color w:val="auto"/>
              </w:rPr>
            </w:pPr>
            <w:r>
              <w:rPr>
                <w:rFonts w:ascii="Arial" w:cs="Arial" w:eastAsia="Arial" w:hAnsi="Arial"/>
                <w:sz w:val="14"/>
                <w:szCs w:val="14"/>
                <w:color w:val="auto"/>
              </w:rPr>
              <w:t>Pre-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Post-</w:t>
            </w:r>
          </w:p>
        </w:tc>
        <w:tc>
          <w:tcPr>
            <w:tcW w:w="34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4"/>
              </w:rPr>
              <w:t>investment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Interest</w:t>
            </w:r>
          </w:p>
        </w:tc>
      </w:tr>
      <w:tr>
        <w:trPr>
          <w:trHeight w:val="161"/>
        </w:trPr>
        <w:tc>
          <w:tcPr>
            <w:tcW w:w="6280" w:type="dxa"/>
            <w:vAlign w:val="bottom"/>
            <w:gridSpan w:val="2"/>
          </w:tcPr>
          <w:p>
            <w:pPr>
              <w:spacing w:after="0" w:line="154" w:lineRule="exact"/>
              <w:rPr>
                <w:sz w:val="20"/>
                <w:szCs w:val="20"/>
                <w:color w:val="auto"/>
              </w:rPr>
            </w:pPr>
            <w:r>
              <w:rPr>
                <w:rFonts w:ascii="Arial" w:cs="Arial" w:eastAsia="Arial" w:hAnsi="Arial"/>
                <w:sz w:val="14"/>
                <w:szCs w:val="14"/>
                <w:color w:val="auto"/>
              </w:rPr>
              <w:t>Nine months ended September 30, 2016</w:t>
            </w:r>
          </w:p>
        </w:tc>
        <w:tc>
          <w:tcPr>
            <w:tcW w:w="840" w:type="dxa"/>
            <w:vAlign w:val="bottom"/>
            <w:gridSpan w:val="2"/>
          </w:tcPr>
          <w:p>
            <w:pPr>
              <w:spacing w:after="0" w:line="154" w:lineRule="exact"/>
              <w:rPr>
                <w:sz w:val="20"/>
                <w:szCs w:val="20"/>
                <w:color w:val="auto"/>
              </w:rPr>
            </w:pPr>
            <w:r>
              <w:rPr>
                <w:rFonts w:ascii="Arial" w:cs="Arial" w:eastAsia="Arial" w:hAnsi="Arial"/>
                <w:sz w:val="14"/>
                <w:szCs w:val="14"/>
                <w:color w:val="auto"/>
              </w:rPr>
              <w:t>Number</w:t>
            </w:r>
          </w:p>
        </w:tc>
        <w:tc>
          <w:tcPr>
            <w:tcW w:w="780" w:type="dxa"/>
            <w:vAlign w:val="bottom"/>
            <w:gridSpan w:val="2"/>
          </w:tcPr>
          <w:p>
            <w:pPr>
              <w:ind w:left="20"/>
              <w:spacing w:after="0" w:line="154" w:lineRule="exact"/>
              <w:rPr>
                <w:sz w:val="20"/>
                <w:szCs w:val="20"/>
                <w:color w:val="auto"/>
              </w:rPr>
            </w:pPr>
            <w:r>
              <w:rPr>
                <w:rFonts w:ascii="Arial" w:cs="Arial" w:eastAsia="Arial" w:hAnsi="Arial"/>
                <w:sz w:val="14"/>
                <w:szCs w:val="14"/>
                <w:color w:val="auto"/>
                <w:w w:val="99"/>
              </w:rPr>
              <w:t>modification</w:t>
            </w:r>
          </w:p>
        </w:tc>
        <w:tc>
          <w:tcPr>
            <w:tcW w:w="340" w:type="dxa"/>
            <w:vAlign w:val="bottom"/>
          </w:tcPr>
          <w:p>
            <w:pPr>
              <w:spacing w:after="0"/>
              <w:rPr>
                <w:sz w:val="13"/>
                <w:szCs w:val="13"/>
                <w:color w:val="auto"/>
              </w:rPr>
            </w:pPr>
          </w:p>
        </w:tc>
        <w:tc>
          <w:tcPr>
            <w:tcW w:w="780" w:type="dxa"/>
            <w:vAlign w:val="bottom"/>
            <w:gridSpan w:val="2"/>
          </w:tcPr>
          <w:p>
            <w:pPr>
              <w:jc w:val="right"/>
              <w:spacing w:after="0" w:line="154" w:lineRule="exact"/>
              <w:rPr>
                <w:sz w:val="20"/>
                <w:szCs w:val="20"/>
                <w:color w:val="auto"/>
              </w:rPr>
            </w:pPr>
            <w:r>
              <w:rPr>
                <w:rFonts w:ascii="Arial" w:cs="Arial" w:eastAsia="Arial" w:hAnsi="Arial"/>
                <w:sz w:val="14"/>
                <w:szCs w:val="14"/>
                <w:color w:val="auto"/>
                <w:w w:val="99"/>
              </w:rPr>
              <w:t>modification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3"/>
              </w:rPr>
              <w:t>(a)</w:t>
            </w: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(b)</w:t>
            </w:r>
          </w:p>
        </w:tc>
      </w:tr>
      <w:tr>
        <w:trPr>
          <w:trHeight w:val="162"/>
        </w:trPr>
        <w:tc>
          <w:tcPr>
            <w:tcW w:w="2320" w:type="dxa"/>
            <w:vAlign w:val="bottom"/>
            <w:tcBorders>
              <w:top w:val="single" w:sz="8" w:color="auto"/>
            </w:tcBorders>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(dollars in thousands)</w:t>
            </w:r>
          </w:p>
        </w:tc>
        <w:tc>
          <w:tcPr>
            <w:tcW w:w="7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98,956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98,561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39,971</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(9,277)</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17,802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Interest rate reduction</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4,723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13,546</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Residential builder and developer</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22,958</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Other commercial construction</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Residential-limited documentation</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8,534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8,534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235,214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224,499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(10,715</w:t>
            </w:r>
          </w:p>
        </w:tc>
        <w:tc>
          <w:tcPr>
            <w:tcW w:w="320" w:type="dxa"/>
            <w:vAlign w:val="bottom"/>
            <w:tcBorders>
              <w:top w:val="single" w:sz="8" w:color="CFF0FC"/>
              <w:bottom w:val="single" w:sz="8" w:color="CFF0FC"/>
            </w:tcBorders>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3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4"/>
                <w:szCs w:val="14"/>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7"/>
        </w:trPr>
        <w:tc>
          <w:tcPr>
            <w:tcW w:w="23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440"/>
              <w:spacing w:after="0" w:line="137" w:lineRule="exact"/>
              <w:rPr>
                <w:sz w:val="20"/>
                <w:szCs w:val="20"/>
                <w:color w:val="auto"/>
              </w:rPr>
            </w:pPr>
            <w:r>
              <w:rPr>
                <w:rFonts w:ascii="Arial" w:cs="Arial" w:eastAsia="Arial" w:hAnsi="Arial"/>
                <w:sz w:val="14"/>
                <w:szCs w:val="14"/>
                <w:color w:val="auto"/>
                <w:w w:val="92"/>
              </w:rPr>
              <w:t>Recorded</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91"/>
              <w:spacing w:after="0" w:line="149" w:lineRule="exact"/>
              <w:rPr>
                <w:sz w:val="20"/>
                <w:szCs w:val="20"/>
                <w:color w:val="auto"/>
              </w:rPr>
            </w:pPr>
            <w:r>
              <w:rPr>
                <w:rFonts w:ascii="Arial" w:cs="Arial" w:eastAsia="Arial" w:hAnsi="Arial"/>
                <w:sz w:val="14"/>
                <w:szCs w:val="14"/>
                <w:color w:val="auto"/>
              </w:rPr>
              <w:t>Pre-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5"/>
              </w:rPr>
              <w:t>Post-</w:t>
            </w: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4"/>
              </w:rPr>
              <w:t>investment</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161"/>
        </w:trPr>
        <w:tc>
          <w:tcPr>
            <w:tcW w:w="6300" w:type="dxa"/>
            <w:vAlign w:val="bottom"/>
            <w:gridSpan w:val="2"/>
          </w:tcPr>
          <w:p>
            <w:pPr>
              <w:spacing w:after="0" w:line="154" w:lineRule="exact"/>
              <w:rPr>
                <w:sz w:val="20"/>
                <w:szCs w:val="20"/>
                <w:color w:val="auto"/>
              </w:rPr>
            </w:pPr>
            <w:r>
              <w:rPr>
                <w:rFonts w:ascii="Arial" w:cs="Arial" w:eastAsia="Arial" w:hAnsi="Arial"/>
                <w:sz w:val="14"/>
                <w:szCs w:val="14"/>
                <w:color w:val="auto"/>
              </w:rPr>
              <w:t>Nine months ended September 30, 2015</w:t>
            </w:r>
          </w:p>
        </w:tc>
        <w:tc>
          <w:tcPr>
            <w:tcW w:w="520" w:type="dxa"/>
            <w:vAlign w:val="bottom"/>
          </w:tcPr>
          <w:p>
            <w:pPr>
              <w:jc w:val="right"/>
              <w:spacing w:after="0" w:line="154" w:lineRule="exact"/>
              <w:rPr>
                <w:sz w:val="20"/>
                <w:szCs w:val="20"/>
                <w:color w:val="auto"/>
              </w:rPr>
            </w:pPr>
            <w:r>
              <w:rPr>
                <w:rFonts w:ascii="Arial" w:cs="Arial" w:eastAsia="Arial" w:hAnsi="Arial"/>
                <w:sz w:val="14"/>
                <w:szCs w:val="14"/>
                <w:color w:val="auto"/>
                <w:w w:val="92"/>
              </w:rPr>
              <w:t>Number</w:t>
            </w:r>
          </w:p>
        </w:tc>
        <w:tc>
          <w:tcPr>
            <w:tcW w:w="320" w:type="dxa"/>
            <w:vAlign w:val="bottom"/>
          </w:tcPr>
          <w:p>
            <w:pPr>
              <w:spacing w:after="0"/>
              <w:rPr>
                <w:sz w:val="13"/>
                <w:szCs w:val="13"/>
                <w:color w:val="auto"/>
              </w:rPr>
            </w:pPr>
          </w:p>
        </w:tc>
        <w:tc>
          <w:tcPr>
            <w:tcW w:w="780" w:type="dxa"/>
            <w:vAlign w:val="bottom"/>
            <w:gridSpan w:val="2"/>
          </w:tcPr>
          <w:p>
            <w:pPr>
              <w:ind w:left="20"/>
              <w:spacing w:after="0" w:line="154" w:lineRule="exact"/>
              <w:rPr>
                <w:sz w:val="20"/>
                <w:szCs w:val="20"/>
                <w:color w:val="auto"/>
              </w:rPr>
            </w:pPr>
            <w:r>
              <w:rPr>
                <w:rFonts w:ascii="Arial" w:cs="Arial" w:eastAsia="Arial" w:hAnsi="Arial"/>
                <w:sz w:val="14"/>
                <w:szCs w:val="14"/>
                <w:color w:val="auto"/>
                <w:w w:val="99"/>
              </w:rPr>
              <w:t>modification</w:t>
            </w:r>
          </w:p>
        </w:tc>
        <w:tc>
          <w:tcPr>
            <w:tcW w:w="320" w:type="dxa"/>
            <w:vAlign w:val="bottom"/>
          </w:tcPr>
          <w:p>
            <w:pPr>
              <w:spacing w:after="0"/>
              <w:rPr>
                <w:sz w:val="13"/>
                <w:szCs w:val="13"/>
                <w:color w:val="auto"/>
              </w:rPr>
            </w:pPr>
          </w:p>
        </w:tc>
        <w:tc>
          <w:tcPr>
            <w:tcW w:w="1120" w:type="dxa"/>
            <w:vAlign w:val="bottom"/>
            <w:gridSpan w:val="3"/>
          </w:tcPr>
          <w:p>
            <w:pPr>
              <w:jc w:val="center"/>
              <w:ind w:right="320"/>
              <w:spacing w:after="0" w:line="154" w:lineRule="exact"/>
              <w:rPr>
                <w:sz w:val="20"/>
                <w:szCs w:val="20"/>
                <w:color w:val="auto"/>
              </w:rPr>
            </w:pPr>
            <w:r>
              <w:rPr>
                <w:rFonts w:ascii="Arial" w:cs="Arial" w:eastAsia="Arial" w:hAnsi="Arial"/>
                <w:sz w:val="14"/>
                <w:szCs w:val="14"/>
                <w:color w:val="auto"/>
                <w:w w:val="96"/>
              </w:rPr>
              <w:t>modification</w:t>
            </w:r>
          </w:p>
        </w:tc>
        <w:tc>
          <w:tcPr>
            <w:tcW w:w="120" w:type="dxa"/>
            <w:vAlign w:val="bottom"/>
          </w:tcPr>
          <w:p>
            <w:pPr>
              <w:spacing w:after="0"/>
              <w:rPr>
                <w:sz w:val="13"/>
                <w:szCs w:val="13"/>
                <w:color w:val="auto"/>
              </w:rPr>
            </w:pPr>
          </w:p>
        </w:tc>
        <w:tc>
          <w:tcPr>
            <w:tcW w:w="1000" w:type="dxa"/>
            <w:vAlign w:val="bottom"/>
            <w:gridSpan w:val="2"/>
          </w:tcPr>
          <w:p>
            <w:pPr>
              <w:jc w:val="center"/>
              <w:ind w:right="440"/>
              <w:spacing w:after="0" w:line="154" w:lineRule="exact"/>
              <w:rPr>
                <w:sz w:val="20"/>
                <w:szCs w:val="20"/>
                <w:color w:val="auto"/>
              </w:rPr>
            </w:pPr>
            <w:r>
              <w:rPr>
                <w:rFonts w:ascii="Arial" w:cs="Arial" w:eastAsia="Arial" w:hAnsi="Arial"/>
                <w:sz w:val="14"/>
                <w:szCs w:val="14"/>
                <w:color w:val="auto"/>
                <w:w w:val="93"/>
              </w:rPr>
              <w:t>(a)</w:t>
            </w:r>
          </w:p>
        </w:tc>
        <w:tc>
          <w:tcPr>
            <w:tcW w:w="140" w:type="dxa"/>
            <w:vAlign w:val="bottom"/>
          </w:tcPr>
          <w:p>
            <w:pPr>
              <w:spacing w:after="0"/>
              <w:rPr>
                <w:sz w:val="13"/>
                <w:szCs w:val="13"/>
                <w:color w:val="auto"/>
              </w:rPr>
            </w:pPr>
          </w:p>
        </w:tc>
        <w:tc>
          <w:tcPr>
            <w:tcW w:w="800" w:type="dxa"/>
            <w:vAlign w:val="bottom"/>
            <w:gridSpan w:val="2"/>
          </w:tcPr>
          <w:p>
            <w:pPr>
              <w:jc w:val="right"/>
              <w:ind w:right="440"/>
              <w:spacing w:after="0" w:line="154"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62"/>
        </w:trPr>
        <w:tc>
          <w:tcPr>
            <w:tcW w:w="2320" w:type="dxa"/>
            <w:vAlign w:val="bottom"/>
            <w:tcBorders>
              <w:top w:val="single" w:sz="8" w:color="auto"/>
            </w:tcBorders>
          </w:tcPr>
          <w:p>
            <w:pPr>
              <w:spacing w:after="0"/>
              <w:rPr>
                <w:sz w:val="14"/>
                <w:szCs w:val="14"/>
                <w:color w:val="auto"/>
              </w:rPr>
            </w:pPr>
          </w:p>
        </w:tc>
        <w:tc>
          <w:tcPr>
            <w:tcW w:w="39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(dollars in thousands)</w:t>
            </w:r>
          </w:p>
        </w:tc>
        <w:tc>
          <w:tcPr>
            <w:tcW w:w="6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25,483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24,331</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Interest rate reduction</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8,883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47,005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45,569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60"/>
              <w:spacing w:after="0"/>
              <w:rPr>
                <w:sz w:val="20"/>
                <w:szCs w:val="20"/>
                <w:color w:val="auto"/>
              </w:rPr>
            </w:pPr>
            <w:r>
              <w:rPr>
                <w:rFonts w:ascii="Arial" w:cs="Arial" w:eastAsia="Arial" w:hAnsi="Arial"/>
                <w:sz w:val="18"/>
                <w:szCs w:val="18"/>
                <w:color w:val="auto"/>
              </w:rPr>
              <w:t>Residential builder and developer</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60"/>
              <w:spacing w:after="0"/>
              <w:rPr>
                <w:sz w:val="20"/>
                <w:szCs w:val="20"/>
                <w:color w:val="auto"/>
              </w:rPr>
            </w:pPr>
            <w:r>
              <w:rPr>
                <w:rFonts w:ascii="Arial" w:cs="Arial" w:eastAsia="Arial" w:hAnsi="Arial"/>
                <w:sz w:val="18"/>
                <w:szCs w:val="18"/>
                <w:color w:val="auto"/>
              </w:rPr>
              <w:t>Other commercial construction</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60"/>
              <w:spacing w:after="0"/>
              <w:rPr>
                <w:sz w:val="20"/>
                <w:szCs w:val="20"/>
                <w:color w:val="auto"/>
              </w:rPr>
            </w:pPr>
            <w:r>
              <w:rPr>
                <w:rFonts w:ascii="Arial" w:cs="Arial" w:eastAsia="Arial" w:hAnsi="Arial"/>
                <w:sz w:val="18"/>
                <w:szCs w:val="18"/>
                <w:color w:val="auto"/>
              </w:rPr>
              <w:t>Residential-limited documentation</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Interest rate reduction</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Principal deferral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Combination of concession types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gridSpan w:val="2"/>
            <w:vMerge w:val="continue"/>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139,888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137,646</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520" w:hanging="512"/>
        <w:spacing w:after="0"/>
        <w:tabs>
          <w:tab w:leader="none" w:pos="5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September 30, 2016 and 2015 and for which there was a subsequent payment default during the nine-month periods ended September 30, 2016 and 2015, respectively, were not material.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229"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amount of foreclosed residential real estate property held by the Company was $148 million and $172 million at September 30, 2016 and December 31, 2015, respectively. There were $321 million and $315 million at September 30, 2016 and December 31, 2015, respectively, in loans secured by residential real estate and serviced by the Company that were in the process of foreclosure. There were $246 million at September 30, 2016 in loans secured by residential real estate and serviced by other entities for the Company that were in the process of foreclosure. Of all loans in the process of foreclosure at September 30, 2016, approximately 61% were classified as purchased impaired and 21% were government guaranteed.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M&amp;T had $516 million of fixed and variable rate junior subordinated deferrable interest debentures ("Junior Subordinated Debentures") outstanding at September 30, 2016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beginning in 2016 none of the securities are includable in M&amp;T’s Tier 1 regulatory capital, but do qualify for inclusion in Tier 2 regulatory capital.</w:t>
      </w:r>
    </w:p>
    <w:p>
      <w:pPr>
        <w:spacing w:after="0" w:line="17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93"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Also included in long-term borrowings are agreements to repurchase securities of $1.8 billion and $1.9 billion at September 30, 2016 and December 31, 2015, respectively.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$1.9 billion and $2.0 billion at September 30, 2016 and December 31, 2015,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Shareholders' equity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Issued and outstanding preferred stock of M&amp;T as of September 30, 2016 and December 31, 2015 is presented below:</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color w:val="auto"/>
                <w:w w:val="85"/>
              </w:rPr>
              <w:t>Shares</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6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88"/>
              </w:rPr>
              <w:t>issued and</w:t>
            </w:r>
          </w:p>
        </w:tc>
        <w:tc>
          <w:tcPr>
            <w:tcW w:w="24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Carrying</w:t>
            </w:r>
          </w:p>
        </w:tc>
      </w:tr>
      <w:tr>
        <w:trPr>
          <w:trHeight w:val="167"/>
        </w:trPr>
        <w:tc>
          <w:tcPr>
            <w:tcW w:w="6140" w:type="dxa"/>
            <w:vAlign w:val="bottom"/>
          </w:tcPr>
          <w:p>
            <w:pPr>
              <w:spacing w:after="0"/>
              <w:rPr>
                <w:sz w:val="14"/>
                <w:szCs w:val="14"/>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r>
      <w:tr>
        <w:trPr>
          <w:trHeight w:val="156"/>
        </w:trPr>
        <w:tc>
          <w:tcPr>
            <w:tcW w:w="6140" w:type="dxa"/>
            <w:vAlign w:val="bottom"/>
          </w:tcPr>
          <w:p>
            <w:pPr>
              <w:spacing w:after="0"/>
              <w:rPr>
                <w:sz w:val="13"/>
                <w:szCs w:val="13"/>
                <w:color w:val="auto"/>
              </w:rPr>
            </w:pPr>
          </w:p>
        </w:tc>
        <w:tc>
          <w:tcPr>
            <w:tcW w:w="1760" w:type="dxa"/>
            <w:vAlign w:val="bottom"/>
            <w:tcBorders>
              <w:top w:val="single" w:sz="8" w:color="auto"/>
            </w:tcBorders>
            <w:gridSpan w:val="3"/>
          </w:tcPr>
          <w:p>
            <w:pPr>
              <w:jc w:val="right"/>
              <w:ind w:right="176"/>
              <w:spacing w:after="0" w:line="155" w:lineRule="exact"/>
              <w:rPr>
                <w:sz w:val="20"/>
                <w:szCs w:val="20"/>
                <w:color w:val="auto"/>
              </w:rPr>
            </w:pPr>
            <w:r>
              <w:rPr>
                <w:rFonts w:ascii="Arial" w:cs="Arial" w:eastAsia="Arial" w:hAnsi="Arial"/>
                <w:sz w:val="14"/>
                <w:szCs w:val="14"/>
                <w:color w:val="auto"/>
              </w:rPr>
              <w:t>(dollars in thousands)</w:t>
            </w:r>
          </w:p>
        </w:tc>
        <w:tc>
          <w:tcPr>
            <w:tcW w:w="80" w:type="dxa"/>
            <w:vAlign w:val="bottom"/>
          </w:tcPr>
          <w:p>
            <w:pPr>
              <w:spacing w:after="0"/>
              <w:rPr>
                <w:sz w:val="13"/>
                <w:szCs w:val="13"/>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Series A (a)</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Fixed Rate Cumulative Perpetual Preferred Stock, $1,000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liquidation preference per share</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230,000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230,000</w:t>
            </w:r>
          </w:p>
        </w:tc>
        <w:tc>
          <w:tcPr>
            <w:tcW w:w="80" w:type="dxa"/>
            <w:vAlign w:val="bottom"/>
          </w:tcPr>
          <w:p>
            <w:pPr>
              <w:spacing w:after="0"/>
              <w:rPr>
                <w:sz w:val="20"/>
                <w:szCs w:val="20"/>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Series C (a)</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Fixed Rate Cumulative Perpetual Preferred Stock, $1,000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liquidation preference per share</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151,500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151,500</w:t>
            </w:r>
          </w:p>
        </w:tc>
        <w:tc>
          <w:tcPr>
            <w:tcW w:w="80" w:type="dxa"/>
            <w:vAlign w:val="bottom"/>
          </w:tcPr>
          <w:p>
            <w:pPr>
              <w:spacing w:after="0"/>
              <w:rPr>
                <w:sz w:val="20"/>
                <w:szCs w:val="20"/>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Series D (b)</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Fixed Rate Non-cumulative Perpetual Preferred Stock, $10,000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liquidation preference per share</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80" w:type="dxa"/>
            <w:vAlign w:val="bottom"/>
          </w:tcPr>
          <w:p>
            <w:pPr>
              <w:spacing w:after="0"/>
              <w:rPr>
                <w:sz w:val="20"/>
                <w:szCs w:val="20"/>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Series E (c)</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350,000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350,000</w:t>
            </w:r>
          </w:p>
        </w:tc>
        <w:tc>
          <w:tcPr>
            <w:tcW w:w="80" w:type="dxa"/>
            <w:vAlign w:val="bottom"/>
          </w:tcPr>
          <w:p>
            <w:pPr>
              <w:spacing w:after="0"/>
              <w:rPr>
                <w:sz w:val="20"/>
                <w:szCs w:val="20"/>
                <w:color w:val="auto"/>
              </w:rPr>
            </w:pPr>
          </w:p>
        </w:tc>
      </w:tr>
    </w:tbl>
    <w:p>
      <w:pPr>
        <w:spacing w:after="0" w:line="242" w:lineRule="exact"/>
        <w:rPr>
          <w:sz w:val="20"/>
          <w:szCs w:val="20"/>
          <w:color w:val="auto"/>
        </w:rPr>
      </w:pPr>
    </w:p>
    <w:p>
      <w:pPr>
        <w:ind w:left="520" w:hanging="512"/>
        <w:spacing w:after="0" w:line="258" w:lineRule="auto"/>
        <w:tabs>
          <w:tab w:leader="none" w:pos="5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at 6.375%. Warrants to purchase M&amp;T common stock at $73.86 per share issued in connection with the Series A preferred stock expire in 2018 and totaled 713,855 at September 30, 2016 and 719,175 at December 31, 2015.</w:t>
      </w:r>
    </w:p>
    <w:p>
      <w:pPr>
        <w:spacing w:after="0" w:line="1" w:lineRule="exact"/>
        <w:rPr>
          <w:rFonts w:ascii="Arial" w:cs="Arial" w:eastAsia="Arial" w:hAnsi="Arial"/>
          <w:sz w:val="18"/>
          <w:szCs w:val="18"/>
          <w:i w:val="1"/>
          <w:iCs w:val="1"/>
          <w:color w:val="auto"/>
        </w:rPr>
      </w:pPr>
    </w:p>
    <w:p>
      <w:pPr>
        <w:ind w:left="520" w:hanging="512"/>
        <w:spacing w:after="0"/>
        <w:tabs>
          <w:tab w:leader="none" w:pos="5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Dividends, if declared, are paid semi-annually at a rate of 6.875% per year. The shares became redeemable in whole or in part on June 15, 2016.</w:t>
      </w:r>
    </w:p>
    <w:p>
      <w:pPr>
        <w:spacing w:after="0" w:line="32" w:lineRule="exact"/>
        <w:rPr>
          <w:rFonts w:ascii="Arial" w:cs="Arial" w:eastAsia="Arial" w:hAnsi="Arial"/>
          <w:sz w:val="16"/>
          <w:szCs w:val="16"/>
          <w:i w:val="1"/>
          <w:iCs w:val="1"/>
          <w:color w:val="auto"/>
        </w:rPr>
      </w:pPr>
    </w:p>
    <w:p>
      <w:pPr>
        <w:jc w:val="both"/>
        <w:ind w:left="520" w:hanging="512"/>
        <w:spacing w:after="0" w:line="254" w:lineRule="auto"/>
        <w:tabs>
          <w:tab w:leader="none" w:pos="5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6.45% through February 14, 2024 and thereafter will be paid quarterly at a rate of the three-month LIBOR plus 361 basis points (hundredths of one percent).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90"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In addition to the Series A warrants mentioned in (a) above, a warrant to purchase 95,383 shares of M&amp;T common stock at $518.96 per share was outstanding at September 30, 2016 and December 31, 2015. The obligation under that warrant was assumed by M&amp;T in an acquisition.</w:t>
      </w:r>
    </w:p>
    <w:p>
      <w:pPr>
        <w:spacing w:after="0" w:line="3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October 28, 2016, M&amp;T issued 50,000 shares of Series F Perpetual Fixed-to-Floating Rate Non-cumulative Preferred Stock, par value $1.00 per share and liquidation preference of $10,000 per share. Through November 1, 2026 holders of the Series F preferred stock are entitled to receive, only when, as and if declared by M&amp;T’s Board of Directors, non-cumulative cash dividends at an annual rate of 5.125%, payable semi-annually in arrears. Subsequent to November 1, 2026 holders will be entitled to receive quarterly cash dividends at an annual rate of three-month LIBOR plus 352 basis points. The Series F preferred stock may be redeemed at M&amp;T’s option, in whole or in part, on any dividend payment date on or after November 1, 2026 or, in whole but not in part, at any time within 90 days following a regulatory capital treatment event whereby the full liquidation value of the shares no longer qualifies as “additional Tier 1 capital”.</w:t>
      </w:r>
    </w:p>
    <w:p>
      <w:pPr>
        <w:spacing w:after="0" w:line="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M&amp;T expects to redeem the 50,000 shares issued and outstanding of the Series D Fixed Rate Non-cumulative Perpetual Preferred Stock, $10,000 liquidation preference per share during December 2016, having received the approval of the Federal Reserve to redeem such shares after issuing the Series 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center"/>
              <w:ind w:left="517"/>
              <w:spacing w:after="0"/>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560"/>
              <w:spacing w:after="0" w:line="149" w:lineRule="exact"/>
              <w:rPr>
                <w:sz w:val="20"/>
                <w:szCs w:val="20"/>
                <w:color w:val="auto"/>
              </w:rPr>
            </w:pPr>
            <w:r>
              <w:rPr>
                <w:rFonts w:ascii="Arial" w:cs="Arial" w:eastAsia="Arial" w:hAnsi="Arial"/>
                <w:sz w:val="14"/>
                <w:szCs w:val="14"/>
                <w:color w:val="auto"/>
                <w:w w:val="98"/>
              </w:rPr>
              <w:t>Pension</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91"/>
              </w:rPr>
              <w:t>postretirement</w:t>
            </w:r>
          </w:p>
        </w:tc>
      </w:tr>
      <w:tr>
        <w:trPr>
          <w:trHeight w:val="167"/>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benefits</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color w:val="auto"/>
                <w:w w:val="93"/>
              </w:rPr>
              <w:t>benefits</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40" w:type="dxa"/>
            <w:vAlign w:val="bottom"/>
            <w:gridSpan w:val="7"/>
          </w:tcPr>
          <w:p>
            <w:pPr>
              <w:jc w:val="center"/>
              <w:ind w:right="160"/>
              <w:spacing w:after="0" w:line="151" w:lineRule="exact"/>
              <w:rPr>
                <w:sz w:val="20"/>
                <w:szCs w:val="20"/>
                <w:color w:val="auto"/>
              </w:rPr>
            </w:pPr>
            <w:r>
              <w:rPr>
                <w:rFonts w:ascii="Arial" w:cs="Arial" w:eastAsia="Arial" w:hAnsi="Arial"/>
                <w:sz w:val="14"/>
                <w:szCs w:val="14"/>
                <w:color w:val="auto"/>
                <w:w w:val="90"/>
              </w:rPr>
              <w:t>Three months ended September 30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r>
      <w:tr>
        <w:trPr>
          <w:trHeight w:val="156"/>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5"/>
          </w:tcPr>
          <w:p>
            <w:pPr>
              <w:jc w:val="center"/>
              <w:ind w:right="620"/>
              <w:spacing w:after="0" w:line="155" w:lineRule="exact"/>
              <w:rPr>
                <w:sz w:val="20"/>
                <w:szCs w:val="20"/>
                <w:color w:val="auto"/>
              </w:rPr>
            </w:pPr>
            <w:r>
              <w:rPr>
                <w:rFonts w:ascii="Arial" w:cs="Arial" w:eastAsia="Arial" w:hAnsi="Arial"/>
                <w:sz w:val="14"/>
                <w:szCs w:val="14"/>
                <w:color w:val="auto"/>
                <w:w w:val="92"/>
              </w:rPr>
              <w:t>(in thousands)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20,853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17,754</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9"/>
                <w:szCs w:val="19"/>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(27,118)</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(23,527)</w:t>
            </w:r>
          </w:p>
        </w:tc>
        <w:tc>
          <w:tcPr>
            <w:tcW w:w="1240" w:type="dxa"/>
            <w:vAlign w:val="bottom"/>
            <w:gridSpan w:val="3"/>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(1,501)</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w:t>
            </w:r>
          </w:p>
        </w:tc>
        <w:tc>
          <w:tcPr>
            <w:tcW w:w="1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7,536</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11,207</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0"/>
        </w:trPr>
        <w:tc>
          <w:tcPr>
            <w:tcW w:w="4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3"/>
          </w:tcPr>
          <w:p>
            <w:pPr>
              <w:jc w:val="center"/>
              <w:ind w:left="517"/>
              <w:spacing w:after="0"/>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9"/>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560"/>
              <w:spacing w:after="0" w:line="149" w:lineRule="exact"/>
              <w:rPr>
                <w:sz w:val="20"/>
                <w:szCs w:val="20"/>
                <w:color w:val="auto"/>
              </w:rPr>
            </w:pPr>
            <w:r>
              <w:rPr>
                <w:rFonts w:ascii="Arial" w:cs="Arial" w:eastAsia="Arial" w:hAnsi="Arial"/>
                <w:sz w:val="14"/>
                <w:szCs w:val="14"/>
                <w:color w:val="auto"/>
                <w:w w:val="98"/>
              </w:rPr>
              <w:t>Pension</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91"/>
              </w:rPr>
              <w:t>postretirement</w:t>
            </w:r>
          </w:p>
        </w:tc>
      </w:tr>
      <w:tr>
        <w:trPr>
          <w:trHeight w:val="167"/>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benefits</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color w:val="auto"/>
                <w:w w:val="93"/>
              </w:rPr>
              <w:t>benefits</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40" w:type="dxa"/>
            <w:vAlign w:val="bottom"/>
            <w:gridSpan w:val="7"/>
          </w:tcPr>
          <w:p>
            <w:pPr>
              <w:jc w:val="center"/>
              <w:ind w:right="160"/>
              <w:spacing w:after="0" w:line="151" w:lineRule="exact"/>
              <w:rPr>
                <w:sz w:val="20"/>
                <w:szCs w:val="20"/>
                <w:color w:val="auto"/>
              </w:rPr>
            </w:pPr>
            <w:r>
              <w:rPr>
                <w:rFonts w:ascii="Arial" w:cs="Arial" w:eastAsia="Arial" w:hAnsi="Arial"/>
                <w:sz w:val="14"/>
                <w:szCs w:val="14"/>
                <w:color w:val="auto"/>
                <w:w w:val="91"/>
              </w:rPr>
              <w:t>Nine months ended September 30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r>
      <w:tr>
        <w:trPr>
          <w:trHeight w:val="156"/>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5"/>
          </w:tcPr>
          <w:p>
            <w:pPr>
              <w:jc w:val="center"/>
              <w:ind w:right="620"/>
              <w:spacing w:after="0" w:line="155" w:lineRule="exact"/>
              <w:rPr>
                <w:sz w:val="20"/>
                <w:szCs w:val="20"/>
                <w:color w:val="auto"/>
              </w:rPr>
            </w:pPr>
            <w:r>
              <w:rPr>
                <w:rFonts w:ascii="Arial" w:cs="Arial" w:eastAsia="Arial" w:hAnsi="Arial"/>
                <w:sz w:val="14"/>
                <w:szCs w:val="14"/>
                <w:color w:val="auto"/>
                <w:w w:val="92"/>
              </w:rPr>
              <w:t>(in thousands)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17,748</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62,558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53,261</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9"/>
                <w:szCs w:val="19"/>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(81,355)</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(70,578)</w:t>
            </w:r>
          </w:p>
        </w:tc>
        <w:tc>
          <w:tcPr>
            <w:tcW w:w="1240" w:type="dxa"/>
            <w:vAlign w:val="bottom"/>
            <w:gridSpan w:val="3"/>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(4,504)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w:t>
            </w:r>
          </w:p>
        </w:tc>
        <w:tc>
          <w:tcPr>
            <w:tcW w:w="1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22,609</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33,619</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20,169</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29,546</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$14,783,000 and $14,281,000 for the three months ended September 30, 2016 and 2015, respectively, and $47,747,000 and $44,377,000 for the nine months ended September 30, 2016 and 2015, respectively.</w:t>
      </w: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4"/>
                <w:szCs w:val="14"/>
                <w:color w:val="auto"/>
              </w:rPr>
              <w:t>Three months ended</w:t>
            </w:r>
          </w:p>
        </w:tc>
        <w:tc>
          <w:tcPr>
            <w:tcW w:w="2000" w:type="dxa"/>
            <w:vAlign w:val="bottom"/>
            <w:gridSpan w:val="4"/>
          </w:tcPr>
          <w:p>
            <w:pPr>
              <w:jc w:val="right"/>
              <w:ind w:right="520"/>
              <w:spacing w:after="0"/>
              <w:rPr>
                <w:sz w:val="20"/>
                <w:szCs w:val="20"/>
                <w:color w:val="auto"/>
              </w:rPr>
            </w:pPr>
            <w:r>
              <w:rPr>
                <w:rFonts w:ascii="Arial" w:cs="Arial" w:eastAsia="Arial" w:hAnsi="Arial"/>
                <w:sz w:val="14"/>
                <w:szCs w:val="14"/>
                <w:color w:val="auto"/>
              </w:rPr>
              <w:t>Nine months ended</w:t>
            </w:r>
          </w:p>
        </w:tc>
      </w:tr>
      <w:tr>
        <w:trPr>
          <w:trHeight w:val="162"/>
        </w:trPr>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860"/>
              <w:spacing w:after="0"/>
              <w:rPr>
                <w:sz w:val="20"/>
                <w:szCs w:val="20"/>
                <w:color w:val="auto"/>
              </w:rPr>
            </w:pPr>
            <w:r>
              <w:rPr>
                <w:rFonts w:ascii="Arial" w:cs="Arial" w:eastAsia="Arial" w:hAnsi="Arial"/>
                <w:sz w:val="14"/>
                <w:szCs w:val="14"/>
                <w:color w:val="auto"/>
              </w:rPr>
              <w:t>September 30</w:t>
            </w:r>
          </w:p>
        </w:tc>
        <w:tc>
          <w:tcPr>
            <w:tcW w:w="2000" w:type="dxa"/>
            <w:vAlign w:val="bottom"/>
            <w:gridSpan w:val="4"/>
          </w:tcPr>
          <w:p>
            <w:pPr>
              <w:jc w:val="right"/>
              <w:ind w:right="680"/>
              <w:spacing w:after="0"/>
              <w:rPr>
                <w:sz w:val="20"/>
                <w:szCs w:val="20"/>
                <w:color w:val="auto"/>
              </w:rPr>
            </w:pPr>
            <w:r>
              <w:rPr>
                <w:rFonts w:ascii="Arial" w:cs="Arial" w:eastAsia="Arial" w:hAnsi="Arial"/>
                <w:sz w:val="14"/>
                <w:szCs w:val="14"/>
                <w:color w:val="auto"/>
              </w:rPr>
              <w:t>September 30</w:t>
            </w:r>
          </w:p>
        </w:tc>
      </w:tr>
      <w:tr>
        <w:trPr>
          <w:trHeight w:val="167"/>
        </w:trPr>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gridSpan w:val="4"/>
          </w:tcPr>
          <w:p>
            <w:pPr>
              <w:jc w:val="right"/>
              <w:ind w:right="320"/>
              <w:spacing w:after="0" w:line="155" w:lineRule="exact"/>
              <w:rPr>
                <w:sz w:val="20"/>
                <w:szCs w:val="20"/>
                <w:color w:val="auto"/>
              </w:rPr>
            </w:pPr>
            <w:r>
              <w:rPr>
                <w:rFonts w:ascii="Arial" w:cs="Arial" w:eastAsia="Arial" w:hAnsi="Arial"/>
                <w:sz w:val="14"/>
                <w:szCs w:val="14"/>
                <w:color w:val="auto"/>
                <w:w w:val="90"/>
              </w:rPr>
              <w:t>(in thousands, except per share)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Income available to common shareholders: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349,984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280,401</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984,543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808,702</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Preferred stock dividends (a)</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(20,318)</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(20,318)</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(60,953)</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(60,953)</w:t>
            </w: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Net income available to common equity</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329,666</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260,083</w:t>
            </w: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923,590</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747,749</w:t>
            </w:r>
          </w:p>
        </w:tc>
        <w:tc>
          <w:tcPr>
            <w:tcW w:w="120" w:type="dxa"/>
            <w:vAlign w:val="bottom"/>
          </w:tcPr>
          <w:p>
            <w:pPr>
              <w:spacing w:after="0"/>
              <w:rPr>
                <w:sz w:val="19"/>
                <w:szCs w:val="19"/>
                <w:color w:val="auto"/>
              </w:rPr>
            </w:pPr>
          </w:p>
        </w:tc>
      </w:tr>
      <w:tr>
        <w:trPr>
          <w:trHeight w:val="215"/>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 compensation</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awards</w:t>
            </w: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(2,674)</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(2,746)</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(7,920)</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(8,122)</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6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326,992</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257,337</w:t>
            </w: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915,670</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739,627</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500" w:type="dxa"/>
            <w:vAlign w:val="bottom"/>
          </w:tcPr>
          <w:p>
            <w:pPr>
              <w:ind w:left="240"/>
              <w:spacing w:after="0"/>
              <w:rPr>
                <w:sz w:val="20"/>
                <w:szCs w:val="20"/>
                <w:color w:val="auto"/>
              </w:rPr>
            </w:pPr>
            <w:r>
              <w:rPr>
                <w:rFonts w:ascii="Arial" w:cs="Arial" w:eastAsia="Arial" w:hAnsi="Arial"/>
                <w:sz w:val="18"/>
                <w:szCs w:val="18"/>
                <w:color w:val="auto"/>
              </w:rPr>
              <w:t>Common shares outstanding (including common stock</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tcPr>
          <w:p>
            <w:pPr>
              <w:ind w:left="420"/>
              <w:spacing w:after="0"/>
              <w:rPr>
                <w:sz w:val="20"/>
                <w:szCs w:val="20"/>
                <w:color w:val="auto"/>
              </w:rPr>
            </w:pPr>
            <w:r>
              <w:rPr>
                <w:rFonts w:ascii="Arial" w:cs="Arial" w:eastAsia="Arial" w:hAnsi="Arial"/>
                <w:sz w:val="18"/>
                <w:szCs w:val="18"/>
                <w:color w:val="auto"/>
              </w:rPr>
              <w:t>issuable) and unvested stock-based compensation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500" w:type="dxa"/>
            <w:vAlign w:val="bottom"/>
          </w:tcPr>
          <w:p>
            <w:pPr>
              <w:ind w:left="420"/>
              <w:spacing w:after="0"/>
              <w:rPr>
                <w:sz w:val="20"/>
                <w:szCs w:val="20"/>
                <w:color w:val="auto"/>
              </w:rPr>
            </w:pPr>
            <w:r>
              <w:rPr>
                <w:rFonts w:ascii="Arial" w:cs="Arial" w:eastAsia="Arial" w:hAnsi="Arial"/>
                <w:sz w:val="18"/>
                <w:szCs w:val="18"/>
                <w:color w:val="auto"/>
              </w:rPr>
              <w:t>awards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156,767</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134,049</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158,710</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133,805</w:t>
            </w:r>
          </w:p>
        </w:tc>
        <w:tc>
          <w:tcPr>
            <w:tcW w:w="120" w:type="dxa"/>
            <w:vAlign w:val="bottom"/>
          </w:tcPr>
          <w:p>
            <w:pPr>
              <w:spacing w:after="0"/>
              <w:rPr>
                <w:sz w:val="20"/>
                <w:szCs w:val="20"/>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(1,274)</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(1,419)</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(1,374)</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(1,458)</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155,493</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132,630</w:t>
            </w: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157,336</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132,347</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impact of not as yet declared cumulative dividends.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4"/>
                <w:szCs w:val="14"/>
                <w:color w:val="auto"/>
              </w:rPr>
              <w:t>Three months ended</w:t>
            </w:r>
          </w:p>
        </w:tc>
        <w:tc>
          <w:tcPr>
            <w:tcW w:w="2000" w:type="dxa"/>
            <w:vAlign w:val="bottom"/>
            <w:gridSpan w:val="4"/>
          </w:tcPr>
          <w:p>
            <w:pPr>
              <w:jc w:val="right"/>
              <w:ind w:right="520"/>
              <w:spacing w:after="0"/>
              <w:rPr>
                <w:sz w:val="20"/>
                <w:szCs w:val="20"/>
                <w:color w:val="auto"/>
              </w:rPr>
            </w:pPr>
            <w:r>
              <w:rPr>
                <w:rFonts w:ascii="Arial" w:cs="Arial" w:eastAsia="Arial" w:hAnsi="Arial"/>
                <w:sz w:val="14"/>
                <w:szCs w:val="14"/>
                <w:color w:val="auto"/>
              </w:rPr>
              <w:t>Nine months ended</w:t>
            </w:r>
          </w:p>
        </w:tc>
      </w:tr>
      <w:tr>
        <w:trPr>
          <w:trHeight w:val="162"/>
        </w:trPr>
        <w:tc>
          <w:tcPr>
            <w:tcW w:w="5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860"/>
              <w:spacing w:after="0"/>
              <w:rPr>
                <w:sz w:val="20"/>
                <w:szCs w:val="20"/>
                <w:color w:val="auto"/>
              </w:rPr>
            </w:pPr>
            <w:r>
              <w:rPr>
                <w:rFonts w:ascii="Arial" w:cs="Arial" w:eastAsia="Arial" w:hAnsi="Arial"/>
                <w:sz w:val="14"/>
                <w:szCs w:val="14"/>
                <w:color w:val="auto"/>
              </w:rPr>
              <w:t>September 30</w:t>
            </w:r>
          </w:p>
        </w:tc>
        <w:tc>
          <w:tcPr>
            <w:tcW w:w="2000" w:type="dxa"/>
            <w:vAlign w:val="bottom"/>
            <w:gridSpan w:val="4"/>
          </w:tcPr>
          <w:p>
            <w:pPr>
              <w:jc w:val="right"/>
              <w:ind w:right="680"/>
              <w:spacing w:after="0"/>
              <w:rPr>
                <w:sz w:val="20"/>
                <w:szCs w:val="20"/>
                <w:color w:val="auto"/>
              </w:rPr>
            </w:pPr>
            <w:r>
              <w:rPr>
                <w:rFonts w:ascii="Arial" w:cs="Arial" w:eastAsia="Arial" w:hAnsi="Arial"/>
                <w:sz w:val="14"/>
                <w:szCs w:val="14"/>
                <w:color w:val="auto"/>
              </w:rPr>
              <w:t>September 30</w:t>
            </w:r>
          </w:p>
        </w:tc>
      </w:tr>
      <w:tr>
        <w:trPr>
          <w:trHeight w:val="167"/>
        </w:trPr>
        <w:tc>
          <w:tcPr>
            <w:tcW w:w="5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gridSpan w:val="4"/>
          </w:tcPr>
          <w:p>
            <w:pPr>
              <w:jc w:val="right"/>
              <w:ind w:right="320"/>
              <w:spacing w:after="0" w:line="155" w:lineRule="exact"/>
              <w:rPr>
                <w:sz w:val="20"/>
                <w:szCs w:val="20"/>
                <w:color w:val="auto"/>
              </w:rPr>
            </w:pPr>
            <w:r>
              <w:rPr>
                <w:rFonts w:ascii="Arial" w:cs="Arial" w:eastAsia="Arial" w:hAnsi="Arial"/>
                <w:sz w:val="14"/>
                <w:szCs w:val="14"/>
                <w:color w:val="auto"/>
                <w:w w:val="90"/>
              </w:rPr>
              <w:t>(in thousands, except per share)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available to common equity</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329,666</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260,083</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923,590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747,749</w:t>
            </w:r>
          </w:p>
        </w:tc>
        <w:tc>
          <w:tcPr>
            <w:tcW w:w="120" w:type="dxa"/>
            <w:vAlign w:val="bottom"/>
            <w:shd w:val="clear" w:color="auto" w:fill="CFF0FC"/>
          </w:tcPr>
          <w:p>
            <w:pPr>
              <w:spacing w:after="0"/>
              <w:rPr>
                <w:sz w:val="19"/>
                <w:szCs w:val="19"/>
                <w:color w:val="auto"/>
              </w:rPr>
            </w:pPr>
          </w:p>
        </w:tc>
      </w:tr>
      <w:tr>
        <w:trPr>
          <w:trHeight w:val="215"/>
        </w:trPr>
        <w:tc>
          <w:tcPr>
            <w:tcW w:w="5240" w:type="dxa"/>
            <w:vAlign w:val="bottom"/>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ind w:left="420"/>
              <w:spacing w:after="0"/>
              <w:rPr>
                <w:sz w:val="20"/>
                <w:szCs w:val="20"/>
                <w:color w:val="auto"/>
              </w:rPr>
            </w:pPr>
            <w:r>
              <w:rPr>
                <w:rFonts w:ascii="Arial" w:cs="Arial" w:eastAsia="Arial" w:hAnsi="Arial"/>
                <w:sz w:val="18"/>
                <w:szCs w:val="18"/>
                <w:color w:val="auto"/>
              </w:rPr>
              <w:t>compensation awards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(2,668)</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(2,737)</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(7,904)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(8,093)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326,998</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257,346</w:t>
            </w: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915,686</w:t>
            </w: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739,656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Adjusted weighted-average shares outstanding:</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and unvested stock-based compensation awards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156,767</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134,049</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158,710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133,805</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(1,274)</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(1,419)</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(1,374)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(1,458)</w:t>
            </w:r>
          </w:p>
        </w:tc>
      </w:tr>
      <w:tr>
        <w:trPr>
          <w:trHeight w:val="215"/>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Plus: Incremental shares from assumed conversion of</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stock-based compensation awards and warrants to</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2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purchase common stock</w:t>
            </w:r>
          </w:p>
        </w:tc>
        <w:tc>
          <w:tcPr>
            <w:tcW w:w="8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32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3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FF0FC"/>
          </w:tcPr>
          <w:p>
            <w:pPr>
              <w:spacing w:after="0"/>
              <w:rPr>
                <w:sz w:val="20"/>
                <w:szCs w:val="20"/>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Adjusted weighted-average shares outstanding</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156,026</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133,376</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157,843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133,089</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2.0 million and 1.5 million common shares during the three-month periods ended September 30, 2016 and 2015, respectively, and 2.5 million and 1.9 million common shares during the nine-month periods ended September 30, 2016 and 2015, respectively, were not included in the computations of diluted earnings per common share because the effect on those periods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Comprehensive income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displays the components of other comprehensive income (loss) and amounts reclassified from accumulated other comprehensive income (loss) to net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Defined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39"/>
              <w:spacing w:after="0"/>
              <w:rPr>
                <w:sz w:val="20"/>
                <w:szCs w:val="20"/>
                <w:color w:val="auto"/>
              </w:rPr>
            </w:pPr>
            <w:r>
              <w:rPr>
                <w:rFonts w:ascii="Arial" w:cs="Arial" w:eastAsia="Arial" w:hAnsi="Arial"/>
                <w:sz w:val="14"/>
                <w:szCs w:val="14"/>
                <w:color w:val="auto"/>
                <w:w w:val="89"/>
              </w:rPr>
              <w:t>Total</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288"/>
              <w:spacing w:after="0" w:line="159" w:lineRule="exact"/>
              <w:rPr>
                <w:sz w:val="20"/>
                <w:szCs w:val="20"/>
                <w:color w:val="auto"/>
              </w:rPr>
            </w:pPr>
            <w:r>
              <w:rPr>
                <w:rFonts w:ascii="Arial" w:cs="Arial" w:eastAsia="Arial" w:hAnsi="Arial"/>
                <w:sz w:val="14"/>
                <w:szCs w:val="14"/>
                <w:color w:val="auto"/>
              </w:rPr>
              <w:t>Investment securities</w:t>
            </w:r>
          </w:p>
        </w:tc>
        <w:tc>
          <w:tcPr>
            <w:tcW w:w="240" w:type="dxa"/>
            <w:vAlign w:val="bottom"/>
          </w:tcPr>
          <w:p>
            <w:pPr>
              <w:spacing w:after="0"/>
              <w:rPr>
                <w:sz w:val="13"/>
                <w:szCs w:val="13"/>
                <w:color w:val="auto"/>
              </w:rPr>
            </w:pPr>
          </w:p>
        </w:tc>
        <w:tc>
          <w:tcPr>
            <w:tcW w:w="7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0"/>
              </w:rPr>
              <w:t>benefit</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39"/>
              <w:spacing w:after="0" w:line="159" w:lineRule="exact"/>
              <w:rPr>
                <w:sz w:val="20"/>
                <w:szCs w:val="20"/>
                <w:color w:val="auto"/>
              </w:rPr>
            </w:pPr>
            <w:r>
              <w:rPr>
                <w:rFonts w:ascii="Arial" w:cs="Arial" w:eastAsia="Arial" w:hAnsi="Arial"/>
                <w:sz w:val="14"/>
                <w:szCs w:val="14"/>
                <w:color w:val="auto"/>
                <w:w w:val="85"/>
              </w:rPr>
              <w:t>amount</w:t>
            </w:r>
          </w:p>
        </w:tc>
        <w:tc>
          <w:tcPr>
            <w:tcW w:w="340" w:type="dxa"/>
            <w:vAlign w:val="bottom"/>
          </w:tcPr>
          <w:p>
            <w:pPr>
              <w:spacing w:after="0"/>
              <w:rPr>
                <w:sz w:val="13"/>
                <w:szCs w:val="13"/>
                <w:color w:val="auto"/>
              </w:rPr>
            </w:pPr>
          </w:p>
        </w:tc>
        <w:tc>
          <w:tcPr>
            <w:tcW w:w="92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spacing w:after="0" w:line="155" w:lineRule="exact"/>
              <w:rPr>
                <w:sz w:val="20"/>
                <w:szCs w:val="20"/>
                <w:color w:val="auto"/>
              </w:rPr>
            </w:pPr>
            <w:r>
              <w:rPr>
                <w:rFonts w:ascii="Arial" w:cs="Arial" w:eastAsia="Arial" w:hAnsi="Arial"/>
                <w:sz w:val="14"/>
                <w:szCs w:val="14"/>
                <w:color w:val="auto"/>
              </w:rPr>
              <w:t>With OTTI (a)</w:t>
            </w:r>
          </w:p>
        </w:tc>
        <w:tc>
          <w:tcPr>
            <w:tcW w:w="9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All other</w:t>
            </w:r>
          </w:p>
        </w:tc>
        <w:tc>
          <w:tcPr>
            <w:tcW w:w="760" w:type="dxa"/>
            <w:vAlign w:val="bottom"/>
            <w:gridSpan w:val="2"/>
          </w:tcPr>
          <w:p>
            <w:pPr>
              <w:jc w:val="center"/>
              <w:ind w:right="120"/>
              <w:spacing w:after="0" w:line="155" w:lineRule="exact"/>
              <w:rPr>
                <w:sz w:val="20"/>
                <w:szCs w:val="20"/>
                <w:color w:val="auto"/>
              </w:rPr>
            </w:pPr>
            <w:r>
              <w:rPr>
                <w:rFonts w:ascii="Arial" w:cs="Arial" w:eastAsia="Arial" w:hAnsi="Arial"/>
                <w:sz w:val="14"/>
                <w:szCs w:val="14"/>
                <w:color w:val="auto"/>
                <w:w w:val="83"/>
              </w:rPr>
              <w:t>plans</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3"/>
                <w:szCs w:val="13"/>
                <w:color w:val="auto"/>
              </w:rPr>
            </w:pPr>
          </w:p>
        </w:tc>
        <w:tc>
          <w:tcPr>
            <w:tcW w:w="760" w:type="dxa"/>
            <w:vAlign w:val="bottom"/>
            <w:gridSpan w:val="3"/>
          </w:tcPr>
          <w:p>
            <w:pPr>
              <w:jc w:val="center"/>
              <w:ind w:right="59"/>
              <w:spacing w:after="0" w:line="155" w:lineRule="exact"/>
              <w:rPr>
                <w:sz w:val="20"/>
                <w:szCs w:val="20"/>
                <w:color w:val="auto"/>
              </w:rPr>
            </w:pPr>
            <w:r>
              <w:rPr>
                <w:rFonts w:ascii="Arial" w:cs="Arial" w:eastAsia="Arial" w:hAnsi="Arial"/>
                <w:sz w:val="14"/>
                <w:szCs w:val="14"/>
                <w:color w:val="auto"/>
                <w:w w:val="86"/>
              </w:rPr>
              <w:t>before tax</w:t>
            </w:r>
          </w:p>
        </w:tc>
        <w:tc>
          <w:tcPr>
            <w:tcW w:w="340" w:type="dxa"/>
            <w:vAlign w:val="bottom"/>
          </w:tcPr>
          <w:p>
            <w:pPr>
              <w:spacing w:after="0"/>
              <w:rPr>
                <w:sz w:val="13"/>
                <w:szCs w:val="13"/>
                <w:color w:val="auto"/>
              </w:rPr>
            </w:pPr>
          </w:p>
        </w:tc>
        <w:tc>
          <w:tcPr>
            <w:tcW w:w="92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tax</w:t>
            </w:r>
          </w:p>
        </w:tc>
        <w:tc>
          <w:tcPr>
            <w:tcW w:w="120" w:type="dxa"/>
            <w:vAlign w:val="bottom"/>
          </w:tcPr>
          <w:p>
            <w:pPr>
              <w:spacing w:after="0"/>
              <w:rPr>
                <w:sz w:val="13"/>
                <w:szCs w:val="13"/>
                <w:color w:val="auto"/>
              </w:rPr>
            </w:pPr>
          </w:p>
        </w:tc>
        <w:tc>
          <w:tcPr>
            <w:tcW w:w="700" w:type="dxa"/>
            <w:vAlign w:val="bottom"/>
            <w:gridSpan w:val="2"/>
          </w:tcPr>
          <w:p>
            <w:pPr>
              <w:jc w:val="right"/>
              <w:ind w:right="339"/>
              <w:spacing w:after="0" w:line="155"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color w:val="auto"/>
                <w:w w:val="90"/>
              </w:rPr>
              <w:t>(in thousands)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Balance - January 1, 2016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16,359</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62,849</w:t>
            </w: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(489,660)</w:t>
            </w: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(4,093)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(414,545)</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162,918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(251,627)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Unrealized holding gains, net</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234,438</w:t>
            </w: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235,666</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(92,714)</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142,952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(2,836)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(2,836)</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Total other comprehensive income (loss) before</w:t>
            </w:r>
          </w:p>
        </w:tc>
        <w:tc>
          <w:tcPr>
            <w:tcW w:w="7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reclassifications</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234,438</w:t>
            </w: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(2,836)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232,830</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(91,725)</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141,105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900" w:type="dxa"/>
            <w:vAlign w:val="bottom"/>
            <w:gridSpan w:val="2"/>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7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40"/>
              <w:spacing w:after="0" w:line="149" w:lineRule="exact"/>
              <w:rPr>
                <w:sz w:val="20"/>
                <w:szCs w:val="20"/>
                <w:color w:val="auto"/>
              </w:rPr>
            </w:pPr>
            <w:r>
              <w:rPr>
                <w:rFonts w:ascii="Arial" w:cs="Arial" w:eastAsia="Arial" w:hAnsi="Arial"/>
                <w:sz w:val="14"/>
                <w:szCs w:val="14"/>
                <w:color w:val="auto"/>
              </w:rPr>
              <w:t>comprehensive income that (increase) decrease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Accretion of unrealized holding losses on</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held-to-maturity (“HTM”) securities</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2,998</w:t>
            </w: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2,998</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(1,180)</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ind w:left="240"/>
              <w:spacing w:after="0"/>
              <w:rPr>
                <w:sz w:val="20"/>
                <w:szCs w:val="20"/>
                <w:color w:val="auto"/>
              </w:rPr>
            </w:pPr>
            <w:r>
              <w:rPr>
                <w:rFonts w:ascii="Arial" w:cs="Arial" w:eastAsia="Arial" w:hAnsi="Arial"/>
                <w:sz w:val="14"/>
                <w:szCs w:val="14"/>
                <w:color w:val="auto"/>
              </w:rPr>
              <w:t>Gains realized in net income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(28,748)</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(28,748)</w:t>
            </w:r>
          </w:p>
        </w:tc>
        <w:tc>
          <w:tcPr>
            <w:tcW w:w="340" w:type="dxa"/>
            <w:vAlign w:val="bottom"/>
          </w:tcPr>
          <w:p>
            <w:pPr>
              <w:ind w:left="20"/>
              <w:spacing w:after="0"/>
              <w:rPr>
                <w:sz w:val="20"/>
                <w:szCs w:val="20"/>
                <w:color w:val="auto"/>
              </w:rPr>
            </w:pPr>
            <w:r>
              <w:rPr>
                <w:rFonts w:ascii="Arial" w:cs="Arial" w:eastAsia="Arial" w:hAnsi="Arial"/>
                <w:sz w:val="14"/>
                <w:szCs w:val="14"/>
                <w:color w:val="auto"/>
              </w:rPr>
              <w:t>(c)</w:t>
            </w:r>
          </w:p>
        </w:tc>
        <w:tc>
          <w:tcPr>
            <w:tcW w:w="680" w:type="dxa"/>
            <w:vAlign w:val="bottom"/>
          </w:tcPr>
          <w:p>
            <w:pPr>
              <w:jc w:val="right"/>
              <w:spacing w:after="0"/>
              <w:rPr>
                <w:sz w:val="20"/>
                <w:szCs w:val="20"/>
                <w:color w:val="auto"/>
              </w:rPr>
            </w:pPr>
            <w:r>
              <w:rPr>
                <w:rFonts w:ascii="Arial" w:cs="Arial" w:eastAsia="Arial" w:hAnsi="Arial"/>
                <w:sz w:val="14"/>
                <w:szCs w:val="14"/>
                <w:color w:val="auto"/>
              </w:rPr>
              <w:t>11,309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(17,439)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Accretion of net gain on terminated cash flow</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hedges</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ind w:left="240"/>
              <w:spacing w:after="0"/>
              <w:rPr>
                <w:sz w:val="20"/>
                <w:szCs w:val="20"/>
                <w:color w:val="auto"/>
              </w:rPr>
            </w:pPr>
            <w:r>
              <w:rPr>
                <w:rFonts w:ascii="Arial" w:cs="Arial" w:eastAsia="Arial" w:hAnsi="Arial"/>
                <w:sz w:val="14"/>
                <w:szCs w:val="14"/>
                <w:color w:val="auto"/>
              </w:rPr>
              <w:t>Amortization of prior service credit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(3,440)</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(3,440)</w:t>
            </w:r>
          </w:p>
        </w:tc>
        <w:tc>
          <w:tcPr>
            <w:tcW w:w="340" w:type="dxa"/>
            <w:vAlign w:val="bottom"/>
          </w:tcPr>
          <w:p>
            <w:pPr>
              <w:ind w:left="20"/>
              <w:spacing w:after="0"/>
              <w:rPr>
                <w:sz w:val="20"/>
                <w:szCs w:val="20"/>
                <w:color w:val="auto"/>
              </w:rPr>
            </w:pPr>
            <w:r>
              <w:rPr>
                <w:rFonts w:ascii="Arial" w:cs="Arial" w:eastAsia="Arial" w:hAnsi="Arial"/>
                <w:sz w:val="14"/>
                <w:szCs w:val="14"/>
                <w:color w:val="auto"/>
              </w:rPr>
              <w:t>(e)</w:t>
            </w:r>
          </w:p>
        </w:tc>
        <w:tc>
          <w:tcPr>
            <w:tcW w:w="680" w:type="dxa"/>
            <w:vAlign w:val="bottom"/>
          </w:tcPr>
          <w:p>
            <w:pPr>
              <w:jc w:val="right"/>
              <w:spacing w:after="0"/>
              <w:rPr>
                <w:sz w:val="20"/>
                <w:szCs w:val="20"/>
                <w:color w:val="auto"/>
              </w:rPr>
            </w:pPr>
            <w:r>
              <w:rPr>
                <w:rFonts w:ascii="Arial" w:cs="Arial" w:eastAsia="Arial" w:hAnsi="Arial"/>
                <w:sz w:val="14"/>
                <w:szCs w:val="14"/>
                <w:color w:val="auto"/>
              </w:rPr>
              <w:t>1,354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actuarial losses</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22,654</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(8,914)</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gridSpan w:val="2"/>
          </w:tcPr>
          <w:p>
            <w:pPr>
              <w:spacing w:after="0" w:line="155" w:lineRule="exact"/>
              <w:rPr>
                <w:sz w:val="20"/>
                <w:szCs w:val="20"/>
                <w:color w:val="auto"/>
              </w:rPr>
            </w:pPr>
            <w:r>
              <w:rPr>
                <w:rFonts w:ascii="Arial" w:cs="Arial" w:eastAsia="Arial" w:hAnsi="Arial"/>
                <w:sz w:val="14"/>
                <w:szCs w:val="14"/>
                <w:color w:val="auto"/>
              </w:rPr>
              <w:t>Total reclassifications</w:t>
            </w:r>
          </w:p>
        </w:tc>
        <w:tc>
          <w:tcPr>
            <w:tcW w:w="7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(25,750)</w:t>
            </w:r>
          </w:p>
        </w:tc>
        <w:tc>
          <w:tcPr>
            <w:tcW w:w="2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(6,652)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2,615</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gain (loss) during the period</w:t>
            </w:r>
          </w:p>
        </w:tc>
        <w:tc>
          <w:tcPr>
            <w:tcW w:w="7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1,228</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208,688</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19,214</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(2,952)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226,178</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(89,110)</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137,068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00" w:type="dxa"/>
            <w:vAlign w:val="bottom"/>
            <w:gridSpan w:val="2"/>
          </w:tcPr>
          <w:p>
            <w:pPr>
              <w:spacing w:after="0" w:line="155" w:lineRule="exact"/>
              <w:rPr>
                <w:sz w:val="20"/>
                <w:szCs w:val="20"/>
                <w:color w:val="auto"/>
              </w:rPr>
            </w:pPr>
            <w:r>
              <w:rPr>
                <w:rFonts w:ascii="Arial" w:cs="Arial" w:eastAsia="Arial" w:hAnsi="Arial"/>
                <w:sz w:val="14"/>
                <w:szCs w:val="14"/>
                <w:color w:val="auto"/>
              </w:rPr>
              <w:t>Balance - September 30, 2016</w:t>
            </w:r>
          </w:p>
        </w:tc>
        <w:tc>
          <w:tcPr>
            <w:tcW w:w="7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17,587</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271,537</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(470,446)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(188,367</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73,808</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(114,559</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960" w:type="dxa"/>
            <w:vAlign w:val="bottom"/>
            <w:gridSpan w:val="3"/>
          </w:tcPr>
          <w:p>
            <w:pPr>
              <w:spacing w:after="0"/>
              <w:rPr>
                <w:sz w:val="17"/>
                <w:szCs w:val="17"/>
                <w:color w:val="auto"/>
              </w:rPr>
            </w:pPr>
          </w:p>
        </w:tc>
        <w:tc>
          <w:tcPr>
            <w:tcW w:w="18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Balance - January 1, 2015</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7,438</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201,828</w:t>
            </w: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(503,027)</w:t>
            </w: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(4,082)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(297,843)</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116,849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(180,994)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Unrealized holding gains (losses), net</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9,699</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(11,139)</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(1,440)</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(735)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(735)</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Gains on cash flow hedges</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1,453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1,453</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900" w:type="dxa"/>
            <w:vAlign w:val="bottom"/>
            <w:gridSpan w:val="2"/>
          </w:tcPr>
          <w:p>
            <w:pPr>
              <w:spacing w:after="0" w:line="137" w:lineRule="exact"/>
              <w:rPr>
                <w:sz w:val="20"/>
                <w:szCs w:val="20"/>
                <w:color w:val="auto"/>
              </w:rPr>
            </w:pPr>
            <w:r>
              <w:rPr>
                <w:rFonts w:ascii="Arial" w:cs="Arial" w:eastAsia="Arial" w:hAnsi="Arial"/>
                <w:sz w:val="14"/>
                <w:szCs w:val="14"/>
                <w:color w:val="auto"/>
              </w:rPr>
              <w:t>Total other comprehensive income before</w:t>
            </w:r>
          </w:p>
        </w:tc>
        <w:tc>
          <w:tcPr>
            <w:tcW w:w="7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ind w:left="140"/>
              <w:spacing w:after="0"/>
              <w:rPr>
                <w:sz w:val="20"/>
                <w:szCs w:val="20"/>
                <w:color w:val="auto"/>
              </w:rPr>
            </w:pPr>
            <w:r>
              <w:rPr>
                <w:rFonts w:ascii="Arial" w:cs="Arial" w:eastAsia="Arial" w:hAnsi="Arial"/>
                <w:sz w:val="14"/>
                <w:szCs w:val="14"/>
                <w:color w:val="auto"/>
              </w:rPr>
              <w:t>reclassifications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9,699</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(11,139)</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(722)</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7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comprehensive income that (increase) decrease</w:t>
            </w: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tcPr>
          <w:p>
            <w:pPr>
              <w:ind w:left="240"/>
              <w:spacing w:after="0" w:line="143" w:lineRule="exact"/>
              <w:rPr>
                <w:sz w:val="20"/>
                <w:szCs w:val="20"/>
                <w:color w:val="auto"/>
              </w:rPr>
            </w:pPr>
            <w:r>
              <w:rPr>
                <w:rFonts w:ascii="Arial" w:cs="Arial" w:eastAsia="Arial" w:hAnsi="Arial"/>
                <w:sz w:val="14"/>
                <w:szCs w:val="14"/>
                <w:color w:val="auto"/>
              </w:rPr>
              <w:t>Accretion of unrealized holding losses 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ind w:left="380"/>
              <w:spacing w:after="0"/>
              <w:rPr>
                <w:sz w:val="20"/>
                <w:szCs w:val="20"/>
                <w:color w:val="auto"/>
              </w:rPr>
            </w:pPr>
            <w:r>
              <w:rPr>
                <w:rFonts w:ascii="Arial" w:cs="Arial" w:eastAsia="Arial" w:hAnsi="Arial"/>
                <w:sz w:val="14"/>
                <w:szCs w:val="14"/>
                <w:color w:val="auto"/>
              </w:rPr>
              <w:t>HTM securities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2,417</w:t>
            </w:r>
          </w:p>
        </w:tc>
        <w:tc>
          <w:tcPr>
            <w:tcW w:w="2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2,417</w:t>
            </w:r>
          </w:p>
        </w:tc>
        <w:tc>
          <w:tcPr>
            <w:tcW w:w="8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(b)</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Losses realized in net income</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tcPr>
          <w:p>
            <w:pPr>
              <w:ind w:left="240"/>
              <w:spacing w:after="0" w:line="143" w:lineRule="exact"/>
              <w:rPr>
                <w:sz w:val="20"/>
                <w:szCs w:val="20"/>
                <w:color w:val="auto"/>
              </w:rPr>
            </w:pPr>
            <w:r>
              <w:rPr>
                <w:rFonts w:ascii="Arial" w:cs="Arial" w:eastAsia="Arial" w:hAnsi="Arial"/>
                <w:sz w:val="14"/>
                <w:szCs w:val="14"/>
                <w:color w:val="auto"/>
              </w:rPr>
              <w:t>Accretion of net gain on terminated cash flow</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ind w:left="380"/>
              <w:spacing w:after="0"/>
              <w:rPr>
                <w:sz w:val="20"/>
                <w:szCs w:val="20"/>
                <w:color w:val="auto"/>
              </w:rPr>
            </w:pPr>
            <w:r>
              <w:rPr>
                <w:rFonts w:ascii="Arial" w:cs="Arial" w:eastAsia="Arial" w:hAnsi="Arial"/>
                <w:sz w:val="14"/>
                <w:szCs w:val="14"/>
                <w:color w:val="auto"/>
              </w:rPr>
              <w:t>hedges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340" w:type="dxa"/>
            <w:vAlign w:val="bottom"/>
          </w:tcPr>
          <w:p>
            <w:pPr>
              <w:ind w:left="20"/>
              <w:spacing w:after="0"/>
              <w:rPr>
                <w:sz w:val="20"/>
                <w:szCs w:val="20"/>
                <w:color w:val="auto"/>
              </w:rPr>
            </w:pPr>
            <w:r>
              <w:rPr>
                <w:rFonts w:ascii="Arial" w:cs="Arial" w:eastAsia="Arial" w:hAnsi="Arial"/>
                <w:sz w:val="14"/>
                <w:szCs w:val="14"/>
                <w:color w:val="auto"/>
              </w:rPr>
              <w:t>(d)</w:t>
            </w:r>
          </w:p>
        </w:tc>
        <w:tc>
          <w:tcPr>
            <w:tcW w:w="680" w:type="dxa"/>
            <w:vAlign w:val="bottom"/>
          </w:tcPr>
          <w:p>
            <w:pPr>
              <w:jc w:val="right"/>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prior service credit</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(5,523)</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(5,523)</w:t>
            </w:r>
          </w:p>
        </w:tc>
        <w:tc>
          <w:tcPr>
            <w:tcW w:w="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(3,164)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ind w:left="240"/>
              <w:spacing w:after="0"/>
              <w:rPr>
                <w:sz w:val="20"/>
                <w:szCs w:val="20"/>
                <w:color w:val="auto"/>
              </w:rPr>
            </w:pPr>
            <w:r>
              <w:rPr>
                <w:rFonts w:ascii="Arial" w:cs="Arial" w:eastAsia="Arial" w:hAnsi="Arial"/>
                <w:sz w:val="14"/>
                <w:szCs w:val="14"/>
                <w:color w:val="auto"/>
              </w:rPr>
              <w:t>Amortization of actuarial losses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33,698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33,698</w:t>
            </w:r>
          </w:p>
        </w:tc>
        <w:tc>
          <w:tcPr>
            <w:tcW w:w="8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(e)</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(14,368)</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19,330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reclassifications</w:t>
            </w:r>
          </w:p>
        </w:tc>
        <w:tc>
          <w:tcPr>
            <w:tcW w:w="7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2,525</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28,175</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30,598</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(12,953)</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17,645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00" w:type="dxa"/>
            <w:vAlign w:val="bottom"/>
            <w:gridSpan w:val="2"/>
          </w:tcPr>
          <w:p>
            <w:pPr>
              <w:spacing w:after="0" w:line="155" w:lineRule="exact"/>
              <w:rPr>
                <w:sz w:val="20"/>
                <w:szCs w:val="20"/>
                <w:color w:val="auto"/>
              </w:rPr>
            </w:pPr>
            <w:r>
              <w:rPr>
                <w:rFonts w:ascii="Arial" w:cs="Arial" w:eastAsia="Arial" w:hAnsi="Arial"/>
                <w:sz w:val="14"/>
                <w:szCs w:val="14"/>
                <w:color w:val="auto"/>
              </w:rPr>
              <w:t>Total gain (loss) during the period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9,699</w:t>
            </w: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(8,614)</w:t>
            </w:r>
          </w:p>
        </w:tc>
        <w:tc>
          <w:tcPr>
            <w:tcW w:w="2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28,175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29,876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(12,355)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17,521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September 30, 2015</w:t>
            </w:r>
          </w:p>
        </w:tc>
        <w:tc>
          <w:tcPr>
            <w:tcW w:w="7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17,137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193,214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(474,852)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(267,967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104,494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(163,473</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9" w:lineRule="exact"/>
        <w:rPr>
          <w:rFonts w:ascii="Arial" w:cs="Arial" w:eastAsia="Arial" w:hAnsi="Arial"/>
          <w:sz w:val="18"/>
          <w:szCs w:val="18"/>
          <w:i w:val="1"/>
          <w:iCs w:val="1"/>
          <w:color w:val="auto"/>
        </w:rPr>
      </w:pPr>
    </w:p>
    <w:p>
      <w:pPr>
        <w:ind w:left="520" w:hanging="512"/>
        <w:spacing w:after="0"/>
        <w:tabs>
          <w:tab w:leader="none" w:pos="5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9" w:lineRule="exact"/>
        <w:rPr>
          <w:rFonts w:ascii="Arial" w:cs="Arial" w:eastAsia="Arial" w:hAnsi="Arial"/>
          <w:sz w:val="18"/>
          <w:szCs w:val="18"/>
          <w:i w:val="1"/>
          <w:iCs w:val="1"/>
          <w:color w:val="auto"/>
        </w:rPr>
      </w:pPr>
    </w:p>
    <w:p>
      <w:pPr>
        <w:ind w:left="520" w:hanging="512"/>
        <w:spacing w:after="0"/>
        <w:tabs>
          <w:tab w:leader="none" w:pos="5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9" w:lineRule="exact"/>
        <w:rPr>
          <w:rFonts w:ascii="Arial" w:cs="Arial" w:eastAsia="Arial" w:hAnsi="Arial"/>
          <w:sz w:val="18"/>
          <w:szCs w:val="18"/>
          <w:i w:val="1"/>
          <w:iCs w:val="1"/>
          <w:color w:val="auto"/>
        </w:rPr>
      </w:pPr>
    </w:p>
    <w:p>
      <w:pPr>
        <w:ind w:left="520" w:hanging="512"/>
        <w:spacing w:after="0"/>
        <w:tabs>
          <w:tab w:leader="none" w:pos="5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10" w:lineRule="exact"/>
        <w:rPr>
          <w:rFonts w:ascii="Arial" w:cs="Arial" w:eastAsia="Arial" w:hAnsi="Arial"/>
          <w:sz w:val="18"/>
          <w:szCs w:val="18"/>
          <w:i w:val="1"/>
          <w:iCs w:val="1"/>
          <w:color w:val="auto"/>
        </w:rPr>
      </w:pPr>
    </w:p>
    <w:p>
      <w:pPr>
        <w:ind w:left="520"/>
        <w:spacing w:after="0"/>
        <w:rPr>
          <w:rFonts w:ascii="Arial" w:cs="Arial" w:eastAsia="Arial" w:hAnsi="Arial"/>
          <w:sz w:val="18"/>
          <w:szCs w:val="18"/>
          <w:i w:val="1"/>
          <w:iCs w:val="1"/>
          <w:color w:val="auto"/>
        </w:rPr>
      </w:pPr>
      <w:r>
        <w:rPr>
          <w:rFonts w:ascii="Arial" w:cs="Arial" w:eastAsia="Arial" w:hAnsi="Arial"/>
          <w:sz w:val="18"/>
          <w:szCs w:val="18"/>
          <w:color w:val="auto"/>
        </w:rPr>
        <w:t>Accumulated other comprehensive income (loss),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86"/>
              </w:rPr>
              <w:t>Defined</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5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389"/>
              <w:spacing w:after="0" w:line="159" w:lineRule="exact"/>
              <w:rPr>
                <w:sz w:val="20"/>
                <w:szCs w:val="20"/>
                <w:color w:val="auto"/>
              </w:rPr>
            </w:pPr>
            <w:r>
              <w:rPr>
                <w:rFonts w:ascii="Arial" w:cs="Arial" w:eastAsia="Arial" w:hAnsi="Arial"/>
                <w:sz w:val="14"/>
                <w:szCs w:val="14"/>
                <w:color w:val="auto"/>
              </w:rPr>
              <w:t>Investment securities</w:t>
            </w:r>
          </w:p>
        </w:tc>
        <w:tc>
          <w:tcPr>
            <w:tcW w:w="300" w:type="dxa"/>
            <w:vAlign w:val="bottom"/>
          </w:tcPr>
          <w:p>
            <w:pPr>
              <w:spacing w:after="0"/>
              <w:rPr>
                <w:sz w:val="13"/>
                <w:szCs w:val="13"/>
                <w:color w:val="auto"/>
              </w:rPr>
            </w:pPr>
          </w:p>
        </w:tc>
        <w:tc>
          <w:tcPr>
            <w:tcW w:w="118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0"/>
              </w:rPr>
              <w:t>benefit</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With OTTI</w:t>
            </w:r>
          </w:p>
        </w:tc>
        <w:tc>
          <w:tcPr>
            <w:tcW w:w="118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All other</w:t>
            </w:r>
          </w:p>
        </w:tc>
        <w:tc>
          <w:tcPr>
            <w:tcW w:w="118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89"/>
              </w:rPr>
              <w:t>plans</w:t>
            </w:r>
          </w:p>
        </w:tc>
        <w:tc>
          <w:tcPr>
            <w:tcW w:w="104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Total</w:t>
            </w:r>
          </w:p>
        </w:tc>
      </w:tr>
      <w:tr>
        <w:trPr>
          <w:trHeight w:val="156"/>
        </w:trPr>
        <w:tc>
          <w:tcPr>
            <w:tcW w:w="57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color w:val="auto"/>
                <w:w w:val="85"/>
              </w:rPr>
              <w:t>(in thousands)</w:t>
            </w:r>
          </w:p>
        </w:tc>
        <w:tc>
          <w:tcPr>
            <w:tcW w:w="8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2015</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9,921</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38,166</w:t>
            </w: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(296,979)</w:t>
            </w:r>
          </w:p>
        </w:tc>
        <w:tc>
          <w:tcPr>
            <w:tcW w:w="1040" w:type="dxa"/>
            <w:vAlign w:val="bottom"/>
            <w:gridSpan w:val="2"/>
            <w:shd w:val="clear" w:color="auto" w:fill="CFF0FC"/>
          </w:tcPr>
          <w:p>
            <w:pPr>
              <w:ind w:left="480"/>
              <w:spacing w:after="0"/>
              <w:rPr>
                <w:sz w:val="20"/>
                <w:szCs w:val="20"/>
                <w:color w:val="auto"/>
              </w:rPr>
            </w:pPr>
            <w:r>
              <w:rPr>
                <w:rFonts w:ascii="Arial" w:cs="Arial" w:eastAsia="Arial" w:hAnsi="Arial"/>
                <w:sz w:val="14"/>
                <w:szCs w:val="14"/>
                <w:color w:val="auto"/>
              </w:rPr>
              <w:t>(2,735)</w:t>
            </w:r>
          </w:p>
        </w:tc>
        <w:tc>
          <w:tcPr>
            <w:tcW w:w="3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(251,627)</w:t>
            </w:r>
          </w:p>
        </w:tc>
      </w:tr>
      <w:tr>
        <w:trPr>
          <w:trHeight w:val="162"/>
        </w:trPr>
        <w:tc>
          <w:tcPr>
            <w:tcW w:w="5740" w:type="dxa"/>
            <w:vAlign w:val="bottom"/>
          </w:tcPr>
          <w:p>
            <w:pPr>
              <w:spacing w:after="0"/>
              <w:rPr>
                <w:sz w:val="20"/>
                <w:szCs w:val="20"/>
                <w:color w:val="auto"/>
              </w:rPr>
            </w:pPr>
            <w:r>
              <w:rPr>
                <w:rFonts w:ascii="Arial" w:cs="Arial" w:eastAsia="Arial" w:hAnsi="Arial"/>
                <w:sz w:val="14"/>
                <w:szCs w:val="14"/>
                <w:color w:val="auto"/>
              </w:rPr>
              <w:t>Net gain (loss) during period</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745</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126,586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11,654</w:t>
            </w:r>
          </w:p>
        </w:tc>
        <w:tc>
          <w:tcPr>
            <w:tcW w:w="320" w:type="dxa"/>
            <w:vAlign w:val="bottom"/>
          </w:tcPr>
          <w:p>
            <w:pPr>
              <w:spacing w:after="0"/>
              <w:rPr>
                <w:sz w:val="14"/>
                <w:szCs w:val="14"/>
                <w:color w:val="auto"/>
              </w:rPr>
            </w:pPr>
          </w:p>
        </w:tc>
        <w:tc>
          <w:tcPr>
            <w:tcW w:w="1040" w:type="dxa"/>
            <w:vAlign w:val="bottom"/>
            <w:gridSpan w:val="2"/>
          </w:tcPr>
          <w:p>
            <w:pPr>
              <w:ind w:left="480"/>
              <w:spacing w:after="0"/>
              <w:rPr>
                <w:sz w:val="20"/>
                <w:szCs w:val="20"/>
                <w:color w:val="auto"/>
              </w:rPr>
            </w:pPr>
            <w:r>
              <w:rPr>
                <w:rFonts w:ascii="Arial" w:cs="Arial" w:eastAsia="Arial" w:hAnsi="Arial"/>
                <w:sz w:val="14"/>
                <w:szCs w:val="14"/>
                <w:color w:val="auto"/>
              </w:rPr>
              <w:t>(1,917)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137,068</w:t>
            </w:r>
          </w:p>
        </w:tc>
        <w:tc>
          <w:tcPr>
            <w:tcW w:w="100" w:type="dxa"/>
            <w:vAlign w:val="bottom"/>
          </w:tcPr>
          <w:p>
            <w:pPr>
              <w:spacing w:after="0"/>
              <w:rPr>
                <w:sz w:val="14"/>
                <w:szCs w:val="14"/>
                <w:color w:val="auto"/>
              </w:rPr>
            </w:pPr>
          </w:p>
        </w:tc>
      </w:tr>
      <w:tr>
        <w:trPr>
          <w:trHeight w:val="156"/>
        </w:trPr>
        <w:tc>
          <w:tcPr>
            <w:tcW w:w="57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September 30, 2016</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10,666</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164,752</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(285,325)</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ind w:left="480"/>
              <w:spacing w:after="0" w:line="155" w:lineRule="exact"/>
              <w:rPr>
                <w:sz w:val="20"/>
                <w:szCs w:val="20"/>
                <w:color w:val="auto"/>
              </w:rPr>
            </w:pPr>
            <w:r>
              <w:rPr>
                <w:rFonts w:ascii="Arial" w:cs="Arial" w:eastAsia="Arial" w:hAnsi="Arial"/>
                <w:sz w:val="14"/>
                <w:szCs w:val="14"/>
                <w:color w:val="auto"/>
                <w:w w:val="81"/>
              </w:rPr>
              <w:t>(4,652)</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(114,559)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Derivative financial instruments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was not material as of September 30, 2016.</w:t>
      </w:r>
    </w:p>
    <w:p>
      <w:pPr>
        <w:spacing w:after="0" w:line="193"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The net effect of interest rate swap agreements was to increase net interest income by $9 million and $11 million for the three-month periods ended September 30, 2016 and 2015, respectively, and $30 million and $33 million for the nine-month periods ended September 30, 2016 and 2015, respectively.</w:t>
      </w:r>
    </w:p>
    <w:p>
      <w:pPr>
        <w:spacing w:after="0" w:line="12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center"/>
              <w:ind w:left="641"/>
              <w:spacing w:after="0"/>
              <w:rPr>
                <w:sz w:val="20"/>
                <w:szCs w:val="20"/>
                <w:color w:val="auto"/>
              </w:rPr>
            </w:pPr>
            <w:r>
              <w:rPr>
                <w:rFonts w:ascii="Arial" w:cs="Arial" w:eastAsia="Arial" w:hAnsi="Arial"/>
                <w:sz w:val="14"/>
                <w:szCs w:val="14"/>
                <w:color w:val="auto"/>
                <w:w w:val="93"/>
              </w:rPr>
              <w:t>Weighted-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color w:val="auto"/>
              </w:rPr>
              <w:t>Notional</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Average</w:t>
            </w:r>
          </w:p>
        </w:tc>
        <w:tc>
          <w:tcPr>
            <w:tcW w:w="148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color w:val="auto"/>
                <w:w w:val="89"/>
              </w:rPr>
              <w:t>average rate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460"/>
              <w:spacing w:after="0" w:line="155" w:lineRule="exact"/>
              <w:rPr>
                <w:sz w:val="20"/>
                <w:szCs w:val="20"/>
                <w:color w:val="auto"/>
              </w:rPr>
            </w:pPr>
            <w:r>
              <w:rPr>
                <w:rFonts w:ascii="Arial" w:cs="Arial" w:eastAsia="Arial" w:hAnsi="Arial"/>
                <w:sz w:val="14"/>
                <w:szCs w:val="14"/>
                <w:color w:val="auto"/>
                <w:w w:val="89"/>
              </w:rPr>
              <w:t>amount</w:t>
            </w:r>
          </w:p>
        </w:tc>
        <w:tc>
          <w:tcPr>
            <w:tcW w:w="122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rPr>
              <w:t>maturity</w:t>
            </w:r>
          </w:p>
        </w:tc>
        <w:tc>
          <w:tcPr>
            <w:tcW w:w="1480" w:type="dxa"/>
            <w:vAlign w:val="bottom"/>
            <w:gridSpan w:val="3"/>
          </w:tcPr>
          <w:p>
            <w:pPr>
              <w:ind w:left="280"/>
              <w:spacing w:after="0" w:line="155" w:lineRule="exact"/>
              <w:rPr>
                <w:sz w:val="20"/>
                <w:szCs w:val="20"/>
                <w:color w:val="auto"/>
              </w:rPr>
            </w:pPr>
            <w:r>
              <w:rPr>
                <w:rFonts w:ascii="Arial" w:cs="Arial" w:eastAsia="Arial" w:hAnsi="Arial"/>
                <w:sz w:val="14"/>
                <w:szCs w:val="14"/>
                <w:color w:val="auto"/>
              </w:rPr>
              <w:t>Fixed</w:t>
            </w:r>
          </w:p>
        </w:tc>
        <w:tc>
          <w:tcPr>
            <w:tcW w:w="740" w:type="dxa"/>
            <w:vAlign w:val="bottom"/>
          </w:tcPr>
          <w:p>
            <w:pPr>
              <w:ind w:left="20"/>
              <w:spacing w:after="0" w:line="155" w:lineRule="exact"/>
              <w:rPr>
                <w:sz w:val="20"/>
                <w:szCs w:val="20"/>
                <w:color w:val="auto"/>
              </w:rPr>
            </w:pPr>
            <w:r>
              <w:rPr>
                <w:rFonts w:ascii="Arial" w:cs="Arial" w:eastAsia="Arial" w:hAnsi="Arial"/>
                <w:sz w:val="14"/>
                <w:szCs w:val="14"/>
                <w:color w:val="auto"/>
              </w:rPr>
              <w:t>Variable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2"/>
              </w:rPr>
              <w:t>(in thousands)</w:t>
            </w:r>
          </w:p>
        </w:tc>
        <w:tc>
          <w:tcPr>
            <w:tcW w:w="30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(in years)</w:t>
            </w:r>
          </w:p>
        </w:tc>
        <w:tc>
          <w:tcPr>
            <w:tcW w:w="3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2016</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Fair value hedges: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 (a)</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40"/>
              <w:spacing w:after="0"/>
              <w:rPr>
                <w:sz w:val="20"/>
                <w:szCs w:val="20"/>
                <w:color w:val="auto"/>
              </w:rPr>
            </w:pPr>
            <w:r>
              <w:rPr>
                <w:rFonts w:ascii="Arial" w:cs="Arial" w:eastAsia="Arial" w:hAnsi="Arial"/>
                <w:sz w:val="18"/>
                <w:szCs w:val="18"/>
                <w:color w:val="auto"/>
                <w:w w:val="89"/>
              </w:rPr>
              <w:t>1,400,000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December 31, 2015</w:t>
            </w:r>
          </w:p>
        </w:tc>
        <w:tc>
          <w:tcPr>
            <w:tcW w:w="1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Fair value hedges:</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Fixed rate long-term borrowings (a)</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0"/>
              <w:spacing w:after="0"/>
              <w:rPr>
                <w:sz w:val="20"/>
                <w:szCs w:val="20"/>
                <w:color w:val="auto"/>
              </w:rPr>
            </w:pPr>
            <w:r>
              <w:rPr>
                <w:rFonts w:ascii="Arial" w:cs="Arial" w:eastAsia="Arial" w:hAnsi="Arial"/>
                <w:sz w:val="18"/>
                <w:szCs w:val="18"/>
                <w:color w:val="auto"/>
                <w:w w:val="89"/>
              </w:rPr>
              <w:t>1,400,000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2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$21.2 billion and $18.4 billion at September 30, 2016 and December 31, 2015, respectively. The notional amounts of foreign currency and other option and futures contracts entered into for trading account purposes aggregated $891 million and $1.6 billion at September 30, 2016 and December 31, 2015,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3"/>
          </w:tcPr>
          <w:p>
            <w:pPr>
              <w:jc w:val="right"/>
              <w:ind w:right="454"/>
              <w:spacing w:after="0"/>
              <w:rPr>
                <w:sz w:val="20"/>
                <w:szCs w:val="20"/>
                <w:color w:val="auto"/>
              </w:rPr>
            </w:pPr>
            <w:r>
              <w:rPr>
                <w:rFonts w:ascii="Arial" w:cs="Arial" w:eastAsia="Arial" w:hAnsi="Arial"/>
                <w:sz w:val="14"/>
                <w:szCs w:val="14"/>
                <w:color w:val="auto"/>
              </w:rPr>
              <w:t>Asset derivatives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4"/>
          </w:tcPr>
          <w:p>
            <w:pPr>
              <w:ind w:left="140"/>
              <w:spacing w:after="0"/>
              <w:rPr>
                <w:sz w:val="20"/>
                <w:szCs w:val="20"/>
                <w:color w:val="auto"/>
              </w:rPr>
            </w:pPr>
            <w:r>
              <w:rPr>
                <w:rFonts w:ascii="Arial" w:cs="Arial" w:eastAsia="Arial" w:hAnsi="Arial"/>
                <w:sz w:val="14"/>
                <w:szCs w:val="14"/>
                <w:color w:val="auto"/>
              </w:rPr>
              <w:t>Liability derivatives</w:t>
            </w:r>
          </w:p>
        </w:tc>
      </w:tr>
      <w:tr>
        <w:trPr>
          <w:trHeight w:val="150"/>
        </w:trPr>
        <w:tc>
          <w:tcPr>
            <w:tcW w:w="5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right"/>
              <w:ind w:right="654"/>
              <w:spacing w:after="0" w:line="151" w:lineRule="exact"/>
              <w:rPr>
                <w:sz w:val="20"/>
                <w:szCs w:val="20"/>
                <w:color w:val="auto"/>
              </w:rPr>
            </w:pPr>
            <w:r>
              <w:rPr>
                <w:rFonts w:ascii="Arial" w:cs="Arial" w:eastAsia="Arial" w:hAnsi="Arial"/>
                <w:sz w:val="14"/>
                <w:szCs w:val="14"/>
                <w:color w:val="auto"/>
              </w:rPr>
              <w:t>Fair value</w:t>
            </w: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653"/>
              <w:spacing w:after="0" w:line="151" w:lineRule="exact"/>
              <w:rPr>
                <w:sz w:val="20"/>
                <w:szCs w:val="20"/>
                <w:color w:val="auto"/>
              </w:rPr>
            </w:pPr>
            <w:r>
              <w:rPr>
                <w:rFonts w:ascii="Arial" w:cs="Arial" w:eastAsia="Arial" w:hAnsi="Arial"/>
                <w:sz w:val="14"/>
                <w:szCs w:val="14"/>
                <w:color w:val="auto"/>
              </w:rPr>
              <w:t>Fair value</w:t>
            </w:r>
          </w:p>
        </w:tc>
        <w:tc>
          <w:tcPr>
            <w:tcW w:w="120" w:type="dxa"/>
            <w:vAlign w:val="bottom"/>
          </w:tcPr>
          <w:p>
            <w:pPr>
              <w:spacing w:after="0"/>
              <w:rPr>
                <w:sz w:val="13"/>
                <w:szCs w:val="13"/>
                <w:color w:val="auto"/>
              </w:rPr>
            </w:pPr>
          </w:p>
        </w:tc>
      </w:tr>
      <w:tr>
        <w:trPr>
          <w:trHeight w:val="149"/>
        </w:trPr>
        <w:tc>
          <w:tcPr>
            <w:tcW w:w="5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September 30,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w w:val="93"/>
              </w:rPr>
              <w:t>December 31,</w:t>
            </w:r>
          </w:p>
        </w:tc>
        <w:tc>
          <w:tcPr>
            <w:tcW w:w="2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September 30,</w:t>
            </w: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December 31,</w:t>
            </w:r>
          </w:p>
        </w:tc>
      </w:tr>
      <w:tr>
        <w:trPr>
          <w:trHeight w:val="167"/>
        </w:trPr>
        <w:tc>
          <w:tcPr>
            <w:tcW w:w="5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w w:val="89"/>
              </w:rPr>
              <w:t>2016</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6"/>
                <w:szCs w:val="16"/>
                <w:color w:val="auto"/>
              </w:rPr>
              <w:t>Fair value hedges: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52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Interest rate swap agreements (a)</w:t>
            </w:r>
          </w:p>
        </w:tc>
        <w:tc>
          <w:tcPr>
            <w:tcW w:w="8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21,060</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43,892</w:t>
            </w:r>
          </w:p>
        </w:tc>
        <w:tc>
          <w:tcPr>
            <w:tcW w:w="5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Commitments to sell real estate loans (a)</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45,736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FF0FC"/>
          </w:tcPr>
          <w:p>
            <w:pPr>
              <w:spacing w:after="0"/>
              <w:rPr>
                <w:sz w:val="19"/>
                <w:szCs w:val="19"/>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 for sale (a)</w:t>
            </w: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29,851</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FF0FC"/>
          </w:tcPr>
          <w:p>
            <w:pPr>
              <w:spacing w:after="0"/>
              <w:rPr>
                <w:sz w:val="20"/>
                <w:szCs w:val="20"/>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8,437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6"/>
                <w:szCs w:val="16"/>
                <w:color w:val="auto"/>
              </w:rPr>
              <w:t>Interest rate contracts (b)</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346,453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203,517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286,298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153,723</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Foreign exchange and other option and futures contracts (b)</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2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384,022</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222,901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301,201</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161,994</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405,464</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268,637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305,147</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color w:val="auto"/>
                <w:w w:val="98"/>
              </w:rPr>
              <w:t>Amount of gain (loss) recognized</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3"/>
          </w:tcPr>
          <w:p>
            <w:pPr>
              <w:ind w:left="340"/>
              <w:spacing w:after="0" w:line="137" w:lineRule="exact"/>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1"/>
                <w:szCs w:val="11"/>
                <w:color w:val="auto"/>
              </w:rPr>
            </w:pPr>
          </w:p>
        </w:tc>
        <w:tc>
          <w:tcPr>
            <w:tcW w:w="2080" w:type="dxa"/>
            <w:vAlign w:val="bottom"/>
            <w:gridSpan w:val="5"/>
          </w:tcPr>
          <w:p>
            <w:pPr>
              <w:jc w:val="center"/>
              <w:spacing w:after="0" w:line="137" w:lineRule="exact"/>
              <w:rPr>
                <w:sz w:val="20"/>
                <w:szCs w:val="20"/>
                <w:color w:val="auto"/>
              </w:rPr>
            </w:pPr>
            <w:r>
              <w:rPr>
                <w:rFonts w:ascii="Arial" w:cs="Arial" w:eastAsia="Arial" w:hAnsi="Arial"/>
                <w:sz w:val="14"/>
                <w:szCs w:val="14"/>
                <w:color w:val="auto"/>
                <w:w w:val="90"/>
              </w:rPr>
              <w:t>Three months ended September 30,</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ind w:left="360"/>
              <w:spacing w:after="0"/>
              <w:rPr>
                <w:sz w:val="20"/>
                <w:szCs w:val="20"/>
                <w:color w:val="auto"/>
              </w:rPr>
            </w:pPr>
            <w:r>
              <w:rPr>
                <w:rFonts w:ascii="Arial" w:cs="Arial" w:eastAsia="Arial" w:hAnsi="Arial"/>
                <w:sz w:val="14"/>
                <w:szCs w:val="14"/>
                <w:color w:val="auto"/>
              </w:rPr>
              <w:t>September 30, 2016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848"/>
              <w:spacing w:after="0"/>
              <w:rPr>
                <w:sz w:val="20"/>
                <w:szCs w:val="20"/>
                <w:color w:val="auto"/>
              </w:rPr>
            </w:pPr>
            <w:r>
              <w:rPr>
                <w:rFonts w:ascii="Arial" w:cs="Arial" w:eastAsia="Arial" w:hAnsi="Arial"/>
                <w:sz w:val="14"/>
                <w:szCs w:val="14"/>
                <w:color w:val="auto"/>
                <w:w w:val="83"/>
              </w:rPr>
              <w:t>2015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Derivative</w:t>
            </w:r>
          </w:p>
        </w:tc>
        <w:tc>
          <w:tcPr>
            <w:tcW w:w="900" w:type="dxa"/>
            <w:vAlign w:val="bottom"/>
          </w:tcPr>
          <w:p>
            <w:pPr>
              <w:jc w:val="right"/>
              <w:ind w:right="4"/>
              <w:spacing w:after="0"/>
              <w:rPr>
                <w:sz w:val="20"/>
                <w:szCs w:val="20"/>
                <w:color w:val="auto"/>
              </w:rPr>
            </w:pPr>
            <w:r>
              <w:rPr>
                <w:rFonts w:ascii="Arial" w:cs="Arial" w:eastAsia="Arial" w:hAnsi="Arial"/>
                <w:sz w:val="14"/>
                <w:szCs w:val="14"/>
                <w:color w:val="auto"/>
              </w:rPr>
              <w:t>Hedged item</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Derivative</w:t>
            </w:r>
          </w:p>
        </w:tc>
        <w:tc>
          <w:tcPr>
            <w:tcW w:w="2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Hedged item</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5"/>
          </w:tcPr>
          <w:p>
            <w:pPr>
              <w:jc w:val="right"/>
              <w:ind w:right="640"/>
              <w:spacing w:after="0" w:line="155"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 (a)</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(12,588)</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7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Interest rate contracts (b)</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4,822</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Foreign exchange and other option and futures contracts (b)</w:t>
            </w:r>
          </w:p>
        </w:tc>
        <w:tc>
          <w:tcPr>
            <w:tcW w:w="9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6,568</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color w:val="auto"/>
              </w:rPr>
              <w:t>- 31 -</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306"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color w:val="auto"/>
                <w:w w:val="98"/>
              </w:rPr>
              <w:t>Amount of gain (loss) recognized</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80" w:type="dxa"/>
            <w:vAlign w:val="bottom"/>
            <w:gridSpan w:val="6"/>
          </w:tcPr>
          <w:p>
            <w:pPr>
              <w:ind w:left="20"/>
              <w:spacing w:after="0" w:line="137" w:lineRule="exact"/>
              <w:rPr>
                <w:sz w:val="20"/>
                <w:szCs w:val="20"/>
                <w:color w:val="auto"/>
              </w:rPr>
            </w:pPr>
            <w:r>
              <w:rPr>
                <w:rFonts w:ascii="Arial" w:cs="Arial" w:eastAsia="Arial" w:hAnsi="Arial"/>
                <w:sz w:val="14"/>
                <w:szCs w:val="14"/>
                <w:color w:val="auto"/>
              </w:rPr>
              <w:t>Nine months ended September 30,</w:t>
            </w:r>
          </w:p>
        </w:tc>
        <w:tc>
          <w:tcPr>
            <w:tcW w:w="20" w:type="dxa"/>
            <w:vAlign w:val="bottom"/>
          </w:tcPr>
          <w:p>
            <w:pPr>
              <w:spacing w:after="0"/>
              <w:rPr>
                <w:sz w:val="11"/>
                <w:szCs w:val="11"/>
                <w:color w:val="auto"/>
              </w:rPr>
            </w:pPr>
          </w:p>
        </w:tc>
        <w:tc>
          <w:tcPr>
            <w:tcW w:w="2060" w:type="dxa"/>
            <w:vAlign w:val="bottom"/>
            <w:gridSpan w:val="5"/>
          </w:tcPr>
          <w:p>
            <w:pPr>
              <w:jc w:val="center"/>
              <w:spacing w:after="0" w:line="137" w:lineRule="exact"/>
              <w:rPr>
                <w:sz w:val="20"/>
                <w:szCs w:val="20"/>
                <w:color w:val="auto"/>
              </w:rPr>
            </w:pPr>
            <w:r>
              <w:rPr>
                <w:rFonts w:ascii="Arial" w:cs="Arial" w:eastAsia="Arial" w:hAnsi="Arial"/>
                <w:sz w:val="14"/>
                <w:szCs w:val="14"/>
                <w:color w:val="auto"/>
                <w:w w:val="91"/>
              </w:rPr>
              <w:t>Nine months ended 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right"/>
              <w:ind w:right="808"/>
              <w:spacing w:after="0"/>
              <w:rPr>
                <w:sz w:val="20"/>
                <w:szCs w:val="20"/>
                <w:color w:val="auto"/>
              </w:rPr>
            </w:pPr>
            <w:r>
              <w:rPr>
                <w:rFonts w:ascii="Arial" w:cs="Arial" w:eastAsia="Arial" w:hAnsi="Arial"/>
                <w:sz w:val="14"/>
                <w:szCs w:val="14"/>
                <w:color w:val="auto"/>
                <w:w w:val="89"/>
              </w:rPr>
              <w:t>2016</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848"/>
              <w:spacing w:after="0"/>
              <w:rPr>
                <w:sz w:val="20"/>
                <w:szCs w:val="20"/>
                <w:color w:val="auto"/>
              </w:rPr>
            </w:pPr>
            <w:r>
              <w:rPr>
                <w:rFonts w:ascii="Arial" w:cs="Arial" w:eastAsia="Arial" w:hAnsi="Arial"/>
                <w:sz w:val="14"/>
                <w:szCs w:val="14"/>
                <w:color w:val="auto"/>
                <w:w w:val="83"/>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Derivative</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Hedged item</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Derivative</w:t>
            </w:r>
          </w:p>
        </w:tc>
        <w:tc>
          <w:tcPr>
            <w:tcW w:w="2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Hedged item</w:t>
            </w: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6"/>
          </w:tcPr>
          <w:p>
            <w:pPr>
              <w:jc w:val="right"/>
              <w:ind w:right="640"/>
              <w:spacing w:after="0" w:line="155"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 (a)</w:t>
            </w:r>
          </w:p>
        </w:tc>
        <w:tc>
          <w:tcPr>
            <w:tcW w:w="660" w:type="dxa"/>
            <w:vAlign w:val="bottom"/>
            <w:gridSpan w:val="2"/>
            <w:shd w:val="clear" w:color="auto" w:fill="CFF0FC"/>
          </w:tcPr>
          <w:p>
            <w:pPr>
              <w:ind w:left="58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(22,832)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21,603</w:t>
            </w:r>
          </w:p>
        </w:tc>
        <w:tc>
          <w:tcPr>
            <w:tcW w:w="340" w:type="dxa"/>
            <w:vAlign w:val="bottom"/>
            <w:shd w:val="clear" w:color="auto" w:fill="CFF0FC"/>
          </w:tcPr>
          <w:p>
            <w:pPr>
              <w:spacing w:after="0"/>
              <w:rPr>
                <w:sz w:val="19"/>
                <w:szCs w:val="19"/>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(12,469)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Interest rate contracts (b)</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11,578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6,552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and other option and futures contracts (b)</w:t>
            </w:r>
          </w:p>
        </w:tc>
        <w:tc>
          <w:tcPr>
            <w:tcW w:w="5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5,415</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7,023</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1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Company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$38 million and $18 million at September 30, 2016 and December 31, 2015, respectively. Changes in unrealized gains and losses are included in mortgage banking revenues and, in general, are realized in subsequent periods as the related loans are sold and commitments satisfied.</w:t>
      </w:r>
    </w:p>
    <w:p>
      <w:pPr>
        <w:spacing w:after="0" w:line="16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The aggregate fair value of derivative financial instruments in a liability position, which are subject to enforceable master netting arrangements, was $85 million and $59 million at September 30, 2016 and December 31, 2015, respectively. After consideration of such netting arrangements, the net liability positions with counterparties aggregated $81 million and $55 million at September 30, 2016 and December 31, 2015, respectively. The Company was required to post collateral relating to those positions of $79 million and $52 million at September 30, 2016 and December 31, 2015,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September 30, 2016 was $19 million, for which the Company had posted collateral of $15 million in the normal course of business. If the credit risk-related contingent features had been triggered on September 30, 2016, the maximum amount of additional collateral the Company would have been required to post to counterparties was $4 million.</w:t>
      </w:r>
    </w:p>
    <w:p>
      <w:pPr>
        <w:spacing w:after="0" w:line="169"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aggregate fair value of derivative financial instruments in an asset position, which are subject to enforceable master netting arrangements, was $15 million and $23 million at September 30, 2016 and December 31, 2015, respectively. After consideration of such netting arrangements, the net asset positions with counterparties aggregated $11 million and $19 million at September 30, 2016 and December 31, 2015, respectively. Counterparties posted collateral relating to those positions of $11 million and $22 million at September 30, 2016 and December 31, 2015, respectively. Trading account interest rate swap agreements entered into with customers are subject to the Company’s credit risk standards and often contain collateral provisions.</w:t>
      </w:r>
    </w:p>
    <w:p>
      <w:pPr>
        <w:spacing w:after="0" w:line="1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additional collateral for contracts in a net liability position. The net fair values of derivative financial instruments cleared through clearinghouses at September 30, 2016 was a net liability position of $177 million and at December 31, 2015 was a net liability position of $50 million. Collateral posted with clearinghouses was $265 million and $99 million at September 30, 2016 and December 31, 2015,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GAAP, at December 31, 2015 the Company determined that it was the primary beneficiary of a residential mortgage loan securitization trust considering its role as servicer and its retained subordinated interests in the trust. As a result, the Company had included the one-to-four family residential mortgage loans that were included in the trust in its consolidated financial statements. In the first quarter of 2016, the securitization trust was terminated as the Company exercised its right to purchase the underlying mortgage loans pursuant to the clean-up call provisions of the trust. At December 31, 2015, the carrying values of the loans in the securitization trust was $81 million. The outstanding principal amount of mortgage-backed securities issued by the qualified special purpose trust that was held by parties unrelated to the Company at December 31, 2015 was $13 million.</w:t>
      </w:r>
    </w:p>
    <w:p>
      <w:pPr>
        <w:spacing w:after="0" w:line="16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September 30, 2016 and December 31, 2015, the Company included the junior subordinated debentures as “long-term borrowings” in its consolidated balance sheet and recognized $24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93"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The Company has invested as a limited partner in various partnerships that collectively had total assets of approximately $1.1 billion at each of September 30, 2016 and December 31, 2015.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$287 million, including $82 million of unfunded commitments, at September 30, 2016 and $295 million, including $78 million of unfunded commitments, at December 31, 2015. Contingent commitments to provide additional capital contributions to these partnerships were not material at September 30, 2016.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is amortized to income taxes in the consolidated statement of income as tax credits and other tax benefits resulting from deductible losses associated with the projects are received. The Company amortized $13 million and $34 million of its investments in qualified affordable housing projects to income tax expense during the three months and nine months ended September 30, 2016, respectively, and recognized $18 million and $46 million of tax credits and other tax benefits during those respective periods. Similarly, for the three months and nine months ended September 30, 2015, the Company amortized $10 million and $31 million, respectively, of its investments in qualified affordable housing projects to income tax expense, and recognized $15 million and $44 million of tax credits and other tax benefits during those respective periods.</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September 30, 2016.</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3"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17"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146" w:lineRule="exact"/>
        <w:rPr>
          <w:rFonts w:ascii="Arial" w:cs="Arial" w:eastAsia="Arial" w:hAnsi="Arial"/>
          <w:sz w:val="17"/>
          <w:szCs w:val="17"/>
          <w:color w:val="auto"/>
        </w:rPr>
      </w:pPr>
    </w:p>
    <w:p>
      <w:pPr>
        <w:ind w:left="5620" w:hanging="101"/>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21" w:lineRule="exact"/>
        <w:rPr>
          <w:rFonts w:ascii="Arial" w:cs="Arial" w:eastAsia="Arial" w:hAnsi="Arial"/>
          <w:sz w:val="18"/>
          <w:szCs w:val="18"/>
          <w:b w:val="1"/>
          <w:bCs w:val="1"/>
          <w:color w:val="auto"/>
        </w:rPr>
      </w:pPr>
    </w:p>
    <w:p>
      <w:pPr>
        <w:ind w:left="1040" w:hanging="519"/>
        <w:spacing w:after="0" w:line="308" w:lineRule="auto"/>
        <w:tabs>
          <w:tab w:leader="none" w:pos="10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4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Included in collateralized debt obligations at December 31, 2015 were securities backed by trust preferred securities issued by financial institutions and other entities. As disclosed in Note 3, in the third quarter of 2016 the Company sold substantially all of its collateralized debt obligations. The Company performed internal modeling to estimate the cash flows and fair value of its portfolio of securities backed by trust preferred securities at December 31, 2015.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4% to 10%, with a weighted-average of 8%, was used. Significant unobservable inputs used in the determination of estimated fair value of collateralized debt obligations are included in the accompanying table of significant unobservable inputs to Level 3 measurements. At December 31, 2015, the total amortized cost and fair value of securities backed by trust preferred securities issued by financial institutions and other entities were $28 million and $47 million, respectively. Privately issued mortgage-backed securities and securities backed by trust preferred securities issued by financial institutions and other entities constituted all of the available-for-sale investment securities classified as Level 3 valuations.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significant Level 3 fair value measurements. Internal pricing models used for significant valuation measurements have generally been subjected to validation procedures including testing of mathematical constructs, review of valuation methodology and significant assumptions used.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assets and liabilities at September 30, 2016 and December 31, 2015 measured at estimated fair value on a recurring basis: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Fair value</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40" w:type="dxa"/>
            <w:vAlign w:val="bottom"/>
            <w:gridSpan w:val="4"/>
          </w:tcPr>
          <w:p>
            <w:pPr>
              <w:ind w:left="960"/>
              <w:spacing w:after="0" w:line="149" w:lineRule="exact"/>
              <w:rPr>
                <w:sz w:val="20"/>
                <w:szCs w:val="20"/>
                <w:color w:val="auto"/>
              </w:rPr>
            </w:pPr>
            <w:r>
              <w:rPr>
                <w:rFonts w:ascii="Arial" w:cs="Arial" w:eastAsia="Arial" w:hAnsi="Arial"/>
                <w:sz w:val="14"/>
                <w:szCs w:val="14"/>
                <w:color w:val="auto"/>
              </w:rPr>
              <w:t>measurements at</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1"/>
              </w:rPr>
              <w:t>September 30,</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2"/>
              <w:spacing w:after="0"/>
              <w:rPr>
                <w:sz w:val="20"/>
                <w:szCs w:val="20"/>
                <w:color w:val="auto"/>
              </w:rPr>
            </w:pPr>
            <w:r>
              <w:rPr>
                <w:rFonts w:ascii="Arial" w:cs="Arial" w:eastAsia="Arial" w:hAnsi="Arial"/>
                <w:sz w:val="14"/>
                <w:szCs w:val="14"/>
                <w:color w:val="auto"/>
                <w:w w:val="89"/>
              </w:rPr>
              <w:t>2016</w:t>
            </w:r>
          </w:p>
        </w:tc>
        <w:tc>
          <w:tcPr>
            <w:tcW w:w="30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Level 1 (a)</w:t>
            </w:r>
          </w:p>
        </w:tc>
        <w:tc>
          <w:tcPr>
            <w:tcW w:w="1200" w:type="dxa"/>
            <w:vAlign w:val="bottom"/>
            <w:gridSpan w:val="2"/>
          </w:tcPr>
          <w:p>
            <w:pPr>
              <w:ind w:left="120"/>
              <w:spacing w:after="0"/>
              <w:rPr>
                <w:sz w:val="20"/>
                <w:szCs w:val="20"/>
                <w:color w:val="auto"/>
              </w:rPr>
            </w:pPr>
            <w:r>
              <w:rPr>
                <w:rFonts w:ascii="Arial" w:cs="Arial" w:eastAsia="Arial" w:hAnsi="Arial"/>
                <w:sz w:val="14"/>
                <w:szCs w:val="14"/>
                <w:color w:val="auto"/>
              </w:rPr>
              <w:t>Level 2 (a)</w:t>
            </w: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4"/>
          </w:tcPr>
          <w:p>
            <w:pPr>
              <w:ind w:left="620"/>
              <w:spacing w:after="0" w:line="155" w:lineRule="exact"/>
              <w:rPr>
                <w:sz w:val="20"/>
                <w:szCs w:val="20"/>
                <w:color w:val="auto"/>
              </w:rPr>
            </w:pPr>
            <w:r>
              <w:rPr>
                <w:rFonts w:ascii="Arial" w:cs="Arial" w:eastAsia="Arial" w:hAnsi="Arial"/>
                <w:sz w:val="14"/>
                <w:szCs w:val="14"/>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assets</w:t>
            </w:r>
          </w:p>
        </w:tc>
        <w:tc>
          <w:tcPr>
            <w:tcW w:w="108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488,588</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50,699</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437,889</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and federal agencies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726,401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726,401</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5,015</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5,015</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Mortgage-backed securities: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Government issued or guaranteed</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10,930,662</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10,930,662</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Privately issued</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Other debt securities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118,226</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118,226</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securities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82,212</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62,546</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19,666</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11,862,567</w:t>
            </w:r>
          </w:p>
        </w:tc>
        <w:tc>
          <w:tcPr>
            <w:tcW w:w="3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62,546</w:t>
            </w:r>
          </w:p>
        </w:tc>
        <w:tc>
          <w:tcPr>
            <w:tcW w:w="30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11,799,970</w:t>
            </w:r>
          </w:p>
        </w:tc>
        <w:tc>
          <w:tcPr>
            <w:tcW w:w="30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Real estate loans held for sale</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704,984</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704,984</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assets (b)</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51,919</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22,068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$ 13,108,058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113,245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12,964,911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Trading account liabilities</w:t>
            </w:r>
          </w:p>
        </w:tc>
        <w:tc>
          <w:tcPr>
            <w:tcW w:w="10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292,713</w:t>
            </w:r>
          </w:p>
        </w:tc>
        <w:tc>
          <w:tcPr>
            <w:tcW w:w="3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292,713</w:t>
            </w:r>
          </w:p>
        </w:tc>
        <w:tc>
          <w:tcPr>
            <w:tcW w:w="3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(b)</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9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305,147</w:t>
            </w: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305,096</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Fair value</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40" w:type="dxa"/>
            <w:vAlign w:val="bottom"/>
            <w:gridSpan w:val="4"/>
          </w:tcPr>
          <w:p>
            <w:pPr>
              <w:ind w:left="960"/>
              <w:spacing w:after="0" w:line="149" w:lineRule="exact"/>
              <w:rPr>
                <w:sz w:val="20"/>
                <w:szCs w:val="20"/>
                <w:color w:val="auto"/>
              </w:rPr>
            </w:pPr>
            <w:r>
              <w:rPr>
                <w:rFonts w:ascii="Arial" w:cs="Arial" w:eastAsia="Arial" w:hAnsi="Arial"/>
                <w:sz w:val="14"/>
                <w:szCs w:val="14"/>
                <w:color w:val="auto"/>
              </w:rPr>
              <w:t>measurements at</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0"/>
              </w:rPr>
              <w:t>December 31,</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2"/>
              <w:spacing w:after="0"/>
              <w:rPr>
                <w:sz w:val="20"/>
                <w:szCs w:val="20"/>
                <w:color w:val="auto"/>
              </w:rPr>
            </w:pPr>
            <w:r>
              <w:rPr>
                <w:rFonts w:ascii="Arial" w:cs="Arial" w:eastAsia="Arial" w:hAnsi="Arial"/>
                <w:sz w:val="14"/>
                <w:szCs w:val="14"/>
                <w:color w:val="auto"/>
                <w:w w:val="89"/>
              </w:rPr>
              <w:t>2015</w:t>
            </w:r>
          </w:p>
        </w:tc>
        <w:tc>
          <w:tcPr>
            <w:tcW w:w="30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Level 1(a)</w:t>
            </w: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Level 2(a)</w:t>
            </w: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4"/>
          </w:tcPr>
          <w:p>
            <w:pPr>
              <w:ind w:left="620"/>
              <w:spacing w:after="0" w:line="155" w:lineRule="exact"/>
              <w:rPr>
                <w:sz w:val="20"/>
                <w:szCs w:val="20"/>
                <w:color w:val="auto"/>
              </w:rPr>
            </w:pPr>
            <w:r>
              <w:rPr>
                <w:rFonts w:ascii="Arial" w:cs="Arial" w:eastAsia="Arial" w:hAnsi="Arial"/>
                <w:sz w:val="14"/>
                <w:szCs w:val="14"/>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assets</w:t>
            </w:r>
          </w:p>
        </w:tc>
        <w:tc>
          <w:tcPr>
            <w:tcW w:w="108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273,783</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56,763</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217,020</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and federal agencies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299,997</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299,997</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6,028</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6,028</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Mortgage-backed securities: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Government issued or guaranteed</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11,686,628</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11,686,628</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Privately issued</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Collateralized debt obligations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47,393</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118,880</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118,880</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83,671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65,178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18,493</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12,242,671</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65,178</w:t>
            </w:r>
          </w:p>
        </w:tc>
        <w:tc>
          <w:tcPr>
            <w:tcW w:w="3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12,130,026</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392,036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392,036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$ 12,965,041</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121,941</w:t>
            </w:r>
          </w:p>
        </w:tc>
        <w:tc>
          <w:tcPr>
            <w:tcW w:w="30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12,785,351</w:t>
            </w:r>
          </w:p>
        </w:tc>
        <w:tc>
          <w:tcPr>
            <w:tcW w:w="3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160,745</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160,745</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liabilities (b)</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1,905</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162,650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58" w:lineRule="auto"/>
        <w:tabs>
          <w:tab w:leader="none" w:pos="5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nine months ended September 30, 2016 and the year ended December 31, 2015.</w:t>
      </w:r>
    </w:p>
    <w:p>
      <w:pPr>
        <w:spacing w:after="0" w:line="1" w:lineRule="exact"/>
        <w:rPr>
          <w:rFonts w:ascii="Arial" w:cs="Arial" w:eastAsia="Arial" w:hAnsi="Arial"/>
          <w:sz w:val="18"/>
          <w:szCs w:val="18"/>
          <w:i w:val="1"/>
          <w:iCs w:val="1"/>
          <w:color w:val="auto"/>
        </w:rPr>
      </w:pPr>
    </w:p>
    <w:p>
      <w:pPr>
        <w:ind w:left="520" w:hanging="512"/>
        <w:spacing w:after="0" w:line="261" w:lineRule="auto"/>
        <w:tabs>
          <w:tab w:leader="none" w:pos="5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8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2016 were as follows: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4"/>
                <w:szCs w:val="14"/>
                <w:color w:val="auto"/>
                <w:w w:val="93"/>
              </w:rPr>
              <w:t>Investment securities available for sale</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Borders>
              <w:top w:val="single" w:sz="8" w:color="auto"/>
            </w:tcBorders>
            <w:gridSpan w:val="3"/>
          </w:tcPr>
          <w:p>
            <w:pPr>
              <w:jc w:val="center"/>
              <w:ind w:right="400"/>
              <w:spacing w:after="0" w:line="137" w:lineRule="exact"/>
              <w:rPr>
                <w:sz w:val="20"/>
                <w:szCs w:val="20"/>
                <w:color w:val="auto"/>
              </w:rPr>
            </w:pPr>
            <w:r>
              <w:rPr>
                <w:rFonts w:ascii="Arial" w:cs="Arial" w:eastAsia="Arial" w:hAnsi="Arial"/>
                <w:sz w:val="14"/>
                <w:szCs w:val="14"/>
                <w:color w:val="auto"/>
                <w:w w:val="93"/>
              </w:rPr>
              <w:t>Privately issued</w:t>
            </w:r>
          </w:p>
        </w:tc>
        <w:tc>
          <w:tcPr>
            <w:tcW w:w="9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mortgage-</w:t>
            </w: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75"/>
              <w:spacing w:after="0" w:line="149" w:lineRule="exact"/>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8"/>
              </w:rPr>
              <w:t>backed</w:t>
            </w:r>
          </w:p>
        </w:tc>
        <w:tc>
          <w:tcPr>
            <w:tcW w:w="14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Collateralized</w:t>
            </w:r>
          </w:p>
        </w:tc>
        <w:tc>
          <w:tcPr>
            <w:tcW w:w="980" w:type="dxa"/>
            <w:vAlign w:val="bottom"/>
          </w:tcPr>
          <w:p>
            <w:pPr>
              <w:jc w:val="right"/>
              <w:ind w:right="155"/>
              <w:spacing w:after="0" w:line="149" w:lineRule="exact"/>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color w:val="auto"/>
                <w:w w:val="94"/>
              </w:rPr>
              <w:t>securities</w:t>
            </w: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color w:val="auto"/>
                <w:w w:val="93"/>
              </w:rPr>
              <w:t>debt obligations</w:t>
            </w: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Balance - June 30, 2016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43,305</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21,383</w:t>
            </w:r>
          </w:p>
        </w:tc>
        <w:tc>
          <w:tcPr>
            <w:tcW w:w="3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Included in earnings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28,475</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45,534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(b)</w:t>
            </w: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(15,050) (c)</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(56,730)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Settlements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Transfers in and/or out of Level 3 (a)</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(37,117) (d)</w:t>
            </w:r>
          </w:p>
        </w:tc>
      </w:tr>
      <w:tr>
        <w:trPr>
          <w:trHeight w:val="263"/>
        </w:trPr>
        <w:tc>
          <w:tcPr>
            <w:tcW w:w="4360" w:type="dxa"/>
            <w:vAlign w:val="bottom"/>
            <w:gridSpan w:val="2"/>
          </w:tcPr>
          <w:p>
            <w:pPr>
              <w:spacing w:after="0"/>
              <w:rPr>
                <w:sz w:val="20"/>
                <w:szCs w:val="20"/>
                <w:color w:val="auto"/>
              </w:rPr>
            </w:pPr>
            <w:r>
              <w:rPr>
                <w:rFonts w:ascii="Arial" w:cs="Arial" w:eastAsia="Arial" w:hAnsi="Arial"/>
                <w:sz w:val="18"/>
                <w:szCs w:val="18"/>
                <w:color w:val="auto"/>
              </w:rPr>
              <w:t>Balance - September 30, 2016</w:t>
            </w:r>
          </w:p>
        </w:tc>
        <w:tc>
          <w:tcPr>
            <w:tcW w:w="7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29,800</w:t>
            </w:r>
          </w:p>
        </w:tc>
        <w:tc>
          <w:tcPr>
            <w:tcW w:w="320" w:type="dxa"/>
            <w:vAlign w:val="bottom"/>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Changes in unrealized gains included in earnings</w:t>
            </w:r>
          </w:p>
        </w:tc>
        <w:tc>
          <w:tcPr>
            <w:tcW w:w="7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related to assets still held at September 30, 2016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(b)</w:t>
            </w: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2015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4"/>
                <w:szCs w:val="14"/>
                <w:color w:val="auto"/>
                <w:w w:val="93"/>
              </w:rPr>
              <w:t>Investment securities available for sale</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tcBorders>
              <w:top w:val="single" w:sz="8" w:color="auto"/>
            </w:tcBorders>
            <w:gridSpan w:val="3"/>
          </w:tcPr>
          <w:p>
            <w:pPr>
              <w:jc w:val="center"/>
              <w:ind w:right="400"/>
              <w:spacing w:after="0" w:line="137" w:lineRule="exact"/>
              <w:rPr>
                <w:sz w:val="20"/>
                <w:szCs w:val="20"/>
                <w:color w:val="auto"/>
              </w:rPr>
            </w:pPr>
            <w:r>
              <w:rPr>
                <w:rFonts w:ascii="Arial" w:cs="Arial" w:eastAsia="Arial" w:hAnsi="Arial"/>
                <w:sz w:val="14"/>
                <w:szCs w:val="14"/>
                <w:color w:val="auto"/>
                <w:w w:val="93"/>
              </w:rPr>
              <w:t>Privately issued</w:t>
            </w:r>
          </w:p>
        </w:tc>
        <w:tc>
          <w:tcPr>
            <w:tcW w:w="9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mortgage-</w:t>
            </w: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75"/>
              <w:spacing w:after="0" w:line="149" w:lineRule="exact"/>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8"/>
              </w:rPr>
              <w:t>backed</w:t>
            </w:r>
          </w:p>
        </w:tc>
        <w:tc>
          <w:tcPr>
            <w:tcW w:w="14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Collateralized</w:t>
            </w:r>
          </w:p>
        </w:tc>
        <w:tc>
          <w:tcPr>
            <w:tcW w:w="980" w:type="dxa"/>
            <w:vAlign w:val="bottom"/>
          </w:tcPr>
          <w:p>
            <w:pPr>
              <w:jc w:val="right"/>
              <w:ind w:right="155"/>
              <w:spacing w:after="0" w:line="149" w:lineRule="exact"/>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color w:val="auto"/>
                <w:w w:val="94"/>
              </w:rPr>
              <w:t>securities</w:t>
            </w: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color w:val="auto"/>
                <w:w w:val="93"/>
              </w:rPr>
              <w:t>debt obligations</w:t>
            </w: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Balance - June 30, 2015</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50,483</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11,206</w:t>
            </w:r>
          </w:p>
        </w:tc>
        <w:tc>
          <w:tcPr>
            <w:tcW w:w="3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Included in earnings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(b)</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(472) (c)</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w:t>
            </w:r>
          </w:p>
        </w:tc>
        <w:tc>
          <w:tcPr>
            <w:tcW w:w="14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(135)</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(15,268) (d)</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2015</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49,876</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Changes in unrealized gains included in earnings</w:t>
            </w: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w w:val="97"/>
              </w:rPr>
              <w:t>related to assets still held at September 30, 2015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15,488</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color w:val="auto"/>
              </w:rPr>
              <w:t>- 37 -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2016 were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4"/>
                <w:szCs w:val="14"/>
                <w:color w:val="auto"/>
                <w:w w:val="93"/>
              </w:rPr>
              <w:t>Investment securities available for sale</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37"/>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Borders>
              <w:top w:val="single" w:sz="8" w:color="auto"/>
            </w:tcBorders>
            <w:gridSpan w:val="3"/>
          </w:tcPr>
          <w:p>
            <w:pPr>
              <w:jc w:val="center"/>
              <w:ind w:right="400"/>
              <w:spacing w:after="0" w:line="137" w:lineRule="exact"/>
              <w:rPr>
                <w:sz w:val="20"/>
                <w:szCs w:val="20"/>
                <w:color w:val="auto"/>
              </w:rPr>
            </w:pPr>
            <w:r>
              <w:rPr>
                <w:rFonts w:ascii="Arial" w:cs="Arial" w:eastAsia="Arial" w:hAnsi="Arial"/>
                <w:sz w:val="14"/>
                <w:szCs w:val="14"/>
                <w:color w:val="auto"/>
                <w:w w:val="93"/>
              </w:rPr>
              <w:t>Privately issued</w:t>
            </w:r>
          </w:p>
        </w:tc>
        <w:tc>
          <w:tcPr>
            <w:tcW w:w="9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mortgage-</w:t>
            </w: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75"/>
              <w:spacing w:after="0" w:line="149" w:lineRule="exact"/>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8"/>
              </w:rPr>
              <w:t>backed</w:t>
            </w:r>
          </w:p>
        </w:tc>
        <w:tc>
          <w:tcPr>
            <w:tcW w:w="14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Collateralized</w:t>
            </w:r>
          </w:p>
        </w:tc>
        <w:tc>
          <w:tcPr>
            <w:tcW w:w="980" w:type="dxa"/>
            <w:vAlign w:val="bottom"/>
          </w:tcPr>
          <w:p>
            <w:pPr>
              <w:jc w:val="right"/>
              <w:ind w:right="155"/>
              <w:spacing w:after="0" w:line="149" w:lineRule="exact"/>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color w:val="auto"/>
                <w:w w:val="94"/>
              </w:rPr>
              <w:t>securities</w:t>
            </w: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color w:val="auto"/>
                <w:w w:val="93"/>
              </w:rPr>
              <w:t>debt obligations</w:t>
            </w: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Balance – January 1, 2016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47,393</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3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Included in earnings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28,475</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104,862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(b)</w:t>
            </w: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(18,268) (c)</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(56,730)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Settlements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(870)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Transfers in and/or out of Level 3 (a)</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(84,941) (d)</w:t>
            </w:r>
          </w:p>
        </w:tc>
      </w:tr>
      <w:tr>
        <w:trPr>
          <w:trHeight w:val="263"/>
        </w:trPr>
        <w:tc>
          <w:tcPr>
            <w:tcW w:w="4360" w:type="dxa"/>
            <w:vAlign w:val="bottom"/>
            <w:gridSpan w:val="2"/>
          </w:tcPr>
          <w:p>
            <w:pPr>
              <w:spacing w:after="0"/>
              <w:rPr>
                <w:sz w:val="20"/>
                <w:szCs w:val="20"/>
                <w:color w:val="auto"/>
              </w:rPr>
            </w:pPr>
            <w:r>
              <w:rPr>
                <w:rFonts w:ascii="Arial" w:cs="Arial" w:eastAsia="Arial" w:hAnsi="Arial"/>
                <w:sz w:val="18"/>
                <w:szCs w:val="18"/>
                <w:color w:val="auto"/>
              </w:rPr>
              <w:t>Balance – September 30, 2016</w:t>
            </w:r>
          </w:p>
        </w:tc>
        <w:tc>
          <w:tcPr>
            <w:tcW w:w="7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29,800</w:t>
            </w:r>
          </w:p>
        </w:tc>
        <w:tc>
          <w:tcPr>
            <w:tcW w:w="320" w:type="dxa"/>
            <w:vAlign w:val="bottom"/>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Changes in unrealized gains included in earnings</w:t>
            </w:r>
          </w:p>
        </w:tc>
        <w:tc>
          <w:tcPr>
            <w:tcW w:w="7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related to assets still held at September 30, 2016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(b)</w:t>
            </w: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2015 were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auto"/>
                <w:w w:val="93"/>
              </w:rPr>
              <w:t>Investment securities available for sale</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Borders>
              <w:top w:val="single" w:sz="8" w:color="auto"/>
            </w:tcBorders>
            <w:gridSpan w:val="3"/>
          </w:tcPr>
          <w:p>
            <w:pPr>
              <w:jc w:val="center"/>
              <w:ind w:right="400"/>
              <w:spacing w:after="0" w:line="137" w:lineRule="exact"/>
              <w:rPr>
                <w:sz w:val="20"/>
                <w:szCs w:val="20"/>
                <w:color w:val="auto"/>
              </w:rPr>
            </w:pPr>
            <w:r>
              <w:rPr>
                <w:rFonts w:ascii="Arial" w:cs="Arial" w:eastAsia="Arial" w:hAnsi="Arial"/>
                <w:sz w:val="14"/>
                <w:szCs w:val="14"/>
                <w:color w:val="auto"/>
                <w:w w:val="93"/>
              </w:rPr>
              <w:t>Privately issued</w:t>
            </w:r>
          </w:p>
        </w:tc>
        <w:tc>
          <w:tcPr>
            <w:tcW w:w="9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mortgage-</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ind w:right="75"/>
              <w:spacing w:after="0" w:line="149" w:lineRule="exact"/>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8"/>
              </w:rPr>
              <w:t>backed</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Collateralized</w:t>
            </w:r>
          </w:p>
        </w:tc>
        <w:tc>
          <w:tcPr>
            <w:tcW w:w="380" w:type="dxa"/>
            <w:vAlign w:val="bottom"/>
          </w:tcPr>
          <w:p>
            <w:pPr>
              <w:spacing w:after="0"/>
              <w:rPr>
                <w:sz w:val="12"/>
                <w:szCs w:val="12"/>
                <w:color w:val="auto"/>
              </w:rPr>
            </w:pPr>
          </w:p>
        </w:tc>
        <w:tc>
          <w:tcPr>
            <w:tcW w:w="980" w:type="dxa"/>
            <w:vAlign w:val="bottom"/>
          </w:tcPr>
          <w:p>
            <w:pPr>
              <w:jc w:val="right"/>
              <w:ind w:right="155"/>
              <w:spacing w:after="0" w:line="149" w:lineRule="exact"/>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color w:val="auto"/>
                <w:w w:val="94"/>
              </w:rPr>
              <w:t>securities</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93"/>
              </w:rPr>
              <w:t>debt obligations</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Balance - January 1, 2015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50,316</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17,347</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Included in earnings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67,611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5,153</w:t>
            </w:r>
          </w:p>
        </w:tc>
        <w:tc>
          <w:tcPr>
            <w:tcW w:w="6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(c)</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(67,311)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2015</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49,876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related to assets still held at September 30, 2015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15,965</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66" w:lineRule="auto"/>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520" w:hanging="512"/>
        <w:spacing w:after="0"/>
        <w:tabs>
          <w:tab w:leader="none" w:pos="52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46" w:lineRule="exact"/>
        <w:rPr>
          <w:rFonts w:ascii="Arial" w:cs="Arial" w:eastAsia="Arial" w:hAnsi="Arial"/>
          <w:sz w:val="16"/>
          <w:szCs w:val="16"/>
          <w:i w:val="1"/>
          <w:iCs w:val="1"/>
          <w:color w:val="auto"/>
        </w:rPr>
      </w:pPr>
    </w:p>
    <w:p>
      <w:pPr>
        <w:ind w:left="520" w:hanging="512"/>
        <w:spacing w:after="0"/>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(losses) on investment securities in the consolidated statement of comprehensive income.</w:t>
      </w:r>
    </w:p>
    <w:p>
      <w:pPr>
        <w:spacing w:after="0" w:line="22" w:lineRule="exact"/>
        <w:rPr>
          <w:rFonts w:ascii="Arial" w:cs="Arial" w:eastAsia="Arial" w:hAnsi="Arial"/>
          <w:sz w:val="18"/>
          <w:szCs w:val="18"/>
          <w:i w:val="1"/>
          <w:iCs w:val="1"/>
          <w:color w:val="auto"/>
        </w:rPr>
      </w:pPr>
    </w:p>
    <w:p>
      <w:pPr>
        <w:ind w:left="520" w:hanging="512"/>
        <w:spacing w:after="0"/>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21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15% to 92% at September 30, 2016.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$249 million at September 30, 2016 ($144 million and $105 million of which were classified as Level 2 and Level 3, respectively), $210 million at December 31, 2015 ($106 million and $104 million of which were classified as Level 2 and Level 3, respectively) and $177 million at September 30, 2015 ($106 million and $71 million of which were classified as Level 2 and Level 3, respectively). Changes in fair value recognized for partial charge-offs of loans and loan impairment reserves on loans held by the Company on September 30, 2016 were decreases of $20 million and $42 million for the three-month and nine-month periods ended September 30, 2016, respectively. Changes in fair value recognized for partial charge-offs of loans and loan impairment reserves on loans held by the Company on September 30, 2015 were decreases of $11 million and $53 million for the three-month and nine-month periods ended September 30, 2015,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$53 million and $15 million at September 30, 2016 and September 30, 2015, respectively. Changes in fair value recognized for those foreclosed assets held by the Company were not material during the three-month and nine-month periods ended September 30,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quantitative information about significant unobservable inputs used in the fair value measurements for certain Level 3 assets and liabilities at September 30, 2016 and December 31, 2015:</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color w:val="auto"/>
                <w:w w:val="93"/>
              </w:rPr>
              <w:t>Fair value at</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Range</w:t>
            </w:r>
          </w:p>
        </w:tc>
      </w:tr>
      <w:tr>
        <w:trPr>
          <w:trHeight w:val="149"/>
        </w:trPr>
        <w:tc>
          <w:tcPr>
            <w:tcW w:w="2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89"/>
              </w:rPr>
              <w:t>September 30,</w:t>
            </w:r>
          </w:p>
        </w:tc>
        <w:tc>
          <w:tcPr>
            <w:tcW w:w="360" w:type="dxa"/>
            <w:vAlign w:val="bottom"/>
          </w:tcPr>
          <w:p>
            <w:pPr>
              <w:spacing w:after="0"/>
              <w:rPr>
                <w:sz w:val="12"/>
                <w:szCs w:val="12"/>
                <w:color w:val="auto"/>
              </w:rPr>
            </w:pPr>
          </w:p>
        </w:tc>
        <w:tc>
          <w:tcPr>
            <w:tcW w:w="1300" w:type="dxa"/>
            <w:vAlign w:val="bottom"/>
          </w:tcPr>
          <w:p>
            <w:pPr>
              <w:ind w:left="360"/>
              <w:spacing w:after="0" w:line="149" w:lineRule="exact"/>
              <w:rPr>
                <w:sz w:val="20"/>
                <w:szCs w:val="20"/>
                <w:color w:val="auto"/>
              </w:rPr>
            </w:pPr>
            <w:r>
              <w:rPr>
                <w:rFonts w:ascii="Arial" w:cs="Arial" w:eastAsia="Arial" w:hAnsi="Arial"/>
                <w:sz w:val="14"/>
                <w:szCs w:val="14"/>
                <w:color w:val="auto"/>
              </w:rPr>
              <w:t>Valuation</w:t>
            </w:r>
          </w:p>
        </w:tc>
        <w:tc>
          <w:tcPr>
            <w:tcW w:w="26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Unobservable</w:t>
            </w: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(weighted-</w:t>
            </w:r>
          </w:p>
        </w:tc>
      </w:tr>
      <w:tr>
        <w:trPr>
          <w:trHeight w:val="167"/>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81"/>
              <w:spacing w:after="0"/>
              <w:rPr>
                <w:sz w:val="20"/>
                <w:szCs w:val="20"/>
                <w:color w:val="auto"/>
              </w:rPr>
            </w:pPr>
            <w:r>
              <w:rPr>
                <w:rFonts w:ascii="Arial" w:cs="Arial" w:eastAsia="Arial" w:hAnsi="Arial"/>
                <w:sz w:val="14"/>
                <w:szCs w:val="14"/>
                <w:color w:val="auto"/>
                <w:w w:val="96"/>
              </w:rPr>
              <w:t>2016</w:t>
            </w:r>
          </w:p>
        </w:tc>
        <w:tc>
          <w:tcPr>
            <w:tcW w:w="36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Arial" w:cs="Arial" w:eastAsia="Arial" w:hAnsi="Arial"/>
                <w:sz w:val="14"/>
                <w:szCs w:val="14"/>
                <w:color w:val="auto"/>
              </w:rPr>
              <w:t>technique</w:t>
            </w:r>
          </w:p>
        </w:tc>
        <w:tc>
          <w:tcPr>
            <w:tcW w:w="26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input/assumptions</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average)</w:t>
            </w:r>
          </w:p>
        </w:tc>
      </w:tr>
      <w:tr>
        <w:trPr>
          <w:trHeight w:val="156"/>
        </w:trPr>
        <w:tc>
          <w:tcPr>
            <w:tcW w:w="2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81"/>
              <w:spacing w:after="0" w:line="155" w:lineRule="exact"/>
              <w:rPr>
                <w:sz w:val="20"/>
                <w:szCs w:val="20"/>
                <w:color w:val="auto"/>
              </w:rPr>
            </w:pPr>
            <w:r>
              <w:rPr>
                <w:rFonts w:ascii="Arial" w:cs="Arial" w:eastAsia="Arial" w:hAnsi="Arial"/>
                <w:sz w:val="14"/>
                <w:szCs w:val="14"/>
                <w:color w:val="auto"/>
                <w:w w:val="92"/>
              </w:rPr>
              <w:t>(in thousands)</w:t>
            </w:r>
          </w:p>
        </w:tc>
        <w:tc>
          <w:tcPr>
            <w:tcW w:w="36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354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2520" w:type="dxa"/>
            <w:vAlign w:val="bottom"/>
            <w:tcBorders>
              <w:top w:val="single" w:sz="8" w:color="auto"/>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1660" w:type="dxa"/>
            <w:vAlign w:val="bottom"/>
            <w:tcBorders>
              <w:top w:val="single" w:sz="8" w:color="CFF0FC"/>
            </w:tcBorders>
            <w:gridSpan w:val="2"/>
          </w:tcPr>
          <w:p>
            <w:pPr>
              <w:ind w:left="360"/>
              <w:spacing w:after="0"/>
              <w:rPr>
                <w:sz w:val="20"/>
                <w:szCs w:val="20"/>
                <w:color w:val="auto"/>
              </w:rPr>
            </w:pPr>
            <w:r>
              <w:rPr>
                <w:rFonts w:ascii="Arial" w:cs="Arial" w:eastAsia="Arial" w:hAnsi="Arial"/>
                <w:sz w:val="18"/>
                <w:szCs w:val="18"/>
                <w:color w:val="auto"/>
                <w:w w:val="92"/>
              </w:rPr>
              <w:t>Two independent</w:t>
            </w:r>
          </w:p>
        </w:tc>
        <w:tc>
          <w:tcPr>
            <w:tcW w:w="26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pricing</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Privately issued mortgage-backed securities</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quotes</w:t>
            </w:r>
          </w:p>
        </w:tc>
        <w:tc>
          <w:tcPr>
            <w:tcW w:w="260" w:type="dxa"/>
            <w:vAlign w:val="bottom"/>
          </w:tcPr>
          <w:p>
            <w:pPr>
              <w:spacing w:after="0"/>
              <w:rPr>
                <w:sz w:val="20"/>
                <w:szCs w:val="20"/>
                <w:color w:val="auto"/>
              </w:rPr>
            </w:pPr>
          </w:p>
        </w:tc>
        <w:tc>
          <w:tcPr>
            <w:tcW w:w="15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15"/>
        </w:trPr>
        <w:tc>
          <w:tcPr>
            <w:tcW w:w="2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Discounted</w:t>
            </w:r>
          </w:p>
        </w:tc>
        <w:tc>
          <w:tcPr>
            <w:tcW w:w="2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center"/>
              <w:ind w:right="380"/>
              <w:spacing w:after="0"/>
              <w:rPr>
                <w:sz w:val="20"/>
                <w:szCs w:val="20"/>
                <w:color w:val="auto"/>
              </w:rPr>
            </w:pPr>
            <w:r>
              <w:rPr>
                <w:rFonts w:ascii="Arial" w:cs="Arial" w:eastAsia="Arial" w:hAnsi="Arial"/>
                <w:sz w:val="18"/>
                <w:szCs w:val="18"/>
                <w:color w:val="auto"/>
                <w:w w:val="92"/>
              </w:rPr>
              <w:t>Commitment</w:t>
            </w: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29,800</w:t>
            </w:r>
          </w:p>
        </w:tc>
        <w:tc>
          <w:tcPr>
            <w:tcW w:w="16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cash flow</w:t>
            </w:r>
          </w:p>
        </w:tc>
        <w:tc>
          <w:tcPr>
            <w:tcW w:w="2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center"/>
              <w:ind w:right="360"/>
              <w:spacing w:after="0"/>
              <w:rPr>
                <w:sz w:val="20"/>
                <w:szCs w:val="20"/>
                <w:color w:val="auto"/>
              </w:rPr>
            </w:pPr>
            <w:r>
              <w:rPr>
                <w:rFonts w:ascii="Arial" w:cs="Arial" w:eastAsia="Arial" w:hAnsi="Arial"/>
                <w:sz w:val="18"/>
                <w:szCs w:val="18"/>
                <w:color w:val="auto"/>
                <w:w w:val="91"/>
              </w:rPr>
              <w:t>expirations</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0%-92% (26%)</w:t>
            </w:r>
          </w:p>
        </w:tc>
        <w:tc>
          <w:tcPr>
            <w:tcW w:w="120" w:type="dxa"/>
            <w:vAlign w:val="bottom"/>
            <w:shd w:val="clear" w:color="auto" w:fill="CFF0FC"/>
          </w:tcPr>
          <w:p>
            <w:pPr>
              <w:spacing w:after="0"/>
              <w:rPr>
                <w:sz w:val="20"/>
                <w:szCs w:val="20"/>
                <w:color w:val="auto"/>
              </w:rPr>
            </w:pPr>
          </w:p>
        </w:tc>
      </w:tr>
      <w:tr>
        <w:trPr>
          <w:trHeight w:val="576"/>
        </w:trPr>
        <w:tc>
          <w:tcPr>
            <w:tcW w:w="2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color w:val="auto"/>
                <w:w w:val="93"/>
              </w:rPr>
              <w:t>Fair value at</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Range</w:t>
            </w:r>
          </w:p>
        </w:tc>
      </w:tr>
      <w:tr>
        <w:trPr>
          <w:trHeight w:val="149"/>
        </w:trPr>
        <w:tc>
          <w:tcPr>
            <w:tcW w:w="2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3"/>
              </w:rPr>
              <w:t>December 31,</w:t>
            </w:r>
          </w:p>
        </w:tc>
        <w:tc>
          <w:tcPr>
            <w:tcW w:w="360" w:type="dxa"/>
            <w:vAlign w:val="bottom"/>
          </w:tcPr>
          <w:p>
            <w:pPr>
              <w:spacing w:after="0"/>
              <w:rPr>
                <w:sz w:val="12"/>
                <w:szCs w:val="12"/>
                <w:color w:val="auto"/>
              </w:rPr>
            </w:pPr>
          </w:p>
        </w:tc>
        <w:tc>
          <w:tcPr>
            <w:tcW w:w="1300" w:type="dxa"/>
            <w:vAlign w:val="bottom"/>
          </w:tcPr>
          <w:p>
            <w:pPr>
              <w:ind w:left="360"/>
              <w:spacing w:after="0" w:line="149" w:lineRule="exact"/>
              <w:rPr>
                <w:sz w:val="20"/>
                <w:szCs w:val="20"/>
                <w:color w:val="auto"/>
              </w:rPr>
            </w:pPr>
            <w:r>
              <w:rPr>
                <w:rFonts w:ascii="Arial" w:cs="Arial" w:eastAsia="Arial" w:hAnsi="Arial"/>
                <w:sz w:val="14"/>
                <w:szCs w:val="14"/>
                <w:color w:val="auto"/>
              </w:rPr>
              <w:t>Valuation</w:t>
            </w:r>
          </w:p>
        </w:tc>
        <w:tc>
          <w:tcPr>
            <w:tcW w:w="26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Unobservable</w:t>
            </w: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(weighted-</w:t>
            </w:r>
          </w:p>
        </w:tc>
      </w:tr>
      <w:tr>
        <w:trPr>
          <w:trHeight w:val="167"/>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81"/>
              <w:spacing w:after="0"/>
              <w:rPr>
                <w:sz w:val="20"/>
                <w:szCs w:val="20"/>
                <w:color w:val="auto"/>
              </w:rPr>
            </w:pPr>
            <w:r>
              <w:rPr>
                <w:rFonts w:ascii="Arial" w:cs="Arial" w:eastAsia="Arial" w:hAnsi="Arial"/>
                <w:sz w:val="14"/>
                <w:szCs w:val="14"/>
                <w:color w:val="auto"/>
                <w:w w:val="96"/>
              </w:rPr>
              <w:t>2015</w:t>
            </w:r>
          </w:p>
        </w:tc>
        <w:tc>
          <w:tcPr>
            <w:tcW w:w="36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Arial" w:cs="Arial" w:eastAsia="Arial" w:hAnsi="Arial"/>
                <w:sz w:val="14"/>
                <w:szCs w:val="14"/>
                <w:color w:val="auto"/>
              </w:rPr>
              <w:t>technique</w:t>
            </w:r>
          </w:p>
        </w:tc>
        <w:tc>
          <w:tcPr>
            <w:tcW w:w="26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input/assumptions</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average)</w:t>
            </w:r>
          </w:p>
        </w:tc>
      </w:tr>
      <w:tr>
        <w:trPr>
          <w:trHeight w:val="156"/>
        </w:trPr>
        <w:tc>
          <w:tcPr>
            <w:tcW w:w="2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81"/>
              <w:spacing w:after="0" w:line="155" w:lineRule="exact"/>
              <w:rPr>
                <w:sz w:val="20"/>
                <w:szCs w:val="20"/>
                <w:color w:val="auto"/>
              </w:rPr>
            </w:pPr>
            <w:r>
              <w:rPr>
                <w:rFonts w:ascii="Arial" w:cs="Arial" w:eastAsia="Arial" w:hAnsi="Arial"/>
                <w:sz w:val="14"/>
                <w:szCs w:val="14"/>
                <w:color w:val="auto"/>
                <w:w w:val="92"/>
              </w:rPr>
              <w:t>(in thousands)</w:t>
            </w:r>
          </w:p>
        </w:tc>
        <w:tc>
          <w:tcPr>
            <w:tcW w:w="36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354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2520" w:type="dxa"/>
            <w:vAlign w:val="bottom"/>
            <w:tcBorders>
              <w:top w:val="single" w:sz="8" w:color="auto"/>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1660" w:type="dxa"/>
            <w:vAlign w:val="bottom"/>
            <w:tcBorders>
              <w:top w:val="single" w:sz="8" w:color="CFF0FC"/>
            </w:tcBorders>
            <w:gridSpan w:val="2"/>
          </w:tcPr>
          <w:p>
            <w:pPr>
              <w:ind w:left="360"/>
              <w:spacing w:after="0"/>
              <w:rPr>
                <w:sz w:val="20"/>
                <w:szCs w:val="20"/>
                <w:color w:val="auto"/>
              </w:rPr>
            </w:pPr>
            <w:r>
              <w:rPr>
                <w:rFonts w:ascii="Arial" w:cs="Arial" w:eastAsia="Arial" w:hAnsi="Arial"/>
                <w:sz w:val="18"/>
                <w:szCs w:val="18"/>
                <w:color w:val="auto"/>
                <w:w w:val="92"/>
              </w:rPr>
              <w:t>Two independent</w:t>
            </w:r>
          </w:p>
        </w:tc>
        <w:tc>
          <w:tcPr>
            <w:tcW w:w="26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pricing</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Privately issued mortgage-backed securities</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quotes</w:t>
            </w:r>
          </w:p>
        </w:tc>
        <w:tc>
          <w:tcPr>
            <w:tcW w:w="260" w:type="dxa"/>
            <w:vAlign w:val="bottom"/>
          </w:tcPr>
          <w:p>
            <w:pPr>
              <w:spacing w:after="0"/>
              <w:rPr>
                <w:sz w:val="20"/>
                <w:szCs w:val="20"/>
                <w:color w:val="auto"/>
              </w:rPr>
            </w:pPr>
          </w:p>
        </w:tc>
        <w:tc>
          <w:tcPr>
            <w:tcW w:w="15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15"/>
        </w:trPr>
        <w:tc>
          <w:tcPr>
            <w:tcW w:w="2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Discounted</w:t>
            </w:r>
          </w:p>
        </w:tc>
        <w:tc>
          <w:tcPr>
            <w:tcW w:w="18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Probability</w:t>
            </w: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Collateralized debt obligations</w:t>
            </w: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47,393</w:t>
            </w:r>
          </w:p>
        </w:tc>
        <w:tc>
          <w:tcPr>
            <w:tcW w:w="16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cash flow</w:t>
            </w:r>
          </w:p>
        </w:tc>
        <w:tc>
          <w:tcPr>
            <w:tcW w:w="18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of default</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10%-56% (31%)</w:t>
            </w:r>
          </w:p>
        </w:tc>
        <w:tc>
          <w:tcPr>
            <w:tcW w:w="120" w:type="dxa"/>
            <w:vAlign w:val="bottom"/>
            <w:shd w:val="clear" w:color="auto" w:fill="CFF0FC"/>
          </w:tcPr>
          <w:p>
            <w:pPr>
              <w:spacing w:after="0"/>
              <w:rPr>
                <w:sz w:val="20"/>
                <w:szCs w:val="20"/>
                <w:color w:val="auto"/>
              </w:rPr>
            </w:pPr>
          </w:p>
        </w:tc>
      </w:tr>
      <w:tr>
        <w:trPr>
          <w:trHeight w:val="230"/>
        </w:trPr>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Loss severity</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Discounted</w:t>
            </w:r>
          </w:p>
        </w:tc>
        <w:tc>
          <w:tcPr>
            <w:tcW w:w="18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Commitment</w:t>
            </w: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16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cash flow</w:t>
            </w:r>
          </w:p>
        </w:tc>
        <w:tc>
          <w:tcPr>
            <w:tcW w:w="18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expirations</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0%-60% (39%)</w:t>
            </w:r>
          </w:p>
        </w:tc>
        <w:tc>
          <w:tcPr>
            <w:tcW w:w="12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increase (decrease) in the probability of default and loss severity for collateralized debt securities would generally result in a lower (higher) fair value measurement.</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1"/>
              </w:rPr>
              <w:t>September 30, 2016</w:t>
            </w: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120"/>
              <w:spacing w:after="0" w:line="137" w:lineRule="exact"/>
              <w:rPr>
                <w:sz w:val="20"/>
                <w:szCs w:val="20"/>
                <w:color w:val="auto"/>
              </w:rPr>
            </w:pPr>
            <w:r>
              <w:rPr>
                <w:rFonts w:ascii="Arial" w:cs="Arial" w:eastAsia="Arial" w:hAnsi="Arial"/>
                <w:sz w:val="14"/>
                <w:szCs w:val="14"/>
                <w:color w:val="auto"/>
              </w:rPr>
              <w:t>Carrying</w:t>
            </w:r>
          </w:p>
        </w:tc>
        <w:tc>
          <w:tcPr>
            <w:tcW w:w="1080" w:type="dxa"/>
            <w:vAlign w:val="bottom"/>
            <w:gridSpan w:val="2"/>
          </w:tcPr>
          <w:p>
            <w:pPr>
              <w:jc w:val="right"/>
              <w:ind w:right="300"/>
              <w:spacing w:after="0" w:line="137" w:lineRule="exact"/>
              <w:rPr>
                <w:sz w:val="20"/>
                <w:szCs w:val="20"/>
                <w:color w:val="auto"/>
              </w:rPr>
            </w:pPr>
            <w:r>
              <w:rPr>
                <w:rFonts w:ascii="Arial" w:cs="Arial" w:eastAsia="Arial" w:hAnsi="Arial"/>
                <w:sz w:val="14"/>
                <w:szCs w:val="14"/>
                <w:color w:val="auto"/>
              </w:rPr>
              <w:t>Estimated</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color w:val="auto"/>
              </w:rPr>
              <w:t>amount</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fair value</w:t>
            </w:r>
          </w:p>
        </w:tc>
        <w:tc>
          <w:tcPr>
            <w:tcW w:w="22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color w:val="auto"/>
              </w:rPr>
              <w:t>Level 2</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Level 3</w:t>
            </w:r>
          </w:p>
        </w:tc>
        <w:tc>
          <w:tcPr>
            <w:tcW w:w="2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80"/>
              <w:spacing w:after="0" w:line="155" w:lineRule="exact"/>
              <w:rPr>
                <w:sz w:val="20"/>
                <w:szCs w:val="20"/>
                <w:color w:val="auto"/>
              </w:rPr>
            </w:pPr>
            <w:r>
              <w:rPr>
                <w:rFonts w:ascii="Arial" w:cs="Arial" w:eastAsia="Arial" w:hAnsi="Arial"/>
                <w:sz w:val="14"/>
                <w:szCs w:val="14"/>
                <w:color w:val="auto"/>
                <w:w w:val="92"/>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1,332,202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1,332,202</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1,258,882</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73,320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10,777,636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10,777,636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10,777,636</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488,588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488,588</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50,699</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437,889</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14,733,574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14,779,721</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62,546</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14,591,141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21,917,163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21,563,190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21,563,190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32,078,762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31,944,341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290,347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31,653,994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23,584,420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23,780,993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4,607,044</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19,173,949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12,066,147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12,009,873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12,009,873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(976,121)</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28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88,670,371</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89,298,397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4,897,391</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84,401,006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311,414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311,414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311,414</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0"/>
              </w:rPr>
              <w:t>(33,127,627)</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(33,127,627)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(33,127,627)</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(53,065,030)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(53,065,030)</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(53,065,030)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0"/>
              </w:rPr>
              <w:t>(11,721,005)</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(11,829,119)</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(11,829,119)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(223,183)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(223,183)</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(223,183)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(213,846)</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(213,846)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(213,846)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(10,211,160)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(10,277,155)</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(10,277,155)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(76,230)</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(76,230)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(76,230)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(292,713)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(292,713)</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(292,713)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Commitments to originate real estate loans for sale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29,800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29,800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(11,375)</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(11,375)</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(11,375)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(124,499)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(124,499)</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(124,499)</w:t>
            </w:r>
          </w:p>
        </w:tc>
        <w:tc>
          <w:tcPr>
            <w:tcW w:w="20" w:type="dxa"/>
            <w:vAlign w:val="bottom"/>
          </w:tcPr>
          <w:p>
            <w:pPr>
              <w:spacing w:after="0"/>
              <w:rPr>
                <w:sz w:val="19"/>
                <w:szCs w:val="19"/>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rate risk management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21,060</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21,060</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32"/>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rPr>
              <w:t>- 41 -</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2"/>
              </w:rPr>
              <w:t>December 31, 2015</w:t>
            </w: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4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540"/>
              <w:spacing w:after="0" w:line="137" w:lineRule="exact"/>
              <w:rPr>
                <w:sz w:val="20"/>
                <w:szCs w:val="20"/>
                <w:color w:val="auto"/>
              </w:rPr>
            </w:pPr>
            <w:r>
              <w:rPr>
                <w:rFonts w:ascii="Arial" w:cs="Arial" w:eastAsia="Arial" w:hAnsi="Arial"/>
                <w:sz w:val="14"/>
                <w:szCs w:val="14"/>
                <w:color w:val="auto"/>
              </w:rPr>
              <w:t>Carrying</w:t>
            </w:r>
          </w:p>
        </w:tc>
        <w:tc>
          <w:tcPr>
            <w:tcW w:w="1140" w:type="dxa"/>
            <w:vAlign w:val="bottom"/>
            <w:gridSpan w:val="2"/>
          </w:tcPr>
          <w:p>
            <w:pPr>
              <w:jc w:val="right"/>
              <w:ind w:right="360"/>
              <w:spacing w:after="0" w:line="137" w:lineRule="exact"/>
              <w:rPr>
                <w:sz w:val="20"/>
                <w:szCs w:val="20"/>
                <w:color w:val="auto"/>
              </w:rPr>
            </w:pPr>
            <w:r>
              <w:rPr>
                <w:rFonts w:ascii="Arial" w:cs="Arial" w:eastAsia="Arial" w:hAnsi="Arial"/>
                <w:sz w:val="14"/>
                <w:szCs w:val="14"/>
                <w:color w:val="auto"/>
              </w:rPr>
              <w:t>Estimated</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4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amount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fair value</w:t>
            </w:r>
          </w:p>
        </w:tc>
        <w:tc>
          <w:tcPr>
            <w:tcW w:w="16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Level 1</w:t>
            </w:r>
          </w:p>
        </w:tc>
        <w:tc>
          <w:tcPr>
            <w:tcW w:w="1300" w:type="dxa"/>
            <w:vAlign w:val="bottom"/>
            <w:gridSpan w:val="2"/>
          </w:tcPr>
          <w:p>
            <w:pPr>
              <w:jc w:val="right"/>
              <w:ind w:right="580"/>
              <w:spacing w:after="0"/>
              <w:rPr>
                <w:sz w:val="20"/>
                <w:szCs w:val="20"/>
                <w:color w:val="auto"/>
              </w:rPr>
            </w:pPr>
            <w:r>
              <w:rPr>
                <w:rFonts w:ascii="Arial" w:cs="Arial" w:eastAsia="Arial" w:hAnsi="Arial"/>
                <w:sz w:val="14"/>
                <w:szCs w:val="14"/>
                <w:color w:val="auto"/>
              </w:rPr>
              <w:t>Level 2</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Level 3</w:t>
            </w:r>
          </w:p>
        </w:tc>
      </w:tr>
      <w:tr>
        <w:trPr>
          <w:trHeight w:val="156"/>
        </w:trPr>
        <w:tc>
          <w:tcPr>
            <w:tcW w:w="4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color w:val="auto"/>
                <w:w w:val="92"/>
              </w:rPr>
              <w:t>(in thousands)</w:t>
            </w:r>
          </w:p>
        </w:tc>
        <w:tc>
          <w:tcPr>
            <w:tcW w:w="10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1,368,040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1,368,040</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1,276,678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91,362</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7,594,350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7,594,350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7,594,350</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273,783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273,783</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56,763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217,020</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15,656,439</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15,660,877</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65,178</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15,406,404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189,295</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20,422,338</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20,146,201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20,146,201</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29,197,311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29,044,244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38,774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29,005,470</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26,270,103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26,267,771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4,727,816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21,539,955</w:t>
            </w: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11,599,747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11,550,270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11,550,270</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(955,992)</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86,533,507</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87,008,486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4,766,590</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82,241,896</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306,496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306,496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306,496</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0"/>
              </w:rPr>
              <w:t>(29,110,635)</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(29,110,635)</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(29,110,635)</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(49,566,644)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(49,566,644)</w:t>
            </w:r>
          </w:p>
        </w:tc>
        <w:tc>
          <w:tcPr>
            <w:tcW w:w="1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(49,566,644)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0"/>
              </w:rPr>
              <w:t>(13,110,392)</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(13,135,042)</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(13,135,042)</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(170,170)</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(170,170)</w:t>
            </w:r>
          </w:p>
        </w:tc>
        <w:tc>
          <w:tcPr>
            <w:tcW w:w="1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(170,170)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(2,132,182)</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(2,132,182)</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(2,132,182)</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(10,653,858)</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(10,639,556)</w:t>
            </w:r>
          </w:p>
        </w:tc>
        <w:tc>
          <w:tcPr>
            <w:tcW w:w="1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(10,639,556)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(85,145)</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(85,145)</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(85,145)</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(160,745)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(160,745)</w:t>
            </w:r>
          </w:p>
        </w:tc>
        <w:tc>
          <w:tcPr>
            <w:tcW w:w="1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(160,745)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Commitments to originate real estate loans for sale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9,879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9,879</w:t>
            </w:r>
          </w:p>
        </w:tc>
        <w:tc>
          <w:tcPr>
            <w:tcW w:w="10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(122,334)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(122,334)</w:t>
            </w:r>
          </w:p>
        </w:tc>
        <w:tc>
          <w:tcPr>
            <w:tcW w:w="1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(122,334)</w:t>
            </w:r>
          </w:p>
        </w:tc>
      </w:tr>
      <w:tr>
        <w:trPr>
          <w:trHeight w:val="215"/>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Interest rate swap agreements used for interest rate risk</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management</w:t>
            </w: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43,892</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43,892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43,892</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interest-checking deposits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54" w:lineRule="exact"/>
        <w:rPr>
          <w:sz w:val="20"/>
          <w:szCs w:val="20"/>
          <w:color w:val="auto"/>
        </w:rPr>
      </w:pPr>
    </w:p>
    <w:p>
      <w:pPr>
        <w:jc w:val="both"/>
        <w:ind w:firstLine="476"/>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8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color w:val="auto"/>
                <w:w w:val="97"/>
              </w:rPr>
              <w:t>September 30,</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r>
      <w:tr>
        <w:trPr>
          <w:trHeight w:val="167"/>
        </w:trPr>
        <w:tc>
          <w:tcPr>
            <w:tcW w:w="5680" w:type="dxa"/>
            <w:vAlign w:val="bottom"/>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2016</w:t>
            </w:r>
          </w:p>
        </w:tc>
        <w:tc>
          <w:tcPr>
            <w:tcW w:w="10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4"/>
                <w:szCs w:val="14"/>
                <w:color w:val="auto"/>
              </w:rPr>
            </w:pPr>
          </w:p>
        </w:tc>
      </w:tr>
      <w:tr>
        <w:trPr>
          <w:trHeight w:val="156"/>
        </w:trPr>
        <w:tc>
          <w:tcPr>
            <w:tcW w:w="5680" w:type="dxa"/>
            <w:vAlign w:val="bottom"/>
          </w:tcPr>
          <w:p>
            <w:pPr>
              <w:spacing w:after="0"/>
              <w:rPr>
                <w:sz w:val="13"/>
                <w:szCs w:val="13"/>
                <w:color w:val="auto"/>
              </w:rPr>
            </w:pPr>
          </w:p>
        </w:tc>
        <w:tc>
          <w:tcPr>
            <w:tcW w:w="2240" w:type="dxa"/>
            <w:vAlign w:val="bottom"/>
            <w:gridSpan w:val="2"/>
          </w:tcPr>
          <w:p>
            <w:pPr>
              <w:jc w:val="right"/>
              <w:ind w:right="633"/>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3"/>
                <w:szCs w:val="13"/>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Arial" w:cs="Arial" w:eastAsia="Arial" w:hAnsi="Arial"/>
                <w:sz w:val="18"/>
                <w:szCs w:val="18"/>
                <w:color w:val="auto"/>
              </w:rPr>
              <w:t>Home equity lines of credit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w w:val="97"/>
              </w:rPr>
              <w:t>$  5,525,814</w:t>
            </w:r>
          </w:p>
        </w:tc>
        <w:tc>
          <w:tcPr>
            <w:tcW w:w="1060" w:type="dxa"/>
            <w:vAlign w:val="bottom"/>
          </w:tcPr>
          <w:p>
            <w:pPr>
              <w:jc w:val="right"/>
              <w:spacing w:after="0"/>
              <w:rPr>
                <w:sz w:val="20"/>
                <w:szCs w:val="20"/>
                <w:color w:val="auto"/>
              </w:rPr>
            </w:pPr>
            <w:r>
              <w:rPr>
                <w:rFonts w:ascii="Arial" w:cs="Arial" w:eastAsia="Arial" w:hAnsi="Arial"/>
                <w:sz w:val="18"/>
                <w:szCs w:val="18"/>
                <w:color w:val="auto"/>
              </w:rPr>
              <w:t>5,631,680</w:t>
            </w:r>
          </w:p>
        </w:tc>
        <w:tc>
          <w:tcPr>
            <w:tcW w:w="60" w:type="dxa"/>
            <w:vAlign w:val="bottom"/>
          </w:tcPr>
          <w:p>
            <w:pPr>
              <w:spacing w:after="0"/>
              <w:rPr>
                <w:sz w:val="19"/>
                <w:szCs w:val="19"/>
                <w:color w:val="auto"/>
              </w:rPr>
            </w:pPr>
          </w:p>
        </w:tc>
      </w:tr>
      <w:tr>
        <w:trPr>
          <w:trHeight w:val="230"/>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 loans to be sold</w:t>
            </w:r>
          </w:p>
        </w:tc>
        <w:tc>
          <w:tcPr>
            <w:tcW w:w="11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403,411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57,597</w:t>
            </w:r>
          </w:p>
        </w:tc>
        <w:tc>
          <w:tcPr>
            <w:tcW w:w="60" w:type="dxa"/>
            <w:vAlign w:val="bottom"/>
            <w:shd w:val="clear" w:color="auto" w:fill="CFF0FC"/>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Arial" w:cs="Arial" w:eastAsia="Arial" w:hAnsi="Arial"/>
                <w:sz w:val="18"/>
                <w:szCs w:val="18"/>
                <w:color w:val="auto"/>
              </w:rPr>
              <w:t>Other commercial real estate</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6,365,999</w:t>
            </w:r>
          </w:p>
        </w:tc>
        <w:tc>
          <w:tcPr>
            <w:tcW w:w="1060" w:type="dxa"/>
            <w:vAlign w:val="bottom"/>
          </w:tcPr>
          <w:p>
            <w:pPr>
              <w:jc w:val="right"/>
              <w:spacing w:after="0"/>
              <w:rPr>
                <w:sz w:val="20"/>
                <w:szCs w:val="20"/>
                <w:color w:val="auto"/>
              </w:rPr>
            </w:pPr>
            <w:r>
              <w:rPr>
                <w:rFonts w:ascii="Arial" w:cs="Arial" w:eastAsia="Arial" w:hAnsi="Arial"/>
                <w:sz w:val="18"/>
                <w:szCs w:val="18"/>
                <w:color w:val="auto"/>
              </w:rPr>
              <w:t>5,949,933</w:t>
            </w:r>
          </w:p>
        </w:tc>
        <w:tc>
          <w:tcPr>
            <w:tcW w:w="60" w:type="dxa"/>
            <w:vAlign w:val="bottom"/>
          </w:tcPr>
          <w:p>
            <w:pPr>
              <w:spacing w:after="0"/>
              <w:rPr>
                <w:sz w:val="19"/>
                <w:szCs w:val="19"/>
                <w:color w:val="auto"/>
              </w:rPr>
            </w:pPr>
          </w:p>
        </w:tc>
      </w:tr>
      <w:tr>
        <w:trPr>
          <w:trHeight w:val="230"/>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real estate loans to be sold</w:t>
            </w:r>
          </w:p>
        </w:tc>
        <w:tc>
          <w:tcPr>
            <w:tcW w:w="11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635,661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488,621</w:t>
            </w:r>
          </w:p>
        </w:tc>
        <w:tc>
          <w:tcPr>
            <w:tcW w:w="60" w:type="dxa"/>
            <w:vAlign w:val="bottom"/>
            <w:shd w:val="clear" w:color="auto" w:fill="CFF0FC"/>
          </w:tcPr>
          <w:p>
            <w:pPr>
              <w:spacing w:after="0"/>
              <w:rPr>
                <w:sz w:val="19"/>
                <w:szCs w:val="19"/>
                <w:color w:val="auto"/>
              </w:rPr>
            </w:pPr>
          </w:p>
        </w:tc>
      </w:tr>
      <w:tr>
        <w:trPr>
          <w:trHeight w:val="230"/>
        </w:trPr>
        <w:tc>
          <w:tcPr>
            <w:tcW w:w="5680" w:type="dxa"/>
            <w:vAlign w:val="bottom"/>
          </w:tcPr>
          <w:p>
            <w:pPr>
              <w:ind w:left="240"/>
              <w:spacing w:after="0"/>
              <w:rPr>
                <w:sz w:val="20"/>
                <w:szCs w:val="20"/>
                <w:color w:val="auto"/>
              </w:rPr>
            </w:pPr>
            <w:r>
              <w:rPr>
                <w:rFonts w:ascii="Arial" w:cs="Arial" w:eastAsia="Arial" w:hAnsi="Arial"/>
                <w:sz w:val="18"/>
                <w:szCs w:val="18"/>
                <w:color w:val="auto"/>
              </w:rPr>
              <w:t>Other residential real estate</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297,191</w:t>
            </w:r>
          </w:p>
        </w:tc>
        <w:tc>
          <w:tcPr>
            <w:tcW w:w="1060" w:type="dxa"/>
            <w:vAlign w:val="bottom"/>
          </w:tcPr>
          <w:p>
            <w:pPr>
              <w:jc w:val="right"/>
              <w:spacing w:after="0"/>
              <w:rPr>
                <w:sz w:val="20"/>
                <w:szCs w:val="20"/>
                <w:color w:val="auto"/>
              </w:rPr>
            </w:pPr>
            <w:r>
              <w:rPr>
                <w:rFonts w:ascii="Arial" w:cs="Arial" w:eastAsia="Arial" w:hAnsi="Arial"/>
                <w:sz w:val="18"/>
                <w:szCs w:val="18"/>
                <w:color w:val="auto"/>
              </w:rPr>
              <w:t>212,619</w:t>
            </w:r>
          </w:p>
        </w:tc>
        <w:tc>
          <w:tcPr>
            <w:tcW w:w="60" w:type="dxa"/>
            <w:vAlign w:val="bottom"/>
          </w:tcPr>
          <w:p>
            <w:pPr>
              <w:spacing w:after="0"/>
              <w:rPr>
                <w:sz w:val="19"/>
                <w:szCs w:val="19"/>
                <w:color w:val="auto"/>
              </w:rPr>
            </w:pPr>
          </w:p>
        </w:tc>
      </w:tr>
      <w:tr>
        <w:trPr>
          <w:trHeight w:val="230"/>
        </w:trPr>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other</w:t>
            </w:r>
          </w:p>
        </w:tc>
        <w:tc>
          <w:tcPr>
            <w:tcW w:w="11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12,219,005</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11,802,850</w:t>
            </w:r>
          </w:p>
        </w:tc>
        <w:tc>
          <w:tcPr>
            <w:tcW w:w="6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3,283,270</w:t>
            </w:r>
          </w:p>
        </w:tc>
        <w:tc>
          <w:tcPr>
            <w:tcW w:w="1060" w:type="dxa"/>
            <w:vAlign w:val="bottom"/>
          </w:tcPr>
          <w:p>
            <w:pPr>
              <w:jc w:val="right"/>
              <w:spacing w:after="0"/>
              <w:rPr>
                <w:sz w:val="20"/>
                <w:szCs w:val="20"/>
                <w:color w:val="auto"/>
              </w:rPr>
            </w:pPr>
            <w:r>
              <w:rPr>
                <w:rFonts w:ascii="Arial" w:cs="Arial" w:eastAsia="Arial" w:hAnsi="Arial"/>
                <w:sz w:val="18"/>
                <w:szCs w:val="18"/>
                <w:color w:val="auto"/>
              </w:rPr>
              <w:t>3,330,013</w:t>
            </w:r>
          </w:p>
        </w:tc>
        <w:tc>
          <w:tcPr>
            <w:tcW w:w="6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11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50,109</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55,559</w:t>
            </w:r>
          </w:p>
        </w:tc>
        <w:tc>
          <w:tcPr>
            <w:tcW w:w="6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3,147,784</w:t>
            </w:r>
          </w:p>
        </w:tc>
        <w:tc>
          <w:tcPr>
            <w:tcW w:w="1060" w:type="dxa"/>
            <w:vAlign w:val="bottom"/>
          </w:tcPr>
          <w:p>
            <w:pPr>
              <w:jc w:val="right"/>
              <w:spacing w:after="0"/>
              <w:rPr>
                <w:sz w:val="20"/>
                <w:szCs w:val="20"/>
                <w:color w:val="auto"/>
              </w:rPr>
            </w:pPr>
            <w:r>
              <w:rPr>
                <w:rFonts w:ascii="Arial" w:cs="Arial" w:eastAsia="Arial" w:hAnsi="Arial"/>
                <w:sz w:val="18"/>
                <w:szCs w:val="18"/>
                <w:color w:val="auto"/>
              </w:rPr>
              <w:t>2,794,322</w:t>
            </w:r>
          </w:p>
        </w:tc>
        <w:tc>
          <w:tcPr>
            <w:tcW w:w="6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11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1,538,900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782,885</w:t>
            </w:r>
          </w:p>
        </w:tc>
        <w:tc>
          <w:tcPr>
            <w:tcW w:w="6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that program totaled approximately $2.7 billion and $2.5 billion at September 30, 2016 and December 31, 2015, respectively.</w:t>
      </w:r>
    </w:p>
    <w:p>
      <w:pPr>
        <w:spacing w:after="0" w:line="19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225"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Nevertheless, given the outcome of the matter discussed in the following paragraph, at September 30, 2016 the Company’s remaining obligation to loan purchasers was not considered material to the Company’s consolidated financial position.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2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Company was the subject of an investigation by government agencies relating to the origination of Federal Housing Administration (“FHA”) insured residential home loans and residential home loans sold to Freddie Mac and Fannie Mae. A number of other U.S. financial institutions have announced similar investigations. Regarding FHA loans, the U.S. Department of Housing and Urban Development (“HUD”) Office of Inspector General and the U.S. Department of Justice (collectively, the “Government”) investigated whether the Company complied with underwriting guidelines concerning certain loans where HUD paid FHA insurance claims. The Company fully cooperated with the investigation. The Government advised the Company that based upon its review of a sample of loans for which an FHA insurance claim was paid by HUD, some of the loans did not meet underwriting guidelines. The Company, based on its own review of the sample, did not agree with the sampling methodology and loan analysis employed by the Government. Regarding loans originated by the Company and sold to Freddie Mac and Fannie Mae, the investigation concerned whether the mortgages sold to Freddie Mac and Fannie Mae complied with applicable underwriting guidelines. The Company also cooperated with that portion of the investigation. In order to bring those investigations to a close, M&amp;T Bank entered into a settlement agreement with the Government under which M&amp;T Bank paid $64 million on May 12, 2016, without admitting liability. As a result, on May 20, 2016, a Joint Stipulation of Dismissal was filed with the United States District Court for the Western District of New York. The settlement did not have a material impact on the Company’s consolidated financial condition or results of operations in the three-month or nine-month periods ended September 30, 2016.</w:t>
      </w:r>
    </w:p>
    <w:p>
      <w:pPr>
        <w:spacing w:after="0" w:line="188"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financial information of the Company's segments was compiled utilizing the accounting policies described in note 22 of Notes to Financial Statements in the 2015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173"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As also described in note 22 in the 2015 Annual Report,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Segment information,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25"/>
          </w:tcPr>
          <w:p>
            <w:pPr>
              <w:ind w:left="40"/>
              <w:spacing w:after="0"/>
              <w:rPr>
                <w:sz w:val="20"/>
                <w:szCs w:val="20"/>
                <w:color w:val="auto"/>
              </w:rPr>
            </w:pPr>
            <w:r>
              <w:rPr>
                <w:rFonts w:ascii="Arial" w:cs="Arial" w:eastAsia="Arial" w:hAnsi="Arial"/>
                <w:sz w:val="14"/>
                <w:szCs w:val="14"/>
                <w:color w:val="auto"/>
              </w:rPr>
              <w:t>Three months ended 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89"/>
              </w:rPr>
              <w:t>2016</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jc w:val="center"/>
              <w:ind w:left="193"/>
              <w:spacing w:after="0" w:line="155" w:lineRule="exact"/>
              <w:rPr>
                <w:sz w:val="20"/>
                <w:szCs w:val="20"/>
                <w:color w:val="auto"/>
              </w:rPr>
            </w:pPr>
            <w:r>
              <w:rPr>
                <w:rFonts w:ascii="Arial" w:cs="Arial" w:eastAsia="Arial" w:hAnsi="Arial"/>
                <w:sz w:val="14"/>
                <w:szCs w:val="14"/>
                <w:color w:val="auto"/>
                <w:w w:val="89"/>
              </w:rPr>
              <w:t>2015</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11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1"/>
              </w:rPr>
              <w:t>Inter-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jc w:val="right"/>
              <w:ind w:right="260"/>
              <w:spacing w:after="0" w:line="137" w:lineRule="exact"/>
              <w:rPr>
                <w:sz w:val="20"/>
                <w:szCs w:val="20"/>
                <w:color w:val="auto"/>
              </w:rPr>
            </w:pPr>
            <w:r>
              <w:rPr>
                <w:rFonts w:ascii="Arial" w:cs="Arial" w:eastAsia="Arial" w:hAnsi="Arial"/>
                <w:sz w:val="14"/>
                <w:szCs w:val="14"/>
                <w:color w:val="auto"/>
              </w:rPr>
              <w:t>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6"/>
          </w:tcPr>
          <w:p>
            <w:pPr>
              <w:ind w:left="180"/>
              <w:spacing w:after="0" w:line="137" w:lineRule="exact"/>
              <w:rPr>
                <w:sz w:val="20"/>
                <w:szCs w:val="20"/>
                <w:color w:val="auto"/>
              </w:rPr>
            </w:pPr>
            <w:r>
              <w:rPr>
                <w:rFonts w:ascii="Arial" w:cs="Arial" w:eastAsia="Arial" w:hAnsi="Arial"/>
                <w:sz w:val="14"/>
                <w:szCs w:val="14"/>
                <w:color w:val="auto"/>
              </w:rPr>
              <w:t>Inter-</w:t>
            </w: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center"/>
              <w:ind w:right="380"/>
              <w:spacing w:after="0" w:line="149" w:lineRule="exact"/>
              <w:rPr>
                <w:sz w:val="20"/>
                <w:szCs w:val="20"/>
                <w:color w:val="auto"/>
              </w:rPr>
            </w:pPr>
            <w:r>
              <w:rPr>
                <w:rFonts w:ascii="Arial" w:cs="Arial" w:eastAsia="Arial" w:hAnsi="Arial"/>
                <w:sz w:val="14"/>
                <w:szCs w:val="14"/>
                <w:color w:val="auto"/>
                <w:w w:val="89"/>
              </w:rPr>
              <w:t>Total</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segment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5"/>
          </w:tcPr>
          <w:p>
            <w:pPr>
              <w:jc w:val="right"/>
              <w:ind w:right="240"/>
              <w:spacing w:after="0" w:line="149"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Total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segment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income</w:t>
            </w:r>
          </w:p>
        </w:tc>
      </w:tr>
      <w:tr>
        <w:trPr>
          <w:trHeight w:val="167"/>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color w:val="auto"/>
                <w:w w:val="90"/>
              </w:rPr>
              <w:t>revenues(a)</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86"/>
              </w:rPr>
              <w:t>revenues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5"/>
          </w:tcPr>
          <w:p>
            <w:pPr>
              <w:jc w:val="right"/>
              <w:ind w:right="280"/>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color w:val="auto"/>
                <w:w w:val="88"/>
              </w:rPr>
              <w:t>revenues(a)</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6"/>
          </w:tcPr>
          <w:p>
            <w:pPr>
              <w:ind w:left="80"/>
              <w:spacing w:after="0"/>
              <w:rPr>
                <w:sz w:val="20"/>
                <w:szCs w:val="20"/>
                <w:color w:val="auto"/>
              </w:rPr>
            </w:pPr>
            <w:r>
              <w:rPr>
                <w:rFonts w:ascii="Arial" w:cs="Arial" w:eastAsia="Arial" w:hAnsi="Arial"/>
                <w:sz w:val="14"/>
                <w:szCs w:val="14"/>
                <w:color w:val="auto"/>
              </w:rPr>
              <w:t>revenues</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(loss)</w:t>
            </w:r>
          </w:p>
        </w:tc>
      </w:tr>
      <w:tr>
        <w:trPr>
          <w:trHeight w:val="156"/>
        </w:trPr>
        <w:tc>
          <w:tcPr>
            <w:tcW w:w="11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10"/>
          </w:tcPr>
          <w:p>
            <w:pPr>
              <w:ind w:left="100"/>
              <w:spacing w:after="0" w:line="155" w:lineRule="exact"/>
              <w:rPr>
                <w:sz w:val="20"/>
                <w:szCs w:val="20"/>
                <w:color w:val="auto"/>
              </w:rPr>
            </w:pPr>
            <w:r>
              <w:rPr>
                <w:rFonts w:ascii="Arial" w:cs="Arial" w:eastAsia="Arial" w:hAnsi="Arial"/>
                <w:sz w:val="14"/>
                <w:szCs w:val="14"/>
                <w:color w:val="auto"/>
              </w:rPr>
              <w:t>(in thousands)</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Business Banking</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116,513</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1,086</w:t>
            </w:r>
          </w:p>
        </w:tc>
        <w:tc>
          <w:tcPr>
            <w:tcW w:w="80" w:type="dxa"/>
            <w:vAlign w:val="bottom"/>
            <w:shd w:val="clear" w:color="auto" w:fill="CFF0FC"/>
          </w:tcPr>
          <w:p>
            <w:pPr>
              <w:spacing w:after="0"/>
              <w:rPr>
                <w:sz w:val="19"/>
                <w:szCs w:val="19"/>
                <w:color w:val="auto"/>
              </w:rPr>
            </w:pPr>
          </w:p>
        </w:tc>
        <w:tc>
          <w:tcPr>
            <w:tcW w:w="86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21,422</w:t>
            </w:r>
          </w:p>
        </w:tc>
        <w:tc>
          <w:tcPr>
            <w:tcW w:w="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22"/>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w w:val="95"/>
              </w:rPr>
              <w:t>112,650</w:t>
            </w:r>
          </w:p>
        </w:tc>
        <w:tc>
          <w:tcPr>
            <w:tcW w:w="96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23,995</w:t>
            </w:r>
          </w:p>
        </w:tc>
        <w:tc>
          <w:tcPr>
            <w:tcW w:w="10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268,683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9"/>
                <w:szCs w:val="19"/>
                <w:color w:val="auto"/>
              </w:rPr>
            </w:pP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102,796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95"/>
              </w:rPr>
              <w:t>270,554</w:t>
            </w:r>
          </w:p>
        </w:tc>
        <w:tc>
          <w:tcPr>
            <w:tcW w:w="960" w:type="dxa"/>
            <w:vAlign w:val="bottom"/>
            <w:gridSpan w:val="7"/>
          </w:tcPr>
          <w:p>
            <w:pPr>
              <w:jc w:val="right"/>
              <w:spacing w:after="0"/>
              <w:rPr>
                <w:sz w:val="20"/>
                <w:szCs w:val="20"/>
                <w:color w:val="auto"/>
              </w:rPr>
            </w:pPr>
            <w:r>
              <w:rPr>
                <w:rFonts w:ascii="Arial" w:cs="Arial" w:eastAsia="Arial" w:hAnsi="Arial"/>
                <w:sz w:val="18"/>
                <w:szCs w:val="18"/>
                <w:color w:val="auto"/>
              </w:rPr>
              <w:t>1,097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108,422</w:t>
            </w:r>
          </w:p>
        </w:tc>
        <w:tc>
          <w:tcPr>
            <w:tcW w:w="10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205,562</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FF0FC"/>
          </w:tcPr>
          <w:p>
            <w:pPr>
              <w:spacing w:after="0"/>
              <w:rPr>
                <w:sz w:val="19"/>
                <w:szCs w:val="19"/>
                <w:color w:val="auto"/>
              </w:rPr>
            </w:pPr>
          </w:p>
        </w:tc>
        <w:tc>
          <w:tcPr>
            <w:tcW w:w="86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90,065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w w:val="95"/>
              </w:rPr>
              <w:t>181,478</w:t>
            </w:r>
          </w:p>
        </w:tc>
        <w:tc>
          <w:tcPr>
            <w:tcW w:w="96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85,312</w:t>
            </w:r>
          </w:p>
        </w:tc>
        <w:tc>
          <w:tcPr>
            <w:tcW w:w="10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114,391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(14,795)</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50,773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13,773</w:t>
            </w:r>
          </w:p>
        </w:tc>
        <w:tc>
          <w:tcPr>
            <w:tcW w:w="1140" w:type="dxa"/>
            <w:vAlign w:val="bottom"/>
            <w:gridSpan w:val="8"/>
          </w:tcPr>
          <w:p>
            <w:pPr>
              <w:jc w:val="right"/>
              <w:ind w:right="120"/>
              <w:spacing w:after="0"/>
              <w:rPr>
                <w:sz w:val="20"/>
                <w:szCs w:val="20"/>
                <w:color w:val="auto"/>
              </w:rPr>
            </w:pPr>
            <w:r>
              <w:rPr>
                <w:rFonts w:ascii="Arial" w:cs="Arial" w:eastAsia="Arial" w:hAnsi="Arial"/>
                <w:sz w:val="18"/>
                <w:szCs w:val="18"/>
                <w:color w:val="auto"/>
              </w:rPr>
              <w:t>(5,365)</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Residential Mortgage Banking</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108,576</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22,051</w:t>
            </w:r>
          </w:p>
        </w:tc>
        <w:tc>
          <w:tcPr>
            <w:tcW w:w="80" w:type="dxa"/>
            <w:vAlign w:val="bottom"/>
            <w:shd w:val="clear" w:color="auto" w:fill="CFF0FC"/>
          </w:tcPr>
          <w:p>
            <w:pPr>
              <w:spacing w:after="0"/>
              <w:rPr>
                <w:sz w:val="19"/>
                <w:szCs w:val="19"/>
                <w:color w:val="auto"/>
              </w:rPr>
            </w:pPr>
          </w:p>
        </w:tc>
        <w:tc>
          <w:tcPr>
            <w:tcW w:w="86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22,924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99,518</w:t>
            </w:r>
          </w:p>
        </w:tc>
        <w:tc>
          <w:tcPr>
            <w:tcW w:w="96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12,918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21,150</w:t>
            </w:r>
          </w:p>
        </w:tc>
        <w:tc>
          <w:tcPr>
            <w:tcW w:w="10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353,016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3,052</w:t>
            </w:r>
          </w:p>
        </w:tc>
        <w:tc>
          <w:tcPr>
            <w:tcW w:w="80" w:type="dxa"/>
            <w:vAlign w:val="bottom"/>
          </w:tcPr>
          <w:p>
            <w:pPr>
              <w:spacing w:after="0"/>
              <w:rPr>
                <w:sz w:val="19"/>
                <w:szCs w:val="19"/>
                <w:color w:val="auto"/>
              </w:rPr>
            </w:pP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69,506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95"/>
              </w:rPr>
              <w:t>308,520</w:t>
            </w:r>
          </w:p>
        </w:tc>
        <w:tc>
          <w:tcPr>
            <w:tcW w:w="960" w:type="dxa"/>
            <w:vAlign w:val="bottom"/>
            <w:gridSpan w:val="7"/>
          </w:tcPr>
          <w:p>
            <w:pPr>
              <w:jc w:val="right"/>
              <w:spacing w:after="0"/>
              <w:rPr>
                <w:sz w:val="20"/>
                <w:szCs w:val="20"/>
                <w:color w:val="auto"/>
              </w:rPr>
            </w:pPr>
            <w:r>
              <w:rPr>
                <w:rFonts w:ascii="Arial" w:cs="Arial" w:eastAsia="Arial" w:hAnsi="Arial"/>
                <w:sz w:val="18"/>
                <w:szCs w:val="18"/>
                <w:color w:val="auto"/>
              </w:rPr>
              <w:t>3,292</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64,721</w:t>
            </w:r>
          </w:p>
        </w:tc>
        <w:tc>
          <w:tcPr>
            <w:tcW w:w="10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182,949</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(12,807)</w:t>
            </w:r>
          </w:p>
        </w:tc>
        <w:tc>
          <w:tcPr>
            <w:tcW w:w="940" w:type="dxa"/>
            <w:vAlign w:val="bottom"/>
            <w:gridSpan w:val="7"/>
            <w:shd w:val="clear" w:color="auto" w:fill="CFF0FC"/>
          </w:tcPr>
          <w:p>
            <w:pPr>
              <w:jc w:val="right"/>
              <w:ind w:right="20"/>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w w:val="95"/>
              </w:rPr>
              <w:t>146,033</w:t>
            </w:r>
          </w:p>
        </w:tc>
        <w:tc>
          <w:tcPr>
            <w:tcW w:w="1140" w:type="dxa"/>
            <w:vAlign w:val="bottom"/>
            <w:gridSpan w:val="8"/>
            <w:shd w:val="clear" w:color="auto" w:fill="CFF0FC"/>
          </w:tcPr>
          <w:p>
            <w:pPr>
              <w:jc w:val="right"/>
              <w:ind w:right="120"/>
              <w:spacing w:after="0"/>
              <w:rPr>
                <w:sz w:val="20"/>
                <w:szCs w:val="20"/>
                <w:color w:val="auto"/>
              </w:rPr>
            </w:pPr>
            <w:r>
              <w:rPr>
                <w:rFonts w:ascii="Arial" w:cs="Arial" w:eastAsia="Arial" w:hAnsi="Arial"/>
                <w:sz w:val="18"/>
                <w:szCs w:val="18"/>
                <w:color w:val="auto"/>
              </w:rPr>
              <w:t>(13,578)</w:t>
            </w:r>
          </w:p>
        </w:tc>
        <w:tc>
          <w:tcPr>
            <w:tcW w:w="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(28,312)</w:t>
            </w: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6"/>
              </w:rPr>
              <w:t>$ 1,349,690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349,984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w w:val="84"/>
              </w:rPr>
              <w:t>$ 1,132,526</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280,401</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6"/>
          </w:tcPr>
          <w:p>
            <w:pPr>
              <w:ind w:left="40"/>
              <w:spacing w:after="0"/>
              <w:rPr>
                <w:sz w:val="20"/>
                <w:szCs w:val="20"/>
                <w:color w:val="auto"/>
              </w:rPr>
            </w:pPr>
            <w:r>
              <w:rPr>
                <w:rFonts w:ascii="Arial" w:cs="Arial" w:eastAsia="Arial" w:hAnsi="Arial"/>
                <w:sz w:val="14"/>
                <w:szCs w:val="14"/>
                <w:color w:val="auto"/>
                <w:w w:val="90"/>
              </w:rPr>
              <w:t>Nine months ended September 30</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74"/>
              <w:spacing w:after="0" w:line="155" w:lineRule="exact"/>
              <w:rPr>
                <w:sz w:val="20"/>
                <w:szCs w:val="20"/>
                <w:color w:val="auto"/>
              </w:rPr>
            </w:pPr>
            <w:r>
              <w:rPr>
                <w:rFonts w:ascii="Arial" w:cs="Arial" w:eastAsia="Arial" w:hAnsi="Arial"/>
                <w:sz w:val="14"/>
                <w:szCs w:val="14"/>
                <w:color w:val="auto"/>
              </w:rPr>
              <w:t>2016</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ind w:left="360"/>
              <w:spacing w:after="0" w:line="155" w:lineRule="exact"/>
              <w:rPr>
                <w:sz w:val="20"/>
                <w:szCs w:val="20"/>
                <w:color w:val="auto"/>
              </w:rPr>
            </w:pPr>
            <w:r>
              <w:rPr>
                <w:rFonts w:ascii="Arial" w:cs="Arial" w:eastAsia="Arial" w:hAnsi="Arial"/>
                <w:sz w:val="14"/>
                <w:szCs w:val="14"/>
                <w:color w:val="auto"/>
              </w:rPr>
              <w:t>2015</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11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7"/>
              </w:rPr>
              <w:t>Inter-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jc w:val="right"/>
              <w:ind w:right="188"/>
              <w:spacing w:after="0" w:line="137" w:lineRule="exact"/>
              <w:rPr>
                <w:sz w:val="20"/>
                <w:szCs w:val="20"/>
                <w:color w:val="auto"/>
              </w:rPr>
            </w:pPr>
            <w:r>
              <w:rPr>
                <w:rFonts w:ascii="Arial" w:cs="Arial" w:eastAsia="Arial" w:hAnsi="Arial"/>
                <w:sz w:val="14"/>
                <w:szCs w:val="14"/>
                <w:color w:val="auto"/>
              </w:rPr>
              <w:t>Net</w:t>
            </w:r>
          </w:p>
        </w:tc>
        <w:tc>
          <w:tcPr>
            <w:tcW w:w="1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6"/>
          </w:tcPr>
          <w:p>
            <w:pPr>
              <w:jc w:val="center"/>
              <w:ind w:right="380"/>
              <w:spacing w:after="0" w:line="137"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center"/>
              <w:ind w:right="480"/>
              <w:spacing w:after="0" w:line="149" w:lineRule="exact"/>
              <w:rPr>
                <w:sz w:val="20"/>
                <w:szCs w:val="20"/>
                <w:color w:val="auto"/>
              </w:rPr>
            </w:pPr>
            <w:r>
              <w:rPr>
                <w:rFonts w:ascii="Arial" w:cs="Arial" w:eastAsia="Arial" w:hAnsi="Arial"/>
                <w:sz w:val="14"/>
                <w:szCs w:val="14"/>
                <w:color w:val="auto"/>
                <w:w w:val="96"/>
              </w:rPr>
              <w:t>Total</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segment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6"/>
              </w:rPr>
              <w:t>Total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6"/>
          </w:tcPr>
          <w:p>
            <w:pPr>
              <w:jc w:val="center"/>
              <w:ind w:right="38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income</w:t>
            </w:r>
          </w:p>
        </w:tc>
      </w:tr>
      <w:tr>
        <w:trPr>
          <w:trHeight w:val="167"/>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5"/>
          </w:tcPr>
          <w:p>
            <w:pPr>
              <w:jc w:val="center"/>
              <w:ind w:right="360"/>
              <w:spacing w:after="0"/>
              <w:rPr>
                <w:sz w:val="20"/>
                <w:szCs w:val="20"/>
                <w:color w:val="auto"/>
              </w:rPr>
            </w:pPr>
            <w:r>
              <w:rPr>
                <w:rFonts w:ascii="Arial" w:cs="Arial" w:eastAsia="Arial" w:hAnsi="Arial"/>
                <w:sz w:val="14"/>
                <w:szCs w:val="14"/>
                <w:color w:val="auto"/>
                <w:w w:val="90"/>
              </w:rPr>
              <w:t>revenues(a)</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0"/>
              </w:rPr>
              <w:t>revenues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5"/>
          </w:tcPr>
          <w:p>
            <w:pPr>
              <w:jc w:val="right"/>
              <w:ind w:right="340"/>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4"/>
                <w:szCs w:val="14"/>
                <w:color w:val="auto"/>
                <w:w w:val="90"/>
              </w:rPr>
              <w:t>revenues(a)</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6"/>
          </w:tcPr>
          <w:p>
            <w:pPr>
              <w:jc w:val="center"/>
              <w:ind w:right="360"/>
              <w:spacing w:after="0"/>
              <w:rPr>
                <w:sz w:val="20"/>
                <w:szCs w:val="20"/>
                <w:color w:val="auto"/>
              </w:rPr>
            </w:pPr>
            <w:r>
              <w:rPr>
                <w:rFonts w:ascii="Arial" w:cs="Arial" w:eastAsia="Arial" w:hAnsi="Arial"/>
                <w:sz w:val="14"/>
                <w:szCs w:val="14"/>
                <w:color w:val="auto"/>
                <w:w w:val="86"/>
              </w:rPr>
              <w:t>revenues</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(loss)</w:t>
            </w:r>
          </w:p>
        </w:tc>
      </w:tr>
      <w:tr>
        <w:trPr>
          <w:trHeight w:val="156"/>
        </w:trPr>
        <w:tc>
          <w:tcPr>
            <w:tcW w:w="11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10"/>
          </w:tcPr>
          <w:p>
            <w:pPr>
              <w:ind w:left="80"/>
              <w:spacing w:after="0" w:line="155" w:lineRule="exact"/>
              <w:rPr>
                <w:sz w:val="20"/>
                <w:szCs w:val="20"/>
                <w:color w:val="auto"/>
              </w:rPr>
            </w:pPr>
            <w:r>
              <w:rPr>
                <w:rFonts w:ascii="Arial" w:cs="Arial" w:eastAsia="Arial" w:hAnsi="Arial"/>
                <w:sz w:val="14"/>
                <w:szCs w:val="14"/>
                <w:color w:val="auto"/>
              </w:rPr>
              <w:t>(in thousands)</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Business Banking</w:t>
            </w:r>
          </w:p>
        </w:tc>
        <w:tc>
          <w:tcPr>
            <w:tcW w:w="20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344,562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69,617</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89"/>
              </w:rPr>
              <w:t>332,341</w:t>
            </w:r>
          </w:p>
        </w:tc>
        <w:tc>
          <w:tcPr>
            <w:tcW w:w="40" w:type="dxa"/>
            <w:vAlign w:val="bottom"/>
            <w:shd w:val="clear" w:color="auto" w:fill="CFF0FC"/>
          </w:tcPr>
          <w:p>
            <w:pPr>
              <w:spacing w:after="0"/>
              <w:rPr>
                <w:sz w:val="19"/>
                <w:szCs w:val="19"/>
                <w:color w:val="auto"/>
              </w:rPr>
            </w:pPr>
          </w:p>
        </w:tc>
        <w:tc>
          <w:tcPr>
            <w:tcW w:w="92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3,334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74,160</w:t>
            </w:r>
          </w:p>
        </w:tc>
        <w:tc>
          <w:tcPr>
            <w:tcW w:w="10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787,781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309,515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774,392</w:t>
            </w:r>
          </w:p>
        </w:tc>
        <w:tc>
          <w:tcPr>
            <w:tcW w:w="40" w:type="dxa"/>
            <w:vAlign w:val="bottom"/>
          </w:tcPr>
          <w:p>
            <w:pPr>
              <w:spacing w:after="0"/>
              <w:rPr>
                <w:sz w:val="19"/>
                <w:szCs w:val="19"/>
                <w:color w:val="auto"/>
              </w:rPr>
            </w:pPr>
          </w:p>
        </w:tc>
        <w:tc>
          <w:tcPr>
            <w:tcW w:w="920" w:type="dxa"/>
            <w:vAlign w:val="bottom"/>
            <w:gridSpan w:val="6"/>
          </w:tcPr>
          <w:p>
            <w:pPr>
              <w:jc w:val="right"/>
              <w:ind w:right="20"/>
              <w:spacing w:after="0"/>
              <w:rPr>
                <w:sz w:val="20"/>
                <w:szCs w:val="20"/>
                <w:color w:val="auto"/>
              </w:rPr>
            </w:pPr>
            <w:r>
              <w:rPr>
                <w:rFonts w:ascii="Arial" w:cs="Arial" w:eastAsia="Arial" w:hAnsi="Arial"/>
                <w:sz w:val="18"/>
                <w:szCs w:val="18"/>
                <w:color w:val="auto"/>
              </w:rPr>
              <w:t>3,281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312,926</w:t>
            </w:r>
          </w:p>
        </w:tc>
        <w:tc>
          <w:tcPr>
            <w:tcW w:w="10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575,117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254,682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89"/>
              </w:rPr>
              <w:t>535,909</w:t>
            </w:r>
          </w:p>
        </w:tc>
        <w:tc>
          <w:tcPr>
            <w:tcW w:w="40" w:type="dxa"/>
            <w:vAlign w:val="bottom"/>
            <w:shd w:val="clear" w:color="auto" w:fill="CFF0FC"/>
          </w:tcPr>
          <w:p>
            <w:pPr>
              <w:spacing w:after="0"/>
              <w:rPr>
                <w:sz w:val="19"/>
                <w:szCs w:val="19"/>
                <w:color w:val="auto"/>
              </w:rPr>
            </w:pPr>
          </w:p>
        </w:tc>
        <w:tc>
          <w:tcPr>
            <w:tcW w:w="92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978</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250,501</w:t>
            </w:r>
          </w:p>
        </w:tc>
        <w:tc>
          <w:tcPr>
            <w:tcW w:w="10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324,195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5"/>
          </w:tcPr>
          <w:p>
            <w:pPr>
              <w:jc w:val="right"/>
              <w:ind w:right="8"/>
              <w:spacing w:after="0"/>
              <w:rPr>
                <w:sz w:val="20"/>
                <w:szCs w:val="20"/>
                <w:color w:val="auto"/>
              </w:rPr>
            </w:pPr>
            <w:r>
              <w:rPr>
                <w:rFonts w:ascii="Arial" w:cs="Arial" w:eastAsia="Arial" w:hAnsi="Arial"/>
                <w:sz w:val="18"/>
                <w:szCs w:val="18"/>
                <w:color w:val="auto"/>
              </w:rPr>
              <w:t>(43,726)</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151,522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49,724</w:t>
            </w:r>
          </w:p>
        </w:tc>
        <w:tc>
          <w:tcPr>
            <w:tcW w:w="40" w:type="dxa"/>
            <w:vAlign w:val="bottom"/>
          </w:tcPr>
          <w:p>
            <w:pPr>
              <w:spacing w:after="0"/>
              <w:rPr>
                <w:sz w:val="19"/>
                <w:szCs w:val="19"/>
                <w:color w:val="auto"/>
              </w:rPr>
            </w:pPr>
          </w:p>
        </w:tc>
        <w:tc>
          <w:tcPr>
            <w:tcW w:w="1140" w:type="dxa"/>
            <w:vAlign w:val="bottom"/>
            <w:gridSpan w:val="8"/>
          </w:tcPr>
          <w:p>
            <w:pPr>
              <w:jc w:val="right"/>
              <w:ind w:right="160"/>
              <w:spacing w:after="0"/>
              <w:rPr>
                <w:sz w:val="20"/>
                <w:szCs w:val="20"/>
                <w:color w:val="auto"/>
              </w:rPr>
            </w:pPr>
            <w:r>
              <w:rPr>
                <w:rFonts w:ascii="Arial" w:cs="Arial" w:eastAsia="Arial" w:hAnsi="Arial"/>
                <w:sz w:val="18"/>
                <w:szCs w:val="18"/>
                <w:color w:val="auto"/>
              </w:rPr>
              <w:t>(16,184)</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21,823</w:t>
            </w:r>
          </w:p>
        </w:tc>
        <w:tc>
          <w:tcPr>
            <w:tcW w:w="10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Residential Mortgage Banking</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309,393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62,955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59,981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89"/>
              </w:rPr>
              <w:t>310,843</w:t>
            </w:r>
          </w:p>
        </w:tc>
        <w:tc>
          <w:tcPr>
            <w:tcW w:w="40" w:type="dxa"/>
            <w:vAlign w:val="bottom"/>
            <w:shd w:val="clear" w:color="auto" w:fill="CFF0FC"/>
          </w:tcPr>
          <w:p>
            <w:pPr>
              <w:spacing w:after="0"/>
              <w:rPr>
                <w:sz w:val="19"/>
                <w:szCs w:val="19"/>
                <w:color w:val="auto"/>
              </w:rPr>
            </w:pPr>
          </w:p>
        </w:tc>
        <w:tc>
          <w:tcPr>
            <w:tcW w:w="92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36,741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75,462</w:t>
            </w:r>
          </w:p>
        </w:tc>
        <w:tc>
          <w:tcPr>
            <w:tcW w:w="10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1,037,727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204,291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914,484</w:t>
            </w:r>
          </w:p>
        </w:tc>
        <w:tc>
          <w:tcPr>
            <w:tcW w:w="40" w:type="dxa"/>
            <w:vAlign w:val="bottom"/>
          </w:tcPr>
          <w:p>
            <w:pPr>
              <w:spacing w:after="0"/>
              <w:rPr>
                <w:sz w:val="19"/>
                <w:szCs w:val="19"/>
                <w:color w:val="auto"/>
              </w:rPr>
            </w:pPr>
          </w:p>
        </w:tc>
        <w:tc>
          <w:tcPr>
            <w:tcW w:w="920" w:type="dxa"/>
            <w:vAlign w:val="bottom"/>
            <w:gridSpan w:val="6"/>
          </w:tcPr>
          <w:p>
            <w:pPr>
              <w:jc w:val="right"/>
              <w:ind w:right="20"/>
              <w:spacing w:after="0"/>
              <w:rPr>
                <w:sz w:val="20"/>
                <w:szCs w:val="20"/>
                <w:color w:val="auto"/>
              </w:rPr>
            </w:pPr>
            <w:r>
              <w:rPr>
                <w:rFonts w:ascii="Arial" w:cs="Arial" w:eastAsia="Arial" w:hAnsi="Arial"/>
                <w:sz w:val="18"/>
                <w:szCs w:val="18"/>
                <w:color w:val="auto"/>
              </w:rPr>
              <w:t>9,688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202,415</w:t>
            </w:r>
          </w:p>
        </w:tc>
        <w:tc>
          <w:tcPr>
            <w:tcW w:w="10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575,885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gridSpan w:val="5"/>
            <w:shd w:val="clear" w:color="auto" w:fill="CFF0FC"/>
          </w:tcPr>
          <w:p>
            <w:pPr>
              <w:jc w:val="right"/>
              <w:ind w:right="8"/>
              <w:spacing w:after="0"/>
              <w:rPr>
                <w:sz w:val="20"/>
                <w:szCs w:val="20"/>
                <w:color w:val="auto"/>
              </w:rPr>
            </w:pPr>
            <w:r>
              <w:rPr>
                <w:rFonts w:ascii="Arial" w:cs="Arial" w:eastAsia="Arial" w:hAnsi="Arial"/>
                <w:sz w:val="18"/>
                <w:szCs w:val="18"/>
                <w:color w:val="auto"/>
              </w:rPr>
              <w:t>(35,917)</w:t>
            </w:r>
          </w:p>
        </w:tc>
        <w:tc>
          <w:tcPr>
            <w:tcW w:w="940" w:type="dxa"/>
            <w:vAlign w:val="bottom"/>
            <w:gridSpan w:val="7"/>
            <w:shd w:val="clear" w:color="auto" w:fill="CFF0FC"/>
          </w:tcPr>
          <w:p>
            <w:pPr>
              <w:jc w:val="right"/>
              <w:ind w:right="80"/>
              <w:spacing w:after="0"/>
              <w:rPr>
                <w:sz w:val="20"/>
                <w:szCs w:val="20"/>
                <w:color w:val="auto"/>
              </w:rPr>
            </w:pPr>
            <w:r>
              <w:rPr>
                <w:rFonts w:ascii="Arial" w:cs="Arial" w:eastAsia="Arial" w:hAnsi="Arial"/>
                <w:sz w:val="18"/>
                <w:szCs w:val="18"/>
                <w:color w:val="auto"/>
              </w:rPr>
              <w:t>(65,065)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89"/>
              </w:rPr>
              <w:t>494,779</w:t>
            </w:r>
          </w:p>
        </w:tc>
        <w:tc>
          <w:tcPr>
            <w:tcW w:w="40" w:type="dxa"/>
            <w:vAlign w:val="bottom"/>
            <w:shd w:val="clear" w:color="auto" w:fill="CFF0FC"/>
          </w:tcPr>
          <w:p>
            <w:pPr>
              <w:spacing w:after="0"/>
              <w:rPr>
                <w:sz w:val="19"/>
                <w:szCs w:val="19"/>
                <w:color w:val="auto"/>
              </w:rPr>
            </w:pPr>
          </w:p>
        </w:tc>
        <w:tc>
          <w:tcPr>
            <w:tcW w:w="1140" w:type="dxa"/>
            <w:vAlign w:val="bottom"/>
            <w:gridSpan w:val="8"/>
            <w:shd w:val="clear" w:color="auto" w:fill="CFF0FC"/>
          </w:tcPr>
          <w:p>
            <w:pPr>
              <w:jc w:val="right"/>
              <w:ind w:right="160"/>
              <w:spacing w:after="0"/>
              <w:rPr>
                <w:sz w:val="20"/>
                <w:szCs w:val="20"/>
                <w:color w:val="auto"/>
              </w:rPr>
            </w:pPr>
            <w:r>
              <w:rPr>
                <w:rFonts w:ascii="Arial" w:cs="Arial" w:eastAsia="Arial" w:hAnsi="Arial"/>
                <w:sz w:val="18"/>
                <w:szCs w:val="18"/>
                <w:color w:val="auto"/>
              </w:rPr>
              <w:t>(37,838)</w:t>
            </w:r>
          </w:p>
        </w:tc>
        <w:tc>
          <w:tcPr>
            <w:tcW w:w="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(128,585)</w:t>
            </w: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$ 3,954,660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984,543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w w:val="86"/>
              </w:rPr>
              <w:t>$ 3,412,472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808,702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color w:val="auto"/>
                <w:w w:val="89"/>
              </w:rPr>
              <w:t>Average total assets</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11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jc w:val="center"/>
              <w:ind w:right="64"/>
              <w:spacing w:after="0" w:line="137" w:lineRule="exact"/>
              <w:rPr>
                <w:sz w:val="20"/>
                <w:szCs w:val="20"/>
                <w:color w:val="auto"/>
              </w:rPr>
            </w:pPr>
            <w:r>
              <w:rPr>
                <w:rFonts w:ascii="Arial" w:cs="Arial" w:eastAsia="Arial" w:hAnsi="Arial"/>
                <w:sz w:val="14"/>
                <w:szCs w:val="14"/>
                <w:color w:val="auto"/>
                <w:w w:val="91"/>
              </w:rPr>
              <w:t>Year ended</w:t>
            </w:r>
          </w:p>
        </w:tc>
        <w:tc>
          <w:tcPr>
            <w:tcW w:w="400" w:type="dxa"/>
            <w:vAlign w:val="bottom"/>
            <w:gridSpan w:val="5"/>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17"/>
          </w:tcPr>
          <w:p>
            <w:pPr>
              <w:ind w:left="40"/>
              <w:spacing w:after="0"/>
              <w:rPr>
                <w:sz w:val="20"/>
                <w:szCs w:val="20"/>
                <w:color w:val="auto"/>
              </w:rPr>
            </w:pPr>
            <w:r>
              <w:rPr>
                <w:rFonts w:ascii="Arial" w:cs="Arial" w:eastAsia="Arial" w:hAnsi="Arial"/>
                <w:sz w:val="14"/>
                <w:szCs w:val="14"/>
                <w:color w:val="auto"/>
              </w:rPr>
              <w:t>Nine months ended September 30</w:t>
            </w:r>
          </w:p>
        </w:tc>
        <w:tc>
          <w:tcPr>
            <w:tcW w:w="1260" w:type="dxa"/>
            <w:vAlign w:val="bottom"/>
            <w:gridSpan w:val="11"/>
          </w:tcPr>
          <w:p>
            <w:pPr>
              <w:jc w:val="center"/>
              <w:ind w:right="480"/>
              <w:spacing w:after="0"/>
              <w:rPr>
                <w:sz w:val="20"/>
                <w:szCs w:val="20"/>
                <w:color w:val="auto"/>
              </w:rPr>
            </w:pPr>
            <w:r>
              <w:rPr>
                <w:rFonts w:ascii="Arial" w:cs="Arial" w:eastAsia="Arial" w:hAnsi="Arial"/>
                <w:sz w:val="14"/>
                <w:szCs w:val="14"/>
                <w:color w:val="auto"/>
                <w:w w:val="92"/>
              </w:rPr>
              <w:t>December 31</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7"/>
          </w:tcPr>
          <w:p>
            <w:pPr>
              <w:jc w:val="right"/>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3"/>
          </w:tcPr>
          <w:p>
            <w:pPr>
              <w:jc w:val="center"/>
              <w:spacing w:after="0"/>
              <w:rPr>
                <w:sz w:val="20"/>
                <w:szCs w:val="20"/>
                <w:color w:val="auto"/>
              </w:rPr>
            </w:pPr>
            <w:r>
              <w:rPr>
                <w:rFonts w:ascii="Arial" w:cs="Arial" w:eastAsia="Arial" w:hAnsi="Arial"/>
                <w:sz w:val="14"/>
                <w:szCs w:val="14"/>
                <w:color w:val="auto"/>
                <w:w w:val="89"/>
              </w:rPr>
              <w:t>2015</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jc w:val="center"/>
              <w:ind w:right="64"/>
              <w:spacing w:after="0"/>
              <w:rPr>
                <w:sz w:val="20"/>
                <w:szCs w:val="20"/>
                <w:color w:val="auto"/>
              </w:rPr>
            </w:pPr>
            <w:r>
              <w:rPr>
                <w:rFonts w:ascii="Arial" w:cs="Arial" w:eastAsia="Arial" w:hAnsi="Arial"/>
                <w:sz w:val="14"/>
                <w:szCs w:val="14"/>
                <w:color w:val="auto"/>
                <w:w w:val="96"/>
              </w:rPr>
              <w:t>2015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9"/>
          </w:tcPr>
          <w:p>
            <w:pPr>
              <w:jc w:val="center"/>
              <w:ind w:right="320"/>
              <w:spacing w:after="0" w:line="155" w:lineRule="exact"/>
              <w:rPr>
                <w:sz w:val="20"/>
                <w:szCs w:val="20"/>
                <w:color w:val="auto"/>
              </w:rPr>
            </w:pPr>
            <w:r>
              <w:rPr>
                <w:rFonts w:ascii="Arial" w:cs="Arial" w:eastAsia="Arial" w:hAnsi="Arial"/>
                <w:sz w:val="14"/>
                <w:szCs w:val="14"/>
                <w:color w:val="auto"/>
                <w:w w:val="98"/>
              </w:rPr>
              <w:t>(in millions)</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Business Banking</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3"/>
              </w:rPr>
              <w:t>5,442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5,321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Commercial Banking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25,363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24,041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24,143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2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20,571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18,632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18,827</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41,253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23,153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26,648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Residential Mortgage Banking</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3"/>
              </w:rPr>
              <w:t>2,578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3,007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Retail Banking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11,739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10,912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11,035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6"/>
            <w:shd w:val="clear" w:color="auto" w:fill="CFF0FC"/>
          </w:tcPr>
          <w:p>
            <w:pPr>
              <w:jc w:val="right"/>
              <w:spacing w:after="0"/>
              <w:rPr>
                <w:sz w:val="20"/>
                <w:szCs w:val="20"/>
                <w:color w:val="auto"/>
              </w:rPr>
            </w:pPr>
            <w:r>
              <w:rPr>
                <w:rFonts w:ascii="Arial" w:cs="Arial" w:eastAsia="Arial" w:hAnsi="Arial"/>
                <w:sz w:val="18"/>
                <w:szCs w:val="18"/>
                <w:color w:val="auto"/>
              </w:rPr>
              <w:t>16,951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12,279</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12,870</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54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jc w:val="center"/>
              <w:ind w:right="1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9"/>
              </w:rPr>
              <w:t>123,897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97,345</w:t>
            </w: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101,780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72" w:lineRule="auto"/>
        <w:tabs>
          <w:tab w:leader="none" w:pos="5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pricing and allocation methodology. Segments are charged a cost to fund any assets (e.g. loans) and are paid a funding credit for any funds provided (e.g. deposits). The taxable-equivalent adjustment aggregated $6,725,000 and $6,248,000 for the three-month periods ended September 30, 2016 and 2015, respectively, and $19,579,000 and $18,106,000 for the nine-month periods ended September 30, 2016 and 2015,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200" w:lineRule="exact"/>
        <w:rPr>
          <w:rFonts w:ascii="Arial" w:cs="Arial" w:eastAsia="Arial" w:hAnsi="Arial"/>
          <w:sz w:val="17"/>
          <w:szCs w:val="17"/>
          <w:i w:val="1"/>
          <w:iCs w:val="1"/>
          <w:color w:val="auto"/>
        </w:rPr>
      </w:pPr>
    </w:p>
    <w:p>
      <w:pPr>
        <w:spacing w:after="0" w:line="383" w:lineRule="exact"/>
        <w:rPr>
          <w:rFonts w:ascii="Arial" w:cs="Arial" w:eastAsia="Arial" w:hAnsi="Arial"/>
          <w:sz w:val="17"/>
          <w:szCs w:val="17"/>
          <w:i w:val="1"/>
          <w:iCs w:val="1"/>
          <w:color w:val="auto"/>
        </w:rPr>
      </w:pPr>
    </w:p>
    <w:p>
      <w:pPr>
        <w:ind w:left="5620" w:hanging="101"/>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The carrying value of that investment was $15 million at September 30, 2016.</w:t>
      </w:r>
    </w:p>
    <w:p>
      <w:pPr>
        <w:spacing w:after="0" w:line="170"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$3.7 billion and $4.1 billion at September 30, 2016 and December 31, 2015, respectively. Revenues from those servicing rights were $5 million and $6 million for the quarters ended September 30, 2016 and 2015, respectively, and $15 million and $17 million for the nine months ended September 30, 2016 and 2015, respectively. The Company sub-services residential mortgage loans for Bayview Financial having outstanding principal balances totaling $32.1 billion and $37.7 billion at September 30, 2016 and December 31, 2015, respectively. Revenues earned for sub-servicing loans for Bayview Financial were $25 million and $26 million for the three-month periods ended September 30, 2016 and 2015, respectively, and $73 million and $91 million for the nine-month periods ended September 30, 2016 and 2015, respectively. In addition, the Company held $163 million and $181 million of mortgage-backed securities in its held-to-maturity portfolio at September 30, 2016 and December 31, 2015, respectively, that were securitized by Bayview Financial.</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Sale of trust accounts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2015, the Company sold the trade processing business within the retirement services division of its Institutional Client Services business. That sale resulted in an after-tax gain of $23 million ($45 million pre-tax) that reflected the allocation of approximately $11 million of previously recorded goodwill to the divested business. Revenues of the sold business had been included in “trust income” and were $9 million during the three months ended March 31, 2015. There were no revenues from the sold business recognized during the three months ended June 30, 2015 or thereafter. After considering related expenses, net income attributable to the business that was sold was not material to the consolidated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income for M&amp;T Bank Corporation (“M&amp;T”) in the third quarter of 2016 was $350 million or $2.10 of diluted earnings per common share, compared with $280 million or $1.93 of diluted earnings per common share in the year-earlier quarter. During the second quarter of 2016, net income totaled $336 million or $1.98 of diluted earnings per common share. Basic earnings per common share were $2.10 in the recent quarter, compared with $1.94 in the third quarter of 2015 and $1.98 in the second quarter of 2016. For the first nine months of 2016, net income was $985 million or $5.80 of diluted earnings per common share, compared with $809 million or $5.56 of diluted earnings per common share during the similar period of 2015. Basic earnings per common share were $5.82 for the first nine months of 2016, compared with $5.59 for the first nine months 2015.</w:t>
      </w:r>
    </w:p>
    <w:p>
      <w:pPr>
        <w:spacing w:after="0" w:line="7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recent quarter was 1.12%, compared with 1.13% in the third quarter of 2015 and 1.09% in the second quarter of 2016. The annualized rate of return on average common shareholders’ equity was 8.68% in the third quarter of 2016, compared with 8.93% and 8.38% in the year-earlier quarter and in 2016’s second quarter, respectively. During the nine-month period ended September 30, 2016, the annualized rates of return on average assets and average common shareholders’ equity were 1.06% and 8.17%, respectively, compared with 1.11% and 8.77%, respectively, in the first nine months of 2015.</w:t>
      </w:r>
    </w:p>
    <w:p>
      <w:pPr>
        <w:spacing w:after="0" w:line="64"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During the third quarter of 2016, the Company sold substantially all of its collateralized debt obligations with an amortized cost of $28 million held in the available-for-sale investment securities portfolio, resulting in an after-tax gain of $17 million ($28 million pre-tax), or $.11 per diluted common share. Those securities, which had been obtained in previous acquisitions, were sold in response to the provisions of the Dodd-Frank Wall Street Reform and Consumer Protection Act (“Dodd-Frank Act”) commonly referred to as the “Volcker Rule.” For additional information concerning the Dodd-Frank Act and the Volcker Rule, refer to Part I, Item 1 of M&amp;T’s Form 10-K for the year ended December 31, 2015 and Part II, Item 7, “Management’s Discussion and Analysis of Financial Condition and Results of Operations” of that Form 10-K under the heading “Regulatory Oversight.” There were no significant gains or losses on investment securities during the third quarter of 2015 or the second quarter of 2016.</w:t>
      </w:r>
    </w:p>
    <w:p>
      <w:pPr>
        <w:spacing w:after="0" w:line="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On June 29, 2016, M&amp;T announced that the Federal Reserve did not object to M&amp;T’s revised 2016 Capital Plan. That capital plan includes the repurchase of up to $1.15 billion of common shares during the four-quarter period starting on July 1, 2016 and an increase in the quarterly common stock dividend in the first quarter of 2017 of up to $.05 per share to $.75 per share. M&amp;T may also continue to pay dividends and interest on other equity and debt instruments included in regulatory capital, including preferred stock, trust preferred securities and subordinated debt that were outstanding at December 31, 2015, consistent with the contractual terms of those instruments. Dividends are subject to declaration by M&amp;T’s Board of Directors. Furthermore, on July 19, 2016, M&amp;T’s Board of Directors authorized a new stock repurchase program to repurchase up to $1.15 billion of shares of M&amp;T’s common stock subject to all applicable regulatory limitations, including those set forth in M&amp;T’s 2016 Capital Plan.</w:t>
      </w:r>
    </w:p>
    <w:p>
      <w:pPr>
        <w:spacing w:after="0" w:line="70"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On November 1, 2015, M&amp;T completed its acquisition of Hudson City Bancorp, Inc. (“Hudson City”). Immediately following completion of the merger, Hudson City Savings Bank merged with and into M&amp;T Bank, the principal bank subsidiary of M&amp;T. Pursuant to the merger agreement, M&amp;T paid cash consideration of $2.1 billion and issued 25,953,950 shares of M&amp;T common stock in exchange for Hudson City shares outstanding at the time of acquisition. Assets acquired totaled approximately $36.7 billion, including $19.0 billion of loans and leases (including approximately $234 million of commercial real estate loans, $18.6 billion of residential real estate loans and $162 million of consumer loans). Liabilities assumed aggregated $31.5 billion, including $17.9 billion of deposits and $13.2 billion of borrowings. Immediately following the acquisition, the Company restructured its balance sheet by selling $5.8 billion of investment securities obtained in the acquisition and repaying $10.6 billion of borrowings assumed in the transaction. The common stock issued added $3.1 billion to M&amp;T’s common shareholders’ equity. In connection with the acquisition, the Company recorded $1.1 billion of goodwill and $132 million of core deposit intangible asset.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incentive compensation costs; travel costs; and printing, supplies and other costs of completing the transaction and commencing operations in new markets and offices. Those acquisition and integration-related expenses (herein referred to as merger-related expenses) were $13 million ($8 million after-tax effect) in the second quarter of 2016 ($.05 per diluted common share) and aggregated $36 million ($22 million after-tax effect) for the first nine months of 2016 ($.14 per diluted common share). There were no merger-related expenses during the recent quarter or the first nine months of 2015. Although “net operating income” as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jc w:val="both"/>
        <w:ind w:right="20"/>
        <w:spacing w:after="0" w:line="277" w:lineRule="auto"/>
        <w:rPr>
          <w:sz w:val="20"/>
          <w:szCs w:val="20"/>
          <w:color w:val="auto"/>
        </w:rPr>
      </w:pPr>
      <w:r>
        <w:rPr>
          <w:rFonts w:ascii="Arial" w:cs="Arial" w:eastAsia="Arial" w:hAnsi="Arial"/>
          <w:sz w:val="18"/>
          <w:szCs w:val="18"/>
          <w:color w:val="auto"/>
        </w:rPr>
        <w:t>defined by M&amp;T is not a GAAP measure, M&amp;T’s management believes that this information helps investors understand the effect of acquisition activity in reported results.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Net operating income was $356 million in the recent quarter, compared with $283 million in the third quarter of 2015. Diluted net operating earnings per common share were $2.13 for the third quarter of 2016, compared with $1.95 in the year-earlier quarter. Net operating income and diluted net operating earnings per common share were $351 million and $2.07, respectively, in the second quarter of 2016. For the first nine months of 2016, net operating income and diluted net operating earnings per common share were $1.03 billion and $6.07, respectively, compared with $819 million and $5.64, respectively, in the similar 2015 period.</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Net operating income in each of the third quarter of 2016, the year-earlier quarter and second quarter of 2016 expressed as an annualized rate of return on average tangible assets was 1.18%. Net operating income represented an annualized return on average tangible common equity of 12.77% in the recent quarter, compared with 12.98% and 12.68% in the quarters ended September 30, 2015 and June 30, 2016, respectively. For the first nine months of 2016, net operating income represented an annualized return on average tangible assets and average tangible common shareholders’ equity of 1.15% and 12.36%, respectively, compared with 1.17% and 12.89%, respectively, in the corresponding 2015 period.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Taxable-equivalent net interest income was $865 million in the third quarter of 2016, 24% higher than $699 million in the year-earlier quarter. That growth resulted from the impact of a $24.4 billion or 28% rise in average earning assets that was partially offset by a 9 basis point (hundredths of one percent) narrowing of the Company’s net interest margin, or taxable-equivalent net interest income expressed as an annualized percentage of average earning assets, to 3.05%. The higher level of average earning assets in the recent quarter reflected higher average balances of loans and leases of $20.9 billion, (due predominantly to the Hudson City acquisition, which added $16.2 billion to average loans during the recent quarter) and interest-bearing deposits at the Federal Reserve Bank of New York of $3.6 billion. The narrowed net interest margin reflects the impact of the continuing low interest rate environment on yields on loans and investment securities coupled with higher rates paid on interest-bearing deposits associated with the acquisition of Hudson City. Taxable-equivalent net interest income in the recent quarter declined slightly from $870 million in the second quarter of 2016. The favorable impact of a $992 million increase in average earning assets was more than offset by an 8 basis point narrowing of the net interest margin in the recent quarter from 3.13% in the second quarter of 2016. Contributing to that narrowing were lower yields on investment securities and loans, higher rates paid on interest-bearing deposits, including the impact of time deposits in the former Hudson City markets, and increased balances on deposit at the Federal Reserve Bank of New York. While those latter deposits added to interest income, they resulted in a lowering of the reported net interest margin.</w:t>
      </w:r>
    </w:p>
    <w:p>
      <w:pPr>
        <w:spacing w:after="0" w:line="169"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For the first nine months of 2016, taxable-equivalent net interest income was $2.61 billion, up 27% from $2.05 billion in the corresponding 2015 period. That increase was predominantly attributable to higher average earning assets, which rose $25.0 billion or 29% to $112.0 billion in the first nine months of 2016. Loans obtained in the acquisition of Hudson City added $17.1 billion of average earning assets in the first nine months of 2016. Partially offsetting the rise in average earning assets was a 4 basis point narrowing of the net interest margin to 3.12% in 2016 from 3.16% in 2015. That narrowing reflected higher rates paid on interest-bearing time deposits, largely related to deposits obtained in the Hudson City acquisition.</w:t>
      </w:r>
    </w:p>
    <w:p>
      <w:pPr>
        <w:spacing w:after="0" w:line="17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Average loans and leases totaled $88.7 billion in the recent quarter, up 31% from $67.8 billion in the third quarter of 2015. Commercial loans and leases averaged $21.5 billion in the third quarter of 2016, up $1.5 billion or 8% from the year-earlier quarter. Average commercial real estate loans aggregated $31.3 billion in the recent quarter, an increase of $2.9 billion, or 10%, from $28.3 billion in the third quarter of 2015. Reflecting average balances of $15.8 billion of loans obtained in the Hudson City transaction, average residential real estate loans outstanding rose $15.7 billion to $24.1 billion in 2016’s third quarter from $8.3 billion in the year-earlier quarter. Included in that portfolio were loans held for sale, which averaged $374 million in the recently completed quarter, compared with $466 million in the third quarter of 2015. Consumer loans averaged $11.9 billion in 2016’s third quarter, $690 million or 6% higher than $11.3 billion in the third quarter of 2015. That growth reflects a $519 million increase in average automobile loan balances.</w:t>
      </w:r>
    </w:p>
    <w:p>
      <w:pPr>
        <w:spacing w:after="0" w:line="16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Average loan and lease balances in the third quarter of 2016 rose $577 million from the second quarter of 2016. Average commercial loan and lease balances increased $30 million in the recent quarter as compared with the immediately preceding quarter as seasonal declines in inventory loans to automobile dealers muted growth in that category. Average commercial real estate loan balances increased $1.1 billion, or 4%, and average balances of consumer loans rose $229 million, or 2%, from the second to third quarters of 2016. Reflecting pay downs of loans obtained in the Hudson City acquisition during the recent quarter, average residential real estate loans declined $800 million, or 3%, from 2016’s second quarter. The accompanying table summarizes quarterly changes in the major components of the loan and lease portfolio.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5"/>
          </w:tcPr>
          <w:p>
            <w:pPr>
              <w:jc w:val="center"/>
              <w:ind w:right="80"/>
              <w:spacing w:after="0"/>
              <w:rPr>
                <w:sz w:val="20"/>
                <w:szCs w:val="20"/>
                <w:color w:val="auto"/>
              </w:rPr>
            </w:pPr>
            <w:r>
              <w:rPr>
                <w:rFonts w:ascii="Arial" w:cs="Arial" w:eastAsia="Arial" w:hAnsi="Arial"/>
                <w:sz w:val="14"/>
                <w:szCs w:val="14"/>
                <w:color w:val="auto"/>
                <w:w w:val="89"/>
              </w:rPr>
              <w:t>Percent increase</w:t>
            </w:r>
          </w:p>
        </w:tc>
        <w:tc>
          <w:tcPr>
            <w:tcW w:w="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5"/>
          </w:tcPr>
          <w:p>
            <w:pPr>
              <w:jc w:val="center"/>
              <w:ind w:right="80"/>
              <w:spacing w:after="0"/>
              <w:rPr>
                <w:sz w:val="20"/>
                <w:szCs w:val="20"/>
                <w:color w:val="auto"/>
              </w:rPr>
            </w:pPr>
            <w:r>
              <w:rPr>
                <w:rFonts w:ascii="Arial" w:cs="Arial" w:eastAsia="Arial" w:hAnsi="Arial"/>
                <w:sz w:val="14"/>
                <w:szCs w:val="14"/>
                <w:color w:val="auto"/>
                <w:w w:val="91"/>
              </w:rPr>
              <w:t>(decrease) from</w:t>
            </w:r>
          </w:p>
        </w:tc>
        <w:tc>
          <w:tcPr>
            <w:tcW w:w="2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3rd Qtr.</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3rd Qtr.</w:t>
            </w:r>
          </w:p>
        </w:tc>
        <w:tc>
          <w:tcPr>
            <w:tcW w:w="2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2nd Qtr.</w:t>
            </w:r>
          </w:p>
        </w:tc>
        <w:tc>
          <w:tcPr>
            <w:tcW w:w="2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300" w:type="dxa"/>
            <w:vAlign w:val="bottom"/>
            <w:tcBorders>
              <w:bottom w:val="single" w:sz="8" w:color="CFF0FC"/>
            </w:tcBorders>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2015</w:t>
            </w: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21,480</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31,252</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24,058</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Consumer</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5,746</w:t>
            </w:r>
          </w:p>
        </w:tc>
        <w:tc>
          <w:tcPr>
            <w:tcW w:w="3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w:t>
            </w:r>
          </w:p>
        </w:tc>
        <w:tc>
          <w:tcPr>
            <w:tcW w:w="3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consumer</w:t>
            </w:r>
          </w:p>
        </w:tc>
        <w:tc>
          <w:tcPr>
            <w:tcW w:w="2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11,942</w:t>
            </w:r>
          </w:p>
        </w:tc>
        <w:tc>
          <w:tcPr>
            <w:tcW w:w="3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88,732</w:t>
            </w:r>
          </w:p>
        </w:tc>
        <w:tc>
          <w:tcPr>
            <w:tcW w:w="3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the first nine months of 2016, average loans and leases aggregated $88.2 billion, up $20.8 billion or 31% from $67.4 billion in the similar 2015 period. The most significant factors contributing to that increase were the residential real estate loans obtained in the Hudson City acquisition and growth in the commercial real estate loan and commercial loan and lease portfolios.</w:t>
      </w:r>
    </w:p>
    <w:p>
      <w:pPr>
        <w:spacing w:after="0" w:line="18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investment securities portfolio averaged $14.4 billion in each of the recent quarter and the third quarter of 2015, compared with $14.9 billion in the second quarter of 2016. For the first nine months of 2016 and 2015, investment securities averaged $14.9 billion and $14.0 billion, respectively. 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also considers its liquidity position and overall interest-rate risk profile as well as the adequacy of expected returns relative to risks assumed, including prepayments. The Company manages its investment securities portfolio, in part, to satisfy the requirements of the U.S. version of the Basel Committee’s Liquidity Coverage Ratio (“LCR”) requirements that became effective in January 2016.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The Hudson City acquisition added approximately $7.9 billion to the investment securities portfolio on the November 1, 2015 acquisition date. As noted earlier, immediately following the acquisition, the Company restructured its balance sheet by selling $5.8 billion of those securities. During the third quarter of 2016, the Company sold substantially all of the collateralized debt obligations that were held in the available-for-sale investment securities portfolio for a gain of approximately $28 million. Those securities were sold in large part in response to the provisions of the Volcker Rule. The amounts of investment securities held by the Company are influenced by such factors as demand for loans, which generally yield more than investment securities, ongoing repayments, the levels of deposits, and management of liquidity (including the LCR) and balance sheet size and resulting capital ratios.</w:t>
      </w:r>
    </w:p>
    <w:p>
      <w:pPr>
        <w:spacing w:after="0" w:line="18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regularly reviews its investment securities for declines in value below amortized cost that might be characterized as “other than temporary.” There were no other-than-temporary impairment charges recognized in either of the first nine months of 2016 or 2015. Additional information about the investment securities portfolio is included in notes 3 and 12 of Notes to Financial Statements.</w:t>
      </w:r>
    </w:p>
    <w:p>
      <w:pPr>
        <w:spacing w:after="0" w:line="181"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Other earning assets include interest-bearing deposits at the Federal Reserve Bank of New York and other banks, trading account assets and federal funds sold. Those other earning assets in the aggregate averaged $9.8 billion in the recent quarter, compared with $6.2 billion and $8.8 billion in the third quarter of 2015 and the second quarter of 2016, respectively. Interest-bearing deposits at banks averaged $9.7 billion in the third quarter of 2016, compared with $6.1 billion in the year-earlier quarter and $8.7 billion in 2016’s second quarter. For the nine-month periods ended September 30, 2016 and 2015, average balances of other earning assets were $9.0 billion and $5.6 billion, respectively, including $8.9 billion and $5.5 billion, respectively, of interest-bearing deposits at banks. The higher levels of interest-bearing deposits at banks in the three-month and nine-month periods ended September 30, 2016 as compared with the corresponding 2015 periods resulted largely from the Company’s decision to maintain higher balances at the Federal Reserve Bank of New York rather than reinvesting in other highly liquid assets due to the current interest rate environment. The increased level of interest-bearing deposits at banks in the recent quarter as compared with the second quarter of 2016 was predominantly due to higher trust-related customer deposits.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jc w:val="both"/>
        <w:ind w:firstLine="518"/>
        <w:spacing w:after="0" w:line="264" w:lineRule="auto"/>
        <w:rPr>
          <w:sz w:val="20"/>
          <w:szCs w:val="20"/>
          <w:color w:val="auto"/>
        </w:rPr>
      </w:pPr>
      <w:r>
        <w:rPr>
          <w:rFonts w:ascii="Arial" w:cs="Arial" w:eastAsia="Arial" w:hAnsi="Arial"/>
          <w:sz w:val="18"/>
          <w:szCs w:val="18"/>
          <w:color w:val="auto"/>
        </w:rPr>
        <w:t>As a result of the changes described herein, average earning assets aggregated $112.9 billion in the third quarter of 2016, compared with $88.4 billion in the year-earlier quarter and $111.9 billion in the second quarter of 2016. Average earning assets totaled $112.0 billion and $87.0 billion during the nine-month periods ended September 30, 2016 and 2015, respectively.</w:t>
      </w:r>
    </w:p>
    <w:p>
      <w:pPr>
        <w:spacing w:after="0" w:line="18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$93.2 billion in the third quarter of 2016, up 29% from $72.0 billion in the year-earlier quarter and 2% higher than $91.5 billion in the second quarter of 2016. The Hudson City acquisition added approximately $17.0 billion of core deposits on November 1, 2015, including $9.7 billion of time deposits, $6.6 billion of savings deposits and $691 million of noninterest-bearing deposits. The higher average core deposits in the two most recent quarters as compared with the third quarter of 2015 were predominantly reflective of the impact of the merger with Hudson City. The following table provides an analysis of quarterly changes in the components of average core deposits. For the nine-month periods ended September 30, 2016 and 2015, core deposits averaged $91.5 billion and $71.1 billion,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4"/>
          </w:tcPr>
          <w:p>
            <w:pPr>
              <w:jc w:val="center"/>
              <w:ind w:right="250"/>
              <w:spacing w:after="0"/>
              <w:rPr>
                <w:sz w:val="20"/>
                <w:szCs w:val="20"/>
                <w:color w:val="auto"/>
              </w:rPr>
            </w:pPr>
            <w:r>
              <w:rPr>
                <w:rFonts w:ascii="Arial" w:cs="Arial" w:eastAsia="Arial" w:hAnsi="Arial"/>
                <w:sz w:val="14"/>
                <w:szCs w:val="14"/>
                <w:color w:val="auto"/>
                <w:w w:val="89"/>
              </w:rPr>
              <w:t>Percent increase</w:t>
            </w:r>
          </w:p>
        </w:tc>
      </w:tr>
      <w:tr>
        <w:trPr>
          <w:trHeight w:val="16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4"/>
          </w:tcPr>
          <w:p>
            <w:pPr>
              <w:jc w:val="center"/>
              <w:ind w:right="250"/>
              <w:spacing w:after="0"/>
              <w:rPr>
                <w:sz w:val="20"/>
                <w:szCs w:val="20"/>
                <w:color w:val="auto"/>
              </w:rPr>
            </w:pPr>
            <w:r>
              <w:rPr>
                <w:rFonts w:ascii="Arial" w:cs="Arial" w:eastAsia="Arial" w:hAnsi="Arial"/>
                <w:sz w:val="14"/>
                <w:szCs w:val="14"/>
                <w:color w:val="auto"/>
                <w:w w:val="91"/>
              </w:rPr>
              <w:t>(decrease) from</w:t>
            </w:r>
          </w:p>
        </w:tc>
      </w:tr>
      <w:tr>
        <w:trPr>
          <w:trHeight w:val="16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3rd Qtr.</w:t>
            </w:r>
          </w:p>
        </w:tc>
        <w:tc>
          <w:tcPr>
            <w:tcW w:w="580" w:type="dxa"/>
            <w:vAlign w:val="bottom"/>
          </w:tcPr>
          <w:p>
            <w:pPr>
              <w:jc w:val="right"/>
              <w:spacing w:after="0"/>
              <w:rPr>
                <w:sz w:val="20"/>
                <w:szCs w:val="20"/>
                <w:color w:val="auto"/>
              </w:rPr>
            </w:pPr>
            <w:r>
              <w:rPr>
                <w:rFonts w:ascii="Arial" w:cs="Arial" w:eastAsia="Arial" w:hAnsi="Arial"/>
                <w:sz w:val="14"/>
                <w:szCs w:val="14"/>
                <w:color w:val="auto"/>
              </w:rPr>
              <w:t>3rd Qtr.</w:t>
            </w:r>
          </w:p>
        </w:tc>
        <w:tc>
          <w:tcPr>
            <w:tcW w:w="300" w:type="dxa"/>
            <w:vAlign w:val="bottom"/>
          </w:tcPr>
          <w:p>
            <w:pPr>
              <w:spacing w:after="0"/>
              <w:rPr>
                <w:sz w:val="14"/>
                <w:szCs w:val="14"/>
                <w:color w:val="auto"/>
              </w:rPr>
            </w:pPr>
          </w:p>
        </w:tc>
        <w:tc>
          <w:tcPr>
            <w:tcW w:w="920" w:type="dxa"/>
            <w:vAlign w:val="bottom"/>
            <w:gridSpan w:val="2"/>
          </w:tcPr>
          <w:p>
            <w:pPr>
              <w:jc w:val="right"/>
              <w:ind w:right="310"/>
              <w:spacing w:after="0"/>
              <w:rPr>
                <w:sz w:val="20"/>
                <w:szCs w:val="20"/>
                <w:color w:val="auto"/>
              </w:rPr>
            </w:pPr>
            <w:r>
              <w:rPr>
                <w:rFonts w:ascii="Arial" w:cs="Arial" w:eastAsia="Arial" w:hAnsi="Arial"/>
                <w:sz w:val="14"/>
                <w:szCs w:val="14"/>
                <w:color w:val="auto"/>
                <w:w w:val="98"/>
              </w:rPr>
              <w:t>2nd Qtr.</w:t>
            </w:r>
          </w:p>
        </w:tc>
      </w:tr>
      <w:tr>
        <w:trPr>
          <w:trHeight w:val="167"/>
        </w:trPr>
        <w:tc>
          <w:tcPr>
            <w:tcW w:w="20" w:type="dxa"/>
            <w:vAlign w:val="bottom"/>
          </w:tcPr>
          <w:p>
            <w:pPr>
              <w:spacing w:after="0"/>
              <w:rPr>
                <w:sz w:val="14"/>
                <w:szCs w:val="14"/>
                <w:color w:val="auto"/>
              </w:rPr>
            </w:pPr>
          </w:p>
        </w:tc>
        <w:tc>
          <w:tcPr>
            <w:tcW w:w="63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2015</w:t>
            </w:r>
          </w:p>
        </w:tc>
        <w:tc>
          <w:tcPr>
            <w:tcW w:w="3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Interest-checking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50,273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10,997</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30,782</w:t>
            </w:r>
          </w:p>
        </w:tc>
        <w:tc>
          <w:tcPr>
            <w:tcW w:w="3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93,246</w:t>
            </w:r>
          </w:p>
        </w:tc>
        <w:tc>
          <w:tcPr>
            <w:tcW w:w="3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$1.3 billion in each of the two most recent quarters, compared with $350 million in the third quarter of 2015. The higher averages in the two most recent quarters as compared with the third quarter of 2015 were predominantly due to deposits obtained in the acquisition of Hudson City. Cayman Islands office deposits averaged $220 million, $206 million and $183 million for the three-month periods ended September 30, 2016, September 30, 2015 and June 30, 2016, respectively. Brokered time deposits averaged $59 million in each of the two most recent quarters and in the third quarter of 2015. The Company also has brokered interest-bearing transaction and brokered money-market deposit accounts, which in the aggregate averaged $1.0 billion during each of the two most recent quarters, compared with $1.2 billion during the third quarter of 2015. The levels of brokered deposit accounts reflect the demand for such deposits, largely resulting from the desire of brokerage firms to earn reasonable yields while ensuring that customer deposits are fully insured. The level of Cayman Islands office deposits is also reflective of customer demand.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7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less than one year. Average short-term borrowings totaled $231 million in the recent quarter, compared with $174 million in the third quarter of 2015 and $1.1 billion in the second quarter of 2016. The higher level of such borrowings in the second quarter of 2016 was predominantly due to short-term borrowings from the Federal Home Loan Bank of New York assumed in the Hudson City acquisition. Those fixed-rate borrowings largely matured during the second quarter of 2016. Included in short-term borrowings were unsecured federal funds borrowings, which generally mature on the next business day, that averaged $160 million and $123 million in the third quarters of 2016 and 2015, respectively, and $161 million in the second quarter of 2016.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jc w:val="both"/>
        <w:ind w:firstLine="518"/>
        <w:spacing w:after="0" w:line="285" w:lineRule="auto"/>
        <w:rPr>
          <w:sz w:val="20"/>
          <w:szCs w:val="20"/>
          <w:color w:val="auto"/>
        </w:rPr>
      </w:pPr>
      <w:r>
        <w:rPr>
          <w:rFonts w:ascii="Arial" w:cs="Arial" w:eastAsia="Arial" w:hAnsi="Arial"/>
          <w:sz w:val="16"/>
          <w:szCs w:val="16"/>
          <w:color w:val="auto"/>
        </w:rPr>
        <w:t>Long-term borrowings averaged $10.3 billion in the two most recent quarters, compared with $10.1 billion in the third quarter of 2015. M&amp;T Bank has a Bank Note Program whereby M&amp;T Bank may offer unsecured senior and subordinated notes. Average balances of notes outstanding under that program were $5.2 billion during each of the three-month periods ended September 30, 2016 and June 30, 2016 and $5.5 billion during the three-month period ended September 30, 2015. The proceeds of the issuances of borrowings under the Bank Note Program have been predominantly utilized to purchase high-quality liquid assets that meet the requirements of the LCR. Also included in average long-term borrowings were amounts borrowed from various Federal Home Loan Banks of $1.2 billion in each of the recent quarter, the third quarter of 2015 and the second quarter of 2016. Subordinated capital notes included in long-term borrowings averaged $1.5 billion in each of the three-month periods ended September 30, 2016, September 30, 2015 and June 30, 2016. Junior subordinated debentures associated with trust preferred securities that were included in average long-term borrowings were $516 million in the most recent quarter, compared with $513 million in the third quarter of 2015 and $515 million in the second quarter of 2016. In accordance with its 2015 Capital Plan, on April 15, 2015 M&amp;T redeemed the junior subordinated debentures associated with the $310 million of trust preferred securities of M&amp;T Capital Trusts I, II and III. Those borrowings had a weighted-average interest rate of 8.24%. Additional information regarding junior subordinated debentures is provided in note 5 of Notes to Financial Statements. Also included in long-term borrowings were agreements to repurchase securities, which averaged $1.9 billion during each of the two most recent quarters and $1.4 billion in the third quarter of 2015. The increases from the third quarter of 2015 reflect agreements to repurchase securities assumed in connection with the Hudson City acquisition. The repurchase agreements held at September 30, 2016 have various repurchase dates through 2020, however, the contractual maturities of the underlying securities extend beyond such repurchase dates. The Company has utilized interest rate swap agreements to modify the repricing characteristics of certain components of long-term debt. As of September 30, 2016, interest rate swap agreements were used to hedge approximately $1.4 billion of outstanding fixed rate long-term borrowings. Further information on interest rate swap agreements is provided in note 10 of Notes to Financial Statements.</w:t>
      </w:r>
    </w:p>
    <w:p>
      <w:pPr>
        <w:spacing w:after="0" w:line="173"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2.85% in the third quarter of 2016, compared with 2.93% in the third quarter of 2015 and 2.95% in the second quarter of 2016. The yield on earning assets during the recent quarter was 3.44%, down 4 basis points from 3.48% in the year-earlier quarter, while the rate paid on interest-bearing liabilities increased 4 basis points to .59% from .55% in the third quarter of 2015. In the second quarter of 2016, the yield on earning assets was 3.51% and the rate paid on interest-bearing liabilities was .56%. For the first nine months of 2016, the net interest spread was 2.94%, down 2 basis points from the year-earlier period. The yield on earning assets and the rate paid on interest-bearing liabilities for the nine-month period ended September 30, 2016 were 3.50% and .56%, respectively, compared with 3.51% and .55%, respectively, in the first nine months of 2015. The narrowing of the net interest spread in the recent quarter as compared with the year-earlier quarter and the second quarter of 2016 resulted largely from lower yields on loans and investment securities, higher rates paid on interest-bearing deposits (largely associated with time deposits obtained in the Hudson City acquisition) and higher amounts of relatively low-yielding balances held at the Federal Reserve Bank of New York.</w:t>
      </w:r>
    </w:p>
    <w:p>
      <w:pPr>
        <w:spacing w:after="0" w:line="183"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$37.3 billion in the recent quarter, compared with $32.6 billion in the third quarter of 2015 and $35.7 billion in the second quarter of 2016. The increases in average net interest-free funds in the two most recent quarters as compared with the third quarter of 2015 reflect higher average balances of noninterest-bearing deposits and shareholders’ equity. Those deposits averaged $30.8 billion, $28.3 billion and $29.2 billion in the quarters ended September 30, 2016, September 30, 2015 and June 30, 2016, respectively. During the first nine months of 2016 and 2015, average net interest-free funds were $36.0 billion and $30.9 billion, respectively, and included average balances of noninterest-bearing deposits of $29.6 billion in 2016 and $26.9 billion in 2015. In connection with the acquisition of Hudson City, the Company added noninterest-bearing deposits of $691 million at the acquisition date. In addition to the merger, growth in noninterest-bearing deposits since the third quarter of 2015 reflects higher deposits of commercial customers. Shareholders’ equity averaged $16.3 billion, $12.8 billion and $16.4 billion in the quarters ended September 30, 2016, September 30, 2015 and June 30, 2016, respectively. Average shareholders’ equity during the first nine months of 2016 was $16.3 billion, compared with $12.6 billion during the comparable period in 2015. The rise in average shareholders’ equity included $3.1 billion of common equity issued in connection with the acquisition of Hudson City as well as net retained earnings. Goodwill and core deposit and other intangible assets averaged $4.7 billion during each of the two most recent quarters, compared with $3.5 billion during the quarter ended September 30, 2015. Goodwill of $1.1 billion and core deposit intangible of $132 million resulted from the Hudson City acquisition. The cash surrender value of bank owned life insurance averaged $1.7 billion in each of the three-month periods ended September 30, 2016, September 30, 2015 and June 30, 2016. Increases in the cash surrender value of bank owned life insurance and benefits received are not included in interest income, but rather are recorded in “other revenues from operations.” The contribution of net interest-free funds to net interest margin was .20% in the recent quarter, compared with .21% in the third quarter of 2015 and .18% in the second quarter of 2016. That contribution for the first nine months of 2016 and 2015 was .18% and .20%,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jc w:val="both"/>
        <w:ind w:right="20" w:firstLine="518"/>
        <w:spacing w:after="0" w:line="257" w:lineRule="auto"/>
        <w:rPr>
          <w:sz w:val="20"/>
          <w:szCs w:val="20"/>
          <w:color w:val="auto"/>
        </w:rPr>
      </w:pPr>
      <w:r>
        <w:rPr>
          <w:rFonts w:ascii="Arial" w:cs="Arial" w:eastAsia="Arial" w:hAnsi="Arial"/>
          <w:sz w:val="18"/>
          <w:szCs w:val="18"/>
          <w:color w:val="auto"/>
        </w:rPr>
        <w:t>Reflecting the changes to the net interest spread and the contribution of interest-free funds as described herein, the Company’s net interest margin was 3.05% in the recent quarter, down from 3.14% in the third quarter of 2015 and 3.13% in the second quarter of 2016. During the nine-month periods ended September 30, 2016 and 2015, the net interest margin was 3.12% and 3.16%,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88" w:lineRule="exact"/>
        <w:rPr>
          <w:sz w:val="20"/>
          <w:szCs w:val="20"/>
          <w:color w:val="auto"/>
        </w:rPr>
      </w:pPr>
    </w:p>
    <w:p>
      <w:pPr>
        <w:jc w:val="both"/>
        <w:ind w:right="20" w:firstLine="518"/>
        <w:spacing w:after="0" w:line="291"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interest-bearing liabilities. Periodic settlement amounts arising from these agreements are reflected in the rates paid on interest-bearing liabilities. The notional amount of interest rate swap agreements entered into for interest rate risk management purposes was $1.4 billion at each of September 30, 2016, September 30, 2015 and June 30, 2016. Under the terms of those interest rate swap agreements, the Company received payments based on the outstanding notional amount at fixed rates and made payments at variable rates. Those interest rate swap agreements were designated as fair value hedges of certain fixed rate long-term borrowings. There were no interest rate swap agreements designated as cash flow hedges at those respective dates.</w:t>
      </w:r>
    </w:p>
    <w:p>
      <w:pPr>
        <w:spacing w:after="0" w:line="167" w:lineRule="exact"/>
        <w:rPr>
          <w:sz w:val="20"/>
          <w:szCs w:val="20"/>
          <w:color w:val="auto"/>
        </w:rPr>
      </w:pPr>
    </w:p>
    <w:p>
      <w:pPr>
        <w:jc w:val="both"/>
        <w:ind w:right="20" w:firstLine="518"/>
        <w:spacing w:after="0" w:line="287"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The amounts of hedge ineffectiveness recognized during each of the quarters ended September 30, 2016, September 30, 2015 and June 30, 2016 were not material to the Company’s consolidated results of operations. The estimated aggregate fair value of interest rate swap agreements designated as fair value hedges represented gains of approximately $21 million at September 30, 2016, $61 million at September 30, 2015, $34 million at June 30, 2016 and $44 million at December 31, 2015. The fair values of such interest rate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September 30, 2016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$11 million of collateral with the Company.</w:t>
      </w:r>
    </w:p>
    <w:p>
      <w:pPr>
        <w:spacing w:after="0" w:line="173"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4.42% and 1.79%, respectively, at September 30, 2016.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gridSpan w:val="2"/>
            <w:vMerge w:val="restart"/>
          </w:tcPr>
          <w:p>
            <w:pPr>
              <w:jc w:val="right"/>
              <w:ind w:right="910"/>
              <w:spacing w:after="0"/>
              <w:rPr>
                <w:sz w:val="20"/>
                <w:szCs w:val="20"/>
                <w:color w:val="auto"/>
              </w:rPr>
            </w:pPr>
            <w:r>
              <w:rPr>
                <w:rFonts w:ascii="Arial" w:cs="Arial" w:eastAsia="Arial" w:hAnsi="Arial"/>
                <w:sz w:val="14"/>
                <w:szCs w:val="14"/>
                <w:color w:val="auto"/>
              </w:rPr>
              <w:t>.</w:t>
            </w: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color w:val="auto"/>
                <w:w w:val="95"/>
              </w:rPr>
              <w:t>Three months ended September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color w:val="auto"/>
              </w:rPr>
              <w:t>2016</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2015</w:t>
            </w: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528"/>
              <w:spacing w:after="0" w:line="155" w:lineRule="exact"/>
              <w:rPr>
                <w:sz w:val="20"/>
                <w:szCs w:val="20"/>
                <w:color w:val="auto"/>
              </w:rPr>
            </w:pPr>
            <w:r>
              <w:rPr>
                <w:rFonts w:ascii="Arial" w:cs="Arial" w:eastAsia="Arial" w:hAnsi="Arial"/>
                <w:sz w:val="14"/>
                <w:szCs w:val="14"/>
                <w:color w:val="auto"/>
              </w:rPr>
              <w:t>Amount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4"/>
              </w:rPr>
              <w:t>Rate(a)</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Amount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94"/>
              </w:rPr>
              <w:t>Rate(a)</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2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2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(9,462)</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(10,999)</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interest income/margin</w:t>
            </w:r>
          </w:p>
        </w:tc>
        <w:tc>
          <w:tcPr>
            <w:tcW w:w="20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9,462</w:t>
            </w:r>
          </w:p>
        </w:tc>
        <w:tc>
          <w:tcPr>
            <w:tcW w:w="40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10,999</w:t>
            </w:r>
          </w:p>
        </w:tc>
        <w:tc>
          <w:tcPr>
            <w:tcW w:w="40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notional amount</w:t>
            </w:r>
          </w:p>
        </w:tc>
        <w:tc>
          <w:tcPr>
            <w:tcW w:w="2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1,400,000</w:t>
            </w:r>
          </w:p>
        </w:tc>
        <w:tc>
          <w:tcPr>
            <w:tcW w:w="4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1,400,000</w:t>
            </w:r>
          </w:p>
        </w:tc>
        <w:tc>
          <w:tcPr>
            <w:tcW w:w="4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580"/>
              <w:spacing w:after="0"/>
              <w:rPr>
                <w:sz w:val="20"/>
                <w:szCs w:val="20"/>
                <w:color w:val="auto"/>
              </w:rPr>
            </w:pPr>
            <w:r>
              <w:rPr>
                <w:rFonts w:ascii="Arial" w:cs="Arial" w:eastAsia="Arial" w:hAnsi="Arial"/>
                <w:sz w:val="18"/>
                <w:szCs w:val="18"/>
                <w:color w:val="auto"/>
              </w:rPr>
              <w:t>Rate received (b)</w:t>
            </w: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Rate paid (b)</w:t>
            </w:r>
          </w:p>
        </w:tc>
        <w:tc>
          <w:tcPr>
            <w:tcW w:w="20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68</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25</w:t>
            </w: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60" w:type="dxa"/>
            <w:vAlign w:val="bottom"/>
            <w:vMerge w:val="restart"/>
          </w:tcPr>
          <w:p>
            <w:pPr>
              <w:jc w:val="right"/>
              <w:ind w:right="590"/>
              <w:spacing w:after="0"/>
              <w:rPr>
                <w:sz w:val="20"/>
                <w:szCs w:val="20"/>
                <w:color w:val="auto"/>
              </w:rPr>
            </w:pPr>
            <w:r>
              <w:rPr>
                <w:rFonts w:ascii="Arial" w:cs="Arial" w:eastAsia="Arial" w:hAnsi="Arial"/>
                <w:sz w:val="18"/>
                <w:szCs w:val="18"/>
                <w:color w:val="auto"/>
              </w:rPr>
              <w:t>- 53 -</w:t>
            </w: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3" w:name="page54"/>
    <w:bookmarkEnd w:id="53"/>
    <w:tbl>
      <w:tblPr>
        <w:tblLayout w:type="fixed"/>
        <w:tblInd w:w="58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color w:val="auto"/>
                <w:w w:val="97"/>
              </w:rPr>
              <w:t>Nine months ended September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48"/>
              <w:spacing w:after="0" w:line="155" w:lineRule="exact"/>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2015</w:t>
            </w: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8"/>
              <w:spacing w:after="0"/>
              <w:rPr>
                <w:sz w:val="20"/>
                <w:szCs w:val="20"/>
                <w:color w:val="auto"/>
              </w:rPr>
            </w:pPr>
            <w:r>
              <w:rPr>
                <w:rFonts w:ascii="Arial" w:cs="Arial" w:eastAsia="Arial" w:hAnsi="Arial"/>
                <w:sz w:val="14"/>
                <w:szCs w:val="14"/>
                <w:color w:val="auto"/>
              </w:rPr>
              <w:t>Amount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Rate(a)</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color w:val="auto"/>
              </w:rPr>
              <w:t>Amount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Rate(a)</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(29,593)</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(33,419)</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interest income/margin</w:t>
            </w:r>
          </w:p>
        </w:tc>
        <w:tc>
          <w:tcPr>
            <w:tcW w:w="19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29,593</w:t>
            </w:r>
          </w:p>
        </w:tc>
        <w:tc>
          <w:tcPr>
            <w:tcW w:w="38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33,419</w:t>
            </w:r>
          </w:p>
        </w:tc>
        <w:tc>
          <w:tcPr>
            <w:tcW w:w="40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notional amount</w:t>
            </w:r>
          </w:p>
        </w:tc>
        <w:tc>
          <w:tcPr>
            <w:tcW w:w="1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1,400,000</w:t>
            </w:r>
          </w:p>
        </w:tc>
        <w:tc>
          <w:tcPr>
            <w:tcW w:w="3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1,400,000</w:t>
            </w:r>
          </w:p>
        </w:tc>
        <w:tc>
          <w:tcPr>
            <w:tcW w:w="4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Rate paid (b)</w:t>
            </w:r>
          </w:p>
        </w:tc>
        <w:tc>
          <w:tcPr>
            <w:tcW w:w="1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to provide liquidity and enhance regulatory capital ratios. Such notes generally qualify under the Federal Reserve Board’s risk-based capital guidelines for inclusion in the Company’s regulatory capital. However, pursuant to the Dodd-Frank Act, the Company’s junior subordinated debentures associated with trust preferred securities have been phased-out of the definition of Tier 1 capital. Effective January 1, 2015, 75% of such junior subordinated debentures were excluded from the Company’s Tier 1 capital, and beginning January 1, 2016, 100% have been excluded. The amounts excluded from Tier 1 capital are includable in total capital. In accordance with its 2015 Capital Plan, in April 2015 M&amp;T redeemed the junior subordinated debentures associated with the trust preferred securities of M&amp;T Capital Trusts I, II and III.</w:t>
      </w:r>
    </w:p>
    <w:p>
      <w:pPr>
        <w:spacing w:after="0" w:line="18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Company has informal and sometimes reciprocal sources of funding available through various arrangements for unsecured short-term borrowings from a wide group of banks and other financial institutions. Short-term federal funds borrowings totaled $159 million, $122 million and $99 million at September 30, 2016, September 30, 2015 and December 31, 2015, respectively. In general, those borrowings were unsecured and matured on the next business day. In addition to satisfying customer demand, Cayman Islands office deposits may be used by the Company as an alternative to short-term borrowings. Cayman Islands office deposits totaled $223 million at September 30, 2016, $206 million at September 30, 2015 and $170 million at December 31, 2015. The Company has also benefited from the placement of brokered deposits. The Company has brokered interest-bearing transaction and brokered money-market deposit accounts which aggregated approximately $1.1 billion at September 30, 2016 and $1.2 billion at each of September 30, 2015 and December 31, 2015. Brokered time deposits were not a significant source of funding as of those dates.</w:t>
      </w:r>
    </w:p>
    <w:p>
      <w:pPr>
        <w:spacing w:after="0" w:line="17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Company’s ability to obtain funding from the sources noted above or from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89"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totaled $73 million at September 30, 2016 (substantially all of which were remarketed in October 2016) and less than $1 million at December 31, 2015, while there were no outstanding VRDBs in the Company’s trading account at September 30, 2015. The total amount of VRDBs outstanding backed by M&amp;T Bank letters of credit was $1.6 billion at September 30, 2016, compared with $1.8 billion at September 30, 2015 and $1.7 billion at December 31, 2015. M&amp;T Bank also serves as remarketing agent for most of those bonds.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4" w:name="page55"/>
    <w:bookmarkEnd w:id="54"/>
    <w:p>
      <w:pPr>
        <w:jc w:val="both"/>
        <w:ind w:firstLine="518"/>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5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September 30, 2016 approximately $985 million was available for payment of dividends to M&amp;T from banking subsidiaries. Information regarding the long-term debt obligations of M&amp;T is included in note 5 of Notes to Financial Statements.</w:t>
      </w:r>
    </w:p>
    <w:p>
      <w:pPr>
        <w:spacing w:after="0" w:line="18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effective date for those rules for the Company was January 1, 2016, subject to a phase-in period. The Company has taken steps as noted herein to enhance its liquidity and is in compliance with the phase-in requirements of the rules.</w:t>
      </w:r>
    </w:p>
    <w:p>
      <w:pPr>
        <w:spacing w:after="0" w:line="165"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69"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that is reflective of current interest rates.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accompanying table as of September 30, 2016 and December 31, 2015 displays the estimated impact on net interest income from non-trading financial instruments in the base scenario described above resulting from parallel changes in interest rates across repricing categories during the first modeling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0" w:lineRule="exact"/>
        <w:rPr>
          <w:sz w:val="20"/>
          <w:szCs w:val="20"/>
          <w:color w:val="auto"/>
        </w:rPr>
      </w:pPr>
    </w:p>
    <w:p>
      <w:pPr>
        <w:ind w:left="7560"/>
        <w:spacing w:after="0"/>
        <w:rPr>
          <w:sz w:val="20"/>
          <w:szCs w:val="20"/>
          <w:color w:val="auto"/>
        </w:rPr>
      </w:pPr>
      <w:r>
        <w:rPr>
          <w:rFonts w:ascii="Arial" w:cs="Arial" w:eastAsia="Arial" w:hAnsi="Arial"/>
          <w:sz w:val="14"/>
          <w:szCs w:val="14"/>
          <w:color w:val="auto"/>
        </w:rPr>
        <w:t>Calculated increase (decrease)</w:t>
      </w:r>
    </w:p>
    <w:p>
      <w:pPr>
        <w:ind w:left="7520"/>
        <w:spacing w:after="0"/>
        <w:rPr>
          <w:sz w:val="20"/>
          <w:szCs w:val="20"/>
          <w:color w:val="auto"/>
        </w:rPr>
      </w:pPr>
      <w:r>
        <w:rPr>
          <w:rFonts w:ascii="Arial" w:cs="Arial" w:eastAsia="Arial" w:hAnsi="Arial"/>
          <w:sz w:val="14"/>
          <w:szCs w:val="14"/>
          <w:color w:val="auto"/>
        </w:rPr>
        <w:t>in projected net interest income</w:t>
      </w:r>
    </w:p>
    <w:tbl>
      <w:tblPr>
        <w:tblLayout w:type="fixed"/>
        <w:tblInd w:w="1720" w:type="dxa"/>
        <w:tblCellMar>
          <w:top w:w="0" w:type="dxa"/>
          <w:left w:w="0" w:type="dxa"/>
          <w:bottom w:w="0" w:type="dxa"/>
          <w:right w:w="0" w:type="dxa"/>
        </w:tblCellMar>
      </w:tblPr>
      <w:tr>
        <w:trPr>
          <w:trHeight w:val="138"/>
        </w:trPr>
        <w:tc>
          <w:tcPr>
            <w:tcW w:w="14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w w:val="89"/>
              </w:rPr>
              <w:t>September 30,</w:t>
            </w:r>
          </w:p>
        </w:tc>
        <w:tc>
          <w:tcPr>
            <w:tcW w:w="11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December 31,</w:t>
            </w:r>
          </w:p>
        </w:tc>
      </w:tr>
      <w:tr>
        <w:trPr>
          <w:trHeight w:val="174"/>
        </w:trPr>
        <w:tc>
          <w:tcPr>
            <w:tcW w:w="142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color w:val="auto"/>
                <w:w w:val="89"/>
              </w:rPr>
              <w:t>Changes in interest rates</w:t>
            </w:r>
          </w:p>
        </w:tc>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17"/>
              <w:spacing w:after="0" w:line="154" w:lineRule="exact"/>
              <w:rPr>
                <w:sz w:val="20"/>
                <w:szCs w:val="20"/>
                <w:color w:val="auto"/>
              </w:rPr>
            </w:pPr>
            <w:r>
              <w:rPr>
                <w:rFonts w:ascii="Arial" w:cs="Arial" w:eastAsia="Arial" w:hAnsi="Arial"/>
                <w:sz w:val="14"/>
                <w:szCs w:val="14"/>
                <w:color w:val="auto"/>
              </w:rPr>
              <w:t>2016</w:t>
            </w:r>
          </w:p>
        </w:tc>
        <w:tc>
          <w:tcPr>
            <w:tcW w:w="280" w:type="dxa"/>
            <w:vAlign w:val="bottom"/>
          </w:tcPr>
          <w:p>
            <w:pPr>
              <w:spacing w:after="0"/>
              <w:rPr>
                <w:sz w:val="15"/>
                <w:szCs w:val="15"/>
                <w:color w:val="auto"/>
              </w:rPr>
            </w:pPr>
          </w:p>
        </w:tc>
        <w:tc>
          <w:tcPr>
            <w:tcW w:w="1020" w:type="dxa"/>
            <w:vAlign w:val="bottom"/>
          </w:tcPr>
          <w:p>
            <w:pPr>
              <w:jc w:val="right"/>
              <w:ind w:right="297"/>
              <w:spacing w:after="0" w:line="154" w:lineRule="exact"/>
              <w:rPr>
                <w:sz w:val="20"/>
                <w:szCs w:val="20"/>
                <w:color w:val="auto"/>
              </w:rPr>
            </w:pPr>
            <w:r>
              <w:rPr>
                <w:rFonts w:ascii="Arial" w:cs="Arial" w:eastAsia="Arial" w:hAnsi="Arial"/>
                <w:sz w:val="14"/>
                <w:szCs w:val="14"/>
                <w:color w:val="auto"/>
              </w:rPr>
              <w:t>2015</w:t>
            </w:r>
          </w:p>
        </w:tc>
        <w:tc>
          <w:tcPr>
            <w:tcW w:w="80" w:type="dxa"/>
            <w:vAlign w:val="bottom"/>
          </w:tcPr>
          <w:p>
            <w:pPr>
              <w:spacing w:after="0"/>
              <w:rPr>
                <w:sz w:val="15"/>
                <w:szCs w:val="15"/>
                <w:color w:val="auto"/>
              </w:rPr>
            </w:pPr>
          </w:p>
        </w:tc>
      </w:tr>
      <w:tr>
        <w:trPr>
          <w:trHeight w:val="217"/>
        </w:trPr>
        <w:tc>
          <w:tcPr>
            <w:tcW w:w="5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278,164</w:t>
            </w:r>
          </w:p>
        </w:tc>
        <w:tc>
          <w:tcPr>
            <w:tcW w:w="2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243,958</w:t>
            </w: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162,671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145,169</w:t>
            </w:r>
          </w:p>
        </w:tc>
        <w:tc>
          <w:tcPr>
            <w:tcW w:w="8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-50 basis points</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(114,108)</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(99,603)</w:t>
            </w:r>
          </w:p>
        </w:tc>
      </w:tr>
    </w:tbl>
    <w:p>
      <w:pPr>
        <w:spacing w:after="0" w:line="24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increases in interest rates during a twelve-month period of 100 and 200 basis points, as compared with the assumed base scenario, as well as a gradual decrease of 50 basis points. In the declining rate scenario, the rate changes may be limited to lesser amounts such that interest rates remain positive on all points of the yield curve. In 2016, the Company suspended the -100 basis point scenario due to the persistent low level of interest rates. This scenario will be reinstated if and when interest rates rise sufficiently to make the analysis more meaningful.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8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12 of Notes to Financial Statements.</w:t>
      </w:r>
    </w:p>
    <w:p>
      <w:pPr>
        <w:spacing w:after="0" w:line="18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Company engages in limited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the offsetting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8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The notional amounts of interest rate contracts entered into for trading account purposes aggregated $21.2 billion at September 30, 2016, compared with $17.6 billion at September 30, 2015 and $18.4 billion at December 31, 2015. The notional amounts of foreign currency and other option and futures contracts entered into for trading account purposes totaled $891 million at September 30, 2016, compared with $1.6 billion at each of September 30, 2015 and December 31, 2015. Although the notional amounts of these contracts are not recorded in the consolidated balance sheet, the fair values of all financial instruments used for trading account activities are recorded in the consolidated balance sheet. The fair values of all trading account assets and liabilities totaled $489 million and $293 million, respectively, at September 30, 2016, $341 million and $233 million, respectively, at September 30, 2015, and $274 million and $161 million, respectively, at December 31, 2015. Included in trading account assets at September 30, 2016 were assets related to deferred compensation plans totaling $23 million at each of September 30, 2016 and September 30, 2015, compared with $24 million at December 31, 2015. Changes in the fair values of such assets are recorded as “trading account and foreign exchange gains” in the consolidated statement of income. Included in “other liabilities” in the consolidated balance sheet at September 30, 2016 were $26 million of liabilities related to deferred compensation plans, compared with $27 million at September 30, 2015 and $28 million at December 31, 2015.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$28 million, $25 million and $33 million at September 30, 2016, September 30, 2015 and December 31, 2015,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jc w:val="both"/>
        <w:ind w:firstLine="518"/>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third quarter of 2016 was $47 million, compared with $44 million in the year-earlier quarter and $32 million in the second quarter of 2016. For the nine-month periods ended September 30, 2016 and 2015, the provision for credit losses was $128 million and $112 million, respectively. Net charge-offs of loans were $41 million in the recent quarter, compared with $40 million in the third quarter of 2015 and $24 million in the second quarter of 2016. Net charge-offs as an annualized percentage of average loans and leases were .19% in the third quarter of 2016, compared with .24% and .11% in the third quarter of 2015 and the second quarter of 2016, respectively. Net charge-offs for the nine-month periods ended September 30 aggregated $108 million in 2016 and $98 million in 2015, representing an annualized rate of .16% and .19%, respectively, of average loans and leases. A summary of net charge-offs by loan type is presented in the table that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CHARGE-OFFS (RECOVERIES)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2016</w:t>
            </w: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7"/>
        </w:trPr>
        <w:tc>
          <w:tcPr>
            <w:tcW w:w="43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jc w:val="center"/>
              <w:spacing w:after="0" w:line="137" w:lineRule="exact"/>
              <w:rPr>
                <w:sz w:val="20"/>
                <w:szCs w:val="20"/>
                <w:color w:val="auto"/>
              </w:rPr>
            </w:pPr>
            <w:r>
              <w:rPr>
                <w:rFonts w:ascii="Arial" w:cs="Arial" w:eastAsia="Arial" w:hAnsi="Arial"/>
                <w:sz w:val="14"/>
                <w:szCs w:val="14"/>
                <w:color w:val="auto"/>
                <w:w w:val="87"/>
              </w:rPr>
              <w:t>Year-</w:t>
            </w:r>
          </w:p>
        </w:tc>
        <w:tc>
          <w:tcPr>
            <w:tcW w:w="120" w:type="dxa"/>
            <w:vAlign w:val="bottom"/>
          </w:tcPr>
          <w:p>
            <w:pPr>
              <w:spacing w:after="0"/>
              <w:rPr>
                <w:sz w:val="11"/>
                <w:szCs w:val="11"/>
                <w:color w:val="auto"/>
              </w:rPr>
            </w:pPr>
          </w:p>
        </w:tc>
      </w:tr>
      <w:tr>
        <w:trPr>
          <w:trHeight w:val="167"/>
        </w:trPr>
        <w:tc>
          <w:tcPr>
            <w:tcW w:w="4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w w:val="95"/>
              </w:rPr>
              <w:t>1st Qtr.</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2nd Qtr.</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3rd Qtr.</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to-date</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w:t>
            </w: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14,117</w:t>
            </w: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Real estate:</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(1,141)</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(1,866)</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(140)</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(3,147)</w:t>
            </w: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3,115</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13,035</w:t>
            </w:r>
          </w:p>
        </w:tc>
        <w:tc>
          <w:tcPr>
            <w:tcW w:w="12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7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37,394</w:t>
            </w: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26,139</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22,563</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86,096</w:t>
            </w:r>
          </w:p>
        </w:tc>
        <w:tc>
          <w:tcPr>
            <w:tcW w:w="12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42,240</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24,256</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41,375</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107,871</w:t>
            </w:r>
          </w:p>
        </w:tc>
        <w:tc>
          <w:tcPr>
            <w:tcW w:w="12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4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2015</w:t>
            </w: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7"/>
        </w:trPr>
        <w:tc>
          <w:tcPr>
            <w:tcW w:w="43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jc w:val="center"/>
              <w:spacing w:after="0" w:line="137" w:lineRule="exact"/>
              <w:rPr>
                <w:sz w:val="20"/>
                <w:szCs w:val="20"/>
                <w:color w:val="auto"/>
              </w:rPr>
            </w:pPr>
            <w:r>
              <w:rPr>
                <w:rFonts w:ascii="Arial" w:cs="Arial" w:eastAsia="Arial" w:hAnsi="Arial"/>
                <w:sz w:val="14"/>
                <w:szCs w:val="14"/>
                <w:color w:val="auto"/>
                <w:w w:val="87"/>
              </w:rPr>
              <w:t>Year-</w:t>
            </w:r>
          </w:p>
        </w:tc>
        <w:tc>
          <w:tcPr>
            <w:tcW w:w="120" w:type="dxa"/>
            <w:vAlign w:val="bottom"/>
          </w:tcPr>
          <w:p>
            <w:pPr>
              <w:spacing w:after="0"/>
              <w:rPr>
                <w:sz w:val="11"/>
                <w:szCs w:val="11"/>
                <w:color w:val="auto"/>
              </w:rPr>
            </w:pPr>
          </w:p>
        </w:tc>
      </w:tr>
      <w:tr>
        <w:trPr>
          <w:trHeight w:val="167"/>
        </w:trPr>
        <w:tc>
          <w:tcPr>
            <w:tcW w:w="4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w w:val="95"/>
              </w:rPr>
              <w:t>1st Qtr.</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2nd Qtr.</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3rd Qtr.</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to-date</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8,411</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4,056</w:t>
            </w: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21,590</w:t>
            </w: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Real estate:</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6,094</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8,607</w:t>
            </w:r>
          </w:p>
        </w:tc>
        <w:tc>
          <w:tcPr>
            <w:tcW w:w="120" w:type="dxa"/>
            <w:vAlign w:val="bottom"/>
            <w:shd w:val="clear" w:color="auto" w:fill="CFF0FC"/>
          </w:tcPr>
          <w:p>
            <w:pPr>
              <w:spacing w:after="0"/>
              <w:rPr>
                <w:sz w:val="19"/>
                <w:szCs w:val="19"/>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2,071</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6,343</w:t>
            </w:r>
          </w:p>
        </w:tc>
        <w:tc>
          <w:tcPr>
            <w:tcW w:w="12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7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19,555</w:t>
            </w: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12,830</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16,372</w:t>
            </w:r>
          </w:p>
        </w:tc>
        <w:tc>
          <w:tcPr>
            <w:tcW w:w="3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48,757</w:t>
            </w:r>
          </w:p>
        </w:tc>
        <w:tc>
          <w:tcPr>
            <w:tcW w:w="120" w:type="dxa"/>
            <w:vAlign w:val="bottom"/>
            <w:shd w:val="clear" w:color="auto" w:fill="CFF0FC"/>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36,189</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21,386</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40,189</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97,764</w:t>
            </w:r>
          </w:p>
        </w:tc>
        <w:tc>
          <w:tcPr>
            <w:tcW w:w="12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Included in net charge-offs of commercial loans and leases were $12 million of loans to a commercial maintenance services provider in the third quarter of 2016 and $6 million related to a loan with a general contractor in the greater New York City region in the third quarter of 2015. Reflected in net commercial loan and lease charge-offs in the second quarter of 2016 was a $7 million recovery of a previously charged-off loan. Included in net charge-offs of consumer loans and leases were net charge-offs during the quarters ended September 30, 2016, September 30, 2015 and June 30, 2016, respectively, of: automobile loans of $7 million, $2 million and $6 million; recreational vehicle loans of $4 million, $3 million and $3 million; and home equity loans and lines of credit of $5 million, $3 million and $4 million. During the first three quarters of 2016, the Company accelerated the charge off of consumer loans associated with customers who were either deceased or had filed for bankruptcy that, in accordance with GAAP, had previously been considered when determining level of the allowance for credit losses and were charged-off following the Company’s normal charge-off procedures to the extent the loans subsequently became delinquent. Charge-offs of such loans totaled $7 million in the recent quarter, $5 million in the second quarter and $14 million in the initial quarter of 2016 and included $4 million, $2 million and $11 million, respectively, of loan balances with a current payment status at the time of charge-off. For the nine-month periods ended September 30, 2016 and 2015, net consumer loan charge-offs included the following: automobile loans of $24 million and $8 million, respectively; recreational vehicles loans of $19 million and $9 million, respectively; and home equity loans and lines of credit of $14</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color w:val="auto"/>
        </w:rPr>
        <w:t>million and $12 million, respectively. In addition, reflected in consumer loan charge-offs in the second quarter of 2016 was a $6 million charge-off of an individual personal usage loan.</w:t>
      </w:r>
    </w:p>
    <w:p>
      <w:pPr>
        <w:spacing w:after="0" w:line="1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$2.0 billion at each of September 30, 2016 and 2015, and $2.5 billion at December 31, 2015. The decrease in such loans since December 31, 2015 was largely attributable to payments received. The nonaccretable balance related to remaining principal losses associated with loans acquired at a discount as of September 30, 2016 and December 31, 2015 is presented in the accompanying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NONACCRETABLE BALANCE - PRINCIPAL</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4"/>
          </w:tcPr>
          <w:p>
            <w:pPr>
              <w:ind w:left="660"/>
              <w:spacing w:after="0"/>
              <w:rPr>
                <w:sz w:val="20"/>
                <w:szCs w:val="20"/>
                <w:color w:val="auto"/>
              </w:rPr>
            </w:pPr>
            <w:r>
              <w:rPr>
                <w:rFonts w:ascii="Arial" w:cs="Arial" w:eastAsia="Arial" w:hAnsi="Arial"/>
                <w:sz w:val="14"/>
                <w:szCs w:val="14"/>
                <w:color w:val="auto"/>
              </w:rPr>
              <w:t>Remaining balance</w:t>
            </w:r>
          </w:p>
        </w:tc>
      </w:tr>
      <w:tr>
        <w:trPr>
          <w:trHeight w:val="137"/>
        </w:trPr>
        <w:tc>
          <w:tcPr>
            <w:tcW w:w="5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rPr>
              <w:t>September 30,</w:t>
            </w:r>
          </w:p>
        </w:tc>
        <w:tc>
          <w:tcPr>
            <w:tcW w:w="1080" w:type="dxa"/>
            <w:vAlign w:val="bottom"/>
            <w:tcBorders>
              <w:top w:val="single" w:sz="8" w:color="auto"/>
            </w:tcBorders>
          </w:tcPr>
          <w:p>
            <w:pPr>
              <w:jc w:val="right"/>
              <w:ind w:right="75"/>
              <w:spacing w:after="0" w:line="137"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1"/>
                <w:szCs w:val="11"/>
                <w:color w:val="auto"/>
              </w:rPr>
            </w:pPr>
          </w:p>
        </w:tc>
      </w:tr>
      <w:tr>
        <w:trPr>
          <w:trHeight w:val="167"/>
        </w:trPr>
        <w:tc>
          <w:tcPr>
            <w:tcW w:w="5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r>
      <w:tr>
        <w:trPr>
          <w:trHeight w:val="155"/>
        </w:trPr>
        <w:tc>
          <w:tcPr>
            <w:tcW w:w="50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3"/>
          </w:tcPr>
          <w:p>
            <w:pPr>
              <w:jc w:val="right"/>
              <w:ind w:right="835"/>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Commercial, financing, leasing, etc.</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5,484</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10,806</w:t>
            </w:r>
          </w:p>
        </w:tc>
        <w:tc>
          <w:tcPr>
            <w:tcW w:w="120" w:type="dxa"/>
            <w:vAlign w:val="bottom"/>
          </w:tcPr>
          <w:p>
            <w:pPr>
              <w:spacing w:after="0"/>
              <w:rPr>
                <w:sz w:val="20"/>
                <w:szCs w:val="20"/>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2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39,577</w:t>
            </w: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48,173</w:t>
            </w:r>
          </w:p>
        </w:tc>
        <w:tc>
          <w:tcPr>
            <w:tcW w:w="12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70,088</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113,478</w:t>
            </w:r>
          </w:p>
        </w:tc>
        <w:tc>
          <w:tcPr>
            <w:tcW w:w="12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24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11,917</w:t>
            </w:r>
          </w:p>
        </w:tc>
        <w:tc>
          <w:tcPr>
            <w:tcW w:w="4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17,952</w:t>
            </w:r>
          </w:p>
        </w:tc>
        <w:tc>
          <w:tcPr>
            <w:tcW w:w="120" w:type="dxa"/>
            <w:vAlign w:val="bottom"/>
            <w:shd w:val="clear" w:color="auto" w:fill="CFF0FC"/>
          </w:tcPr>
          <w:p>
            <w:pPr>
              <w:spacing w:after="0"/>
              <w:rPr>
                <w:sz w:val="19"/>
                <w:szCs w:val="19"/>
                <w:color w:val="auto"/>
              </w:rPr>
            </w:pPr>
          </w:p>
        </w:tc>
      </w:tr>
      <w:tr>
        <w:trPr>
          <w:trHeight w:val="223"/>
        </w:trPr>
        <w:tc>
          <w:tcPr>
            <w:tcW w:w="5060" w:type="dxa"/>
            <w:vAlign w:val="bottom"/>
          </w:tcPr>
          <w:p>
            <w:pPr>
              <w:ind w:left="24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127,066</w:t>
            </w:r>
          </w:p>
        </w:tc>
        <w:tc>
          <w:tcPr>
            <w:tcW w:w="4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190,409</w:t>
            </w:r>
          </w:p>
        </w:tc>
        <w:tc>
          <w:tcPr>
            <w:tcW w:w="12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at a premium was $15.1 billion and $17.8 billion at September 30, 2016 and December 31, 2015, respectively. In addition to the impact of estimated credit losses included in the determination of fair value of those loans at the acquisition date, a $21 million provision for credit losses was also recorded in the fourth quarter of 2015 for incurred losses inherent in those loans at that time. GAAP does not allow the credit loss component of the net premium associated with those loans to be bifurcated and accounted for as a nonaccreting balance as is the case with purchased impaired loans and other loans acquired at a discount. Despite the fact that the determination of aggregate fair value reflects the impact of expected credit losses, GAAP provides that incurred losses in a portfolio of loans acquired at a premium be recognized even though in a relatively homogenous portfolio of residential mortgage loans the specific loans to which the losses relate cannot be individually identified at the acquisition date.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26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Nonaccrual loans totaled $837 million or .93% of total loans and leases outstanding at September 30, 2016, compared with $787 million or 1.15% at September 30, 2015, $799 million or .91% at December 31, 2015 and $849 million or .96% at June 30, 2016. The increases in nonaccrual loans at the two most recent quarter-ends as compared with September 30, 2015 and December 31, 2015 reflect the normal migration of previously performing residential real estate loans obtained in the acquisition of Hudson City that subsequently became over 90 days past due in 2016 and, as such, were not identifiable as purchased impaired as of the acquisition date. Those nonaccrual loans totaled $149 million at September 30, 2016 and $113 million at June 30,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8" w:name="page59"/>
    <w:bookmarkEnd w:id="58"/>
    <w:p>
      <w:pPr>
        <w:jc w:val="both"/>
        <w:ind w:firstLine="518"/>
        <w:spacing w:after="0" w:line="287" w:lineRule="auto"/>
        <w:rPr>
          <w:sz w:val="20"/>
          <w:szCs w:val="20"/>
          <w:color w:val="auto"/>
        </w:rPr>
      </w:pPr>
      <w:r>
        <w:rPr>
          <w:rFonts w:ascii="Arial" w:cs="Arial" w:eastAsia="Arial" w:hAnsi="Arial"/>
          <w:sz w:val="16"/>
          <w:szCs w:val="16"/>
          <w:color w:val="auto"/>
        </w:rPr>
        <w:t>Accruing loans past due 90 days or more (excluding loans acquired at a discount) were $317 million, or .35% of total loans and leases at September 30, 2016, compared with $231 million or .34% at September 30, 2015, $317 million or .36% at December 31, 2015 and $298 million or .34% at June 30, 2016. Those loans included loans guaranteed by government-related entities of $282 million, $194 million, $276 million and $270 million at September 30, 2016, September 30, 2015, December 31, 2015 and June 30, 2016, respectively. Such guaranteed loans obtained in the acquisition of Hudson City totaled $46 million, $44 million and $45 million at September 30, 2016, December 31, 2015 and June 30, 2016, respectively. Guaranteed loans also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$225 million at September 30, 2016, $182 million at September 30, 2015, $221 million at December 31, 2015 and $218 million at June 30, 2016. The remaining accruing loans past due 90 days or more not guaranteed by government-related entities were loans considered to be with creditworthy borrowers that were in the process of collection or renewal.</w:t>
      </w:r>
    </w:p>
    <w:p>
      <w:pPr>
        <w:spacing w:after="0" w:line="173"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$617 million at September 30, 2016, or .7% of total loans. Of that amount, $542 million was related to the Hudson City acquisition. Purchased impaired loans totaled $149 million and $768 million at September 30 and December 31, 2015, respectively.</w:t>
      </w:r>
    </w:p>
    <w:p>
      <w:pPr>
        <w:spacing w:after="0" w:line="165"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Accruing loans acquired at a discount past due 90 days or more are loans that could not be specifically identified as impaired as of the acquisition date, but were recorded at estimated fair value as of such date. Such loans totaled $65 million at September 30, 2016, compared with $81 million at September 30, 2015 and $68 million at December 31, 2015.</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$170 million, $153 million and $147 million at September 30, 2016, September 30, 2015 and December 31, 2015, respectively.</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Nonaccrual commercial loans and leases totaled $231 million at September 30, 2016, $224 million at September 30, 2015, $242 million at December 31, 2015 and $241 million at June 30, 2016.</w:t>
      </w:r>
    </w:p>
    <w:p>
      <w:pPr>
        <w:spacing w:after="0" w:line="17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Commercial real estate loans classified as nonaccrual totaled $198 million at September 30, 2016, $235 million at September 30, 2015, $224 million at December 31, 2015 and $218 million at June 30, 2016. Nonaccrual commercial real estate loans included construction-related loans of $41 million, $58 million, $45 million and $46 million at September 30, 2016, September 30, 2015, December 31, 2015 and June 30, 2016, respectively. Those nonaccrual construction loans included loans to residential builders and developers of $20 million, $46 million, $28 million and $24 million at September 30, 2016, September 30, 2015, December 31, 2015 and June 30, 2016, respectively. Information about the location of nonaccrual and charged-off loans to residential real estate builders and developers as of and for the three-month period ended September 30, 2016 is presented in the accompanying table.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RESIDENTIAL BUILDER AND DEVELOPER LOANS, NET OF UNEARNED DISCOUNT</w:t>
      </w:r>
    </w:p>
    <w:p>
      <w:pPr>
        <w:sectPr>
          <w:pgSz w:w="11900" w:h="16838" w:orient="portrait"/>
          <w:cols w:equalWidth="0" w:num="1">
            <w:col w:w="11420"/>
          </w:cols>
          <w:pgMar w:left="240" w:top="665" w:right="239" w:bottom="1440" w:gutter="0" w:footer="0" w:header="0"/>
        </w:sectPr>
      </w:pPr>
    </w:p>
    <w:p>
      <w:pPr>
        <w:spacing w:after="0" w:line="394"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3810</wp:posOffset>
            </wp:positionV>
            <wp:extent cx="18522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 w:lineRule="exact"/>
        <w:rPr>
          <w:sz w:val="20"/>
          <w:szCs w:val="20"/>
          <w:color w:val="auto"/>
        </w:rPr>
      </w:pPr>
    </w:p>
    <w:p>
      <w:pPr>
        <w:jc w:val="right"/>
        <w:ind w:right="380"/>
        <w:spacing w:after="0"/>
        <w:rPr>
          <w:sz w:val="20"/>
          <w:szCs w:val="20"/>
          <w:color w:val="auto"/>
        </w:rPr>
      </w:pPr>
      <w:r>
        <w:rPr>
          <w:rFonts w:ascii="Arial" w:cs="Arial" w:eastAsia="Arial" w:hAnsi="Arial"/>
          <w:sz w:val="14"/>
          <w:szCs w:val="14"/>
          <w:color w:val="auto"/>
        </w:rPr>
        <w:t>Nonaccrual</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Quarter ended September 30,</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wp:posOffset>
            </wp:positionV>
            <wp:extent cx="1106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Net charge-offs (recoveries)</w:t>
      </w:r>
    </w:p>
    <w:p>
      <w:pPr>
        <w:spacing w:after="0" w:line="12" w:lineRule="exact"/>
        <w:rPr>
          <w:sz w:val="20"/>
          <w:szCs w:val="20"/>
          <w:color w:val="auto"/>
        </w:rPr>
      </w:pPr>
    </w:p>
    <w:p>
      <w:pPr>
        <w:sectPr>
          <w:pgSz w:w="11900" w:h="16838" w:orient="portrait"/>
          <w:cols w:equalWidth="0" w:num="2">
            <w:col w:w="8640" w:space="720"/>
            <w:col w:w="2060"/>
          </w:cols>
          <w:pgMar w:left="240" w:top="665" w:right="2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35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5"/>
              </w:rPr>
              <w:t>Annualized</w:t>
            </w:r>
          </w:p>
        </w:tc>
        <w:tc>
          <w:tcPr>
            <w:tcW w:w="340" w:type="dxa"/>
            <w:vAlign w:val="bottom"/>
          </w:tcPr>
          <w:p>
            <w:pPr>
              <w:spacing w:after="0"/>
              <w:rPr>
                <w:sz w:val="11"/>
                <w:szCs w:val="11"/>
                <w:color w:val="auto"/>
              </w:rPr>
            </w:pPr>
          </w:p>
        </w:tc>
      </w:tr>
      <w:tr>
        <w:trPr>
          <w:trHeight w:val="149"/>
        </w:trPr>
        <w:tc>
          <w:tcPr>
            <w:tcW w:w="35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Arial" w:cs="Arial" w:eastAsia="Arial" w:hAnsi="Arial"/>
                <w:sz w:val="14"/>
                <w:szCs w:val="14"/>
                <w:color w:val="auto"/>
                <w:w w:val="93"/>
              </w:rPr>
              <w:t>percent of</w:t>
            </w:r>
          </w:p>
        </w:tc>
      </w:tr>
      <w:tr>
        <w:trPr>
          <w:trHeight w:val="149"/>
        </w:trPr>
        <w:tc>
          <w:tcPr>
            <w:tcW w:w="35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0"/>
              </w:rPr>
              <w:t>Percent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Arial" w:cs="Arial" w:eastAsia="Arial" w:hAnsi="Arial"/>
                <w:sz w:val="14"/>
                <w:szCs w:val="14"/>
                <w:color w:val="auto"/>
                <w:w w:val="90"/>
              </w:rPr>
              <w:t>average</w:t>
            </w:r>
          </w:p>
        </w:tc>
      </w:tr>
      <w:tr>
        <w:trPr>
          <w:trHeight w:val="149"/>
        </w:trPr>
        <w:tc>
          <w:tcPr>
            <w:tcW w:w="35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Outstanding</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outstanding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Arial" w:cs="Arial" w:eastAsia="Arial" w:hAnsi="Arial"/>
                <w:sz w:val="14"/>
                <w:szCs w:val="14"/>
                <w:color w:val="auto"/>
                <w:w w:val="91"/>
              </w:rPr>
              <w:t>outstanding</w:t>
            </w:r>
          </w:p>
        </w:tc>
      </w:tr>
      <w:tr>
        <w:trPr>
          <w:trHeight w:val="167"/>
        </w:trPr>
        <w:tc>
          <w:tcPr>
            <w:tcW w:w="3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color w:val="auto"/>
              </w:rPr>
              <w:t>balances(b)</w:t>
            </w:r>
          </w:p>
        </w:tc>
        <w:tc>
          <w:tcPr>
            <w:tcW w:w="10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4"/>
                <w:szCs w:val="14"/>
                <w:color w:val="auto"/>
                <w:w w:val="86"/>
              </w:rPr>
              <w:t>Balances</w:t>
            </w:r>
          </w:p>
        </w:tc>
        <w:tc>
          <w:tcPr>
            <w:tcW w:w="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balances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86"/>
              </w:rPr>
              <w:t>Balances</w:t>
            </w:r>
          </w:p>
        </w:tc>
        <w:tc>
          <w:tcPr>
            <w:tcW w:w="1060" w:type="dxa"/>
            <w:vAlign w:val="bottom"/>
            <w:gridSpan w:val="2"/>
          </w:tcPr>
          <w:p>
            <w:pPr>
              <w:jc w:val="center"/>
              <w:ind w:right="270"/>
              <w:spacing w:after="0"/>
              <w:rPr>
                <w:sz w:val="20"/>
                <w:szCs w:val="20"/>
                <w:color w:val="auto"/>
              </w:rPr>
            </w:pPr>
            <w:r>
              <w:rPr>
                <w:rFonts w:ascii="Arial" w:cs="Arial" w:eastAsia="Arial" w:hAnsi="Arial"/>
                <w:sz w:val="14"/>
                <w:szCs w:val="14"/>
                <w:color w:val="auto"/>
                <w:w w:val="89"/>
              </w:rPr>
              <w:t>balances</w:t>
            </w:r>
          </w:p>
        </w:tc>
      </w:tr>
      <w:tr>
        <w:trPr>
          <w:trHeight w:val="156"/>
        </w:trPr>
        <w:tc>
          <w:tcPr>
            <w:tcW w:w="35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jc w:val="right"/>
              <w:ind w:right="150"/>
              <w:spacing w:after="0" w:line="155" w:lineRule="exact"/>
              <w:rPr>
                <w:sz w:val="20"/>
                <w:szCs w:val="20"/>
                <w:color w:val="auto"/>
              </w:rPr>
            </w:pPr>
            <w:r>
              <w:rPr>
                <w:rFonts w:ascii="Arial" w:cs="Arial" w:eastAsia="Arial" w:hAnsi="Arial"/>
                <w:sz w:val="14"/>
                <w:szCs w:val="14"/>
                <w:color w:val="auto"/>
                <w:w w:val="97"/>
              </w:rPr>
              <w:t>(dollars in thousands)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New York</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711,291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Pennsylvania</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128,775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Mid-Atlantic(a)</w:t>
            </w:r>
          </w:p>
        </w:tc>
        <w:tc>
          <w:tcPr>
            <w:tcW w:w="2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469,941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(1,172)</w:t>
            </w: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(.95)</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580,487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1,890,494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540" w:type="dxa"/>
            <w:vAlign w:val="bottom"/>
            <w:tcBorders>
              <w:top w:val="single" w:sz="8" w:color="CFF0FC"/>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300" w:type="dxa"/>
            <w:vAlign w:val="bottom"/>
            <w:tcBorders>
              <w:top w:val="single" w:sz="8" w:color="CFF0FC"/>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Maryland, New Jersey, Virginia, West Virginia and the District of Columbia.</w:t>
      </w:r>
    </w:p>
    <w:p>
      <w:pPr>
        <w:spacing w:after="0" w:line="49" w:lineRule="exact"/>
        <w:rPr>
          <w:rFonts w:ascii="Arial" w:cs="Arial" w:eastAsia="Arial" w:hAnsi="Arial"/>
          <w:sz w:val="18"/>
          <w:szCs w:val="18"/>
          <w:i w:val="1"/>
          <w:iCs w:val="1"/>
          <w:color w:val="auto"/>
        </w:rPr>
      </w:pPr>
    </w:p>
    <w:p>
      <w:pPr>
        <w:ind w:left="520" w:hanging="512"/>
        <w:spacing w:after="0"/>
        <w:tabs>
          <w:tab w:leader="none" w:pos="5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$13 million of loans not secured by real estate, of which approximately $2 million are in nonaccrual status.</w:t>
      </w:r>
    </w:p>
    <w:p>
      <w:pPr>
        <w:spacing w:after="0" w:line="225"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Residential real estate loans classified as nonaccrual were $303 million at September 30, 2016, compared with $218 million at September 30, 2015, $215 million at December 31, 2015, and $282 million at June 30, 2016. The increase in residential real estate loans classified as nonaccrual at the two most recent quarter-ends as compared with December 31, 2015 reflects the normal migration of previously performing loans obtained in the acquisition of Hudson City that subsequently became more than 90 days delinquent in 2016. Such nonaccrual residential real estate loans aggregated $113 million at June 30, 2016 and $149 million at September 30, 2016. Those loans could not be identified as purchased impaired loans at the acquisition date because the borrowers were making loan payments at the time and the loans were not recorded at a discount. Included in residential real estate loans classified as nonaccrual were limited documentation first mortgage loans of $89 million, $64 million, $62 million and $79 million at September 30, 2016, September 30, 2015, December 31, 2015 and June 30, 2016 respectively. Limited documentation first mortgage loans represent loans secured by residential real estate that at origination typically included some form of limited borrower documentation requirements as compared with more traditional loans. Such loans in the Company’s portfolio prior to the Hudson City transaction were originated by the Company before 2008. Hudson City discontinued its limited documentation loan program in January</w:t>
      </w:r>
    </w:p>
    <w:p>
      <w:pPr>
        <w:spacing w:after="0" w:line="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2014. Residential real estate loans past due 90 days or more and accruing interest (excluding loans acquired at a discount) totaled $281 million (including $47 million obtained in the acquisition of Hudson City) at September 30, 2016, compared with $194 million at September 30, 2015, $284 million at December 31, 2015 and $271 million at June 30, 2016. A substantial portion of such amounts related to guaranteed loans repurchased from government-related entities.</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Information about the location of nonaccrual and charged-off residential real estate loans as of and for the quarter ended September 30, 2016 is presented in the accompanying table.</w:t>
      </w:r>
    </w:p>
    <w:p>
      <w:pPr>
        <w:spacing w:after="0" w:line="18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Nonaccrual consumer loans totaled $104 million and $110 million at September 30, 2016 and 2015, respectively, compared with $118 million at December 31, 2015 and $108 million at June 30, 2016. Included in nonaccrual consumer loans at September 30, 2016, September 30, 2015, December 31, 2015 and June 30, 2016 were automobile loans of $14 million, $14 million, $17 million and $12 million, respectively; recreational vehicle loans of $6 million, $8 million, $9 million and $5 million, respectively; and outstanding balances of home equity loans and lines of credit of $80 million, $78 million, $84 million and $87 million, respectively. Information about the location of nonaccrual and charged-off home equity loans and lines of credit as of and for the quarter ended September 30, 2016 is presented in the accompanying table.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108"/>
              <w:spacing w:after="0"/>
              <w:rPr>
                <w:sz w:val="20"/>
                <w:szCs w:val="20"/>
                <w:color w:val="auto"/>
              </w:rPr>
            </w:pPr>
            <w:r>
              <w:rPr>
                <w:rFonts w:ascii="Arial" w:cs="Arial" w:eastAsia="Arial" w:hAnsi="Arial"/>
                <w:sz w:val="14"/>
                <w:szCs w:val="14"/>
                <w:color w:val="auto"/>
                <w:w w:val="84"/>
              </w:rPr>
              <w:t>Quarter ended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00"/>
              <w:spacing w:after="0" w:line="159" w:lineRule="exact"/>
              <w:rPr>
                <w:sz w:val="20"/>
                <w:szCs w:val="20"/>
                <w:color w:val="auto"/>
              </w:rPr>
            </w:pPr>
            <w:r>
              <w:rPr>
                <w:rFonts w:ascii="Arial" w:cs="Arial" w:eastAsia="Arial" w:hAnsi="Arial"/>
                <w:sz w:val="14"/>
                <w:szCs w:val="14"/>
                <w:color w:val="auto"/>
              </w:rPr>
              <w:t>September 30, 2016</w:t>
            </w:r>
          </w:p>
        </w:tc>
        <w:tc>
          <w:tcPr>
            <w:tcW w:w="66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right="28"/>
              <w:spacing w:after="0" w:line="159" w:lineRule="exact"/>
              <w:rPr>
                <w:sz w:val="20"/>
                <w:szCs w:val="20"/>
                <w:color w:val="auto"/>
              </w:rPr>
            </w:pPr>
            <w:r>
              <w:rPr>
                <w:rFonts w:ascii="Arial" w:cs="Arial" w:eastAsia="Arial" w:hAnsi="Arial"/>
                <w:sz w:val="14"/>
                <w:szCs w:val="14"/>
                <w:color w:val="auto"/>
                <w:w w:val="85"/>
              </w:rPr>
              <w:t>September 30, 2016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540"/>
              <w:spacing w:after="0" w:line="155" w:lineRule="exact"/>
              <w:rPr>
                <w:sz w:val="20"/>
                <w:szCs w:val="20"/>
                <w:color w:val="auto"/>
              </w:rPr>
            </w:pPr>
            <w:r>
              <w:rPr>
                <w:rFonts w:ascii="Arial" w:cs="Arial" w:eastAsia="Arial" w:hAnsi="Arial"/>
                <w:sz w:val="14"/>
                <w:szCs w:val="14"/>
                <w:color w:val="auto"/>
                <w:w w:val="95"/>
              </w:rPr>
              <w:t>Nonaccrual</w:t>
            </w:r>
          </w:p>
        </w:tc>
        <w:tc>
          <w:tcPr>
            <w:tcW w:w="66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87"/>
              </w:rPr>
              <w:t>Net charge-offs (recoveries)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28"/>
              <w:spacing w:after="0" w:line="145" w:lineRule="exact"/>
              <w:rPr>
                <w:sz w:val="20"/>
                <w:szCs w:val="20"/>
                <w:color w:val="auto"/>
              </w:rPr>
            </w:pPr>
            <w:r>
              <w:rPr>
                <w:rFonts w:ascii="Arial" w:cs="Arial" w:eastAsia="Arial" w:hAnsi="Arial"/>
                <w:sz w:val="14"/>
                <w:szCs w:val="14"/>
                <w:color w:val="auto"/>
                <w:w w:val="89"/>
              </w:rPr>
              <w:t>Annualized</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center"/>
              <w:ind w:right="28"/>
              <w:spacing w:after="0"/>
              <w:rPr>
                <w:sz w:val="20"/>
                <w:szCs w:val="20"/>
                <w:color w:val="auto"/>
              </w:rPr>
            </w:pPr>
            <w:r>
              <w:rPr>
                <w:rFonts w:ascii="Arial" w:cs="Arial" w:eastAsia="Arial" w:hAnsi="Arial"/>
                <w:sz w:val="14"/>
                <w:szCs w:val="14"/>
                <w:color w:val="auto"/>
                <w:w w:val="86"/>
              </w:rPr>
              <w:t>percent of</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7"/>
              </w:rPr>
              <w:t>Percent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center"/>
              <w:ind w:right="28"/>
              <w:spacing w:after="0"/>
              <w:rPr>
                <w:sz w:val="20"/>
                <w:szCs w:val="20"/>
                <w:color w:val="auto"/>
              </w:rPr>
            </w:pPr>
            <w:r>
              <w:rPr>
                <w:rFonts w:ascii="Arial" w:cs="Arial" w:eastAsia="Arial" w:hAnsi="Arial"/>
                <w:sz w:val="14"/>
                <w:szCs w:val="14"/>
                <w:color w:val="auto"/>
                <w:w w:val="82"/>
              </w:rPr>
              <w:t>average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w w:val="92"/>
              </w:rPr>
              <w:t>Outstanding</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outstanding</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center"/>
              <w:ind w:right="28"/>
              <w:spacing w:after="0"/>
              <w:rPr>
                <w:sz w:val="20"/>
                <w:szCs w:val="20"/>
                <w:color w:val="auto"/>
              </w:rPr>
            </w:pPr>
            <w:r>
              <w:rPr>
                <w:rFonts w:ascii="Arial" w:cs="Arial" w:eastAsia="Arial" w:hAnsi="Arial"/>
                <w:sz w:val="14"/>
                <w:szCs w:val="14"/>
                <w:color w:val="auto"/>
                <w:w w:val="85"/>
              </w:rPr>
              <w:t>outstanding</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68"/>
              <w:spacing w:after="0" w:line="159" w:lineRule="exact"/>
              <w:rPr>
                <w:sz w:val="20"/>
                <w:szCs w:val="20"/>
                <w:color w:val="auto"/>
              </w:rPr>
            </w:pPr>
            <w:r>
              <w:rPr>
                <w:rFonts w:ascii="Arial" w:cs="Arial" w:eastAsia="Arial" w:hAnsi="Arial"/>
                <w:sz w:val="14"/>
                <w:szCs w:val="14"/>
                <w:color w:val="auto"/>
              </w:rPr>
              <w:t>balances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Balances</w:t>
            </w: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auto"/>
                <w:w w:val="82"/>
              </w:rPr>
              <w:t>balances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3"/>
              </w:rPr>
              <w:t>Balances</w:t>
            </w:r>
          </w:p>
        </w:tc>
        <w:tc>
          <w:tcPr>
            <w:tcW w:w="760" w:type="dxa"/>
            <w:vAlign w:val="bottom"/>
            <w:gridSpan w:val="2"/>
          </w:tcPr>
          <w:p>
            <w:pPr>
              <w:jc w:val="center"/>
              <w:ind w:right="28"/>
              <w:spacing w:after="0" w:line="159" w:lineRule="exact"/>
              <w:rPr>
                <w:sz w:val="20"/>
                <w:szCs w:val="20"/>
                <w:color w:val="auto"/>
              </w:rPr>
            </w:pPr>
            <w:r>
              <w:rPr>
                <w:rFonts w:ascii="Arial" w:cs="Arial" w:eastAsia="Arial" w:hAnsi="Arial"/>
                <w:sz w:val="14"/>
                <w:szCs w:val="14"/>
                <w:color w:val="auto"/>
                <w:w w:val="82"/>
              </w:rPr>
              <w:t>balances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3"/>
          </w:tcPr>
          <w:p>
            <w:pPr>
              <w:jc w:val="right"/>
              <w:ind w:right="28"/>
              <w:spacing w:after="0" w:line="155" w:lineRule="exact"/>
              <w:rPr>
                <w:sz w:val="20"/>
                <w:szCs w:val="20"/>
                <w:color w:val="auto"/>
              </w:rPr>
            </w:pPr>
            <w:r>
              <w:rPr>
                <w:rFonts w:ascii="Arial" w:cs="Arial" w:eastAsia="Arial" w:hAnsi="Arial"/>
                <w:sz w:val="14"/>
                <w:szCs w:val="14"/>
                <w:color w:val="auto"/>
              </w:rPr>
              <w:t>(dollars in thousands)</w:t>
            </w: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Residential mortgages:</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6,455,531</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69,001</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w:t>
            </w:r>
          </w:p>
        </w:tc>
        <w:tc>
          <w:tcPr>
            <w:tcW w:w="5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569</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1,679,066</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15,373</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1,271,586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15,509</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414</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5,441,245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40,817</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1,206</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1,097,937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13,634</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3,872,475</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58,793</w:t>
            </w:r>
          </w:p>
        </w:tc>
        <w:tc>
          <w:tcPr>
            <w:tcW w:w="300" w:type="dxa"/>
            <w:vAlign w:val="bottom"/>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5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644</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w:t>
            </w:r>
          </w:p>
        </w:tc>
        <w:tc>
          <w:tcPr>
            <w:tcW w:w="13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19,817,840</w:t>
            </w:r>
          </w:p>
        </w:tc>
        <w:tc>
          <w:tcPr>
            <w:tcW w:w="3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213,127</w:t>
            </w: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w:t>
            </w:r>
          </w:p>
        </w:tc>
        <w:tc>
          <w:tcPr>
            <w:tcW w:w="500" w:type="dxa"/>
            <w:vAlign w:val="bottom"/>
            <w:tcBorders>
              <w:bottom w:val="single" w:sz="8" w:color="CFF0FC"/>
            </w:tcBorders>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3,263</w:t>
            </w:r>
          </w:p>
        </w:tc>
        <w:tc>
          <w:tcPr>
            <w:tcW w:w="32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jc w:val="right"/>
              <w:ind w:right="28"/>
              <w:spacing w:after="0" w:line="155"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3"/>
        </w:trPr>
        <w:tc>
          <w:tcPr>
            <w:tcW w:w="4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Residential construction loans:</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6,628</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c>
          <w:tcPr>
            <w:tcW w:w="5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1000" w:type="dxa"/>
            <w:vAlign w:val="bottom"/>
            <w:gridSpan w:val="3"/>
          </w:tcPr>
          <w:p>
            <w:pPr>
              <w:jc w:val="right"/>
              <w:ind w:right="28"/>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18.23</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3,529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4,782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6.18</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24,303</w:t>
            </w:r>
          </w:p>
        </w:tc>
        <w:tc>
          <w:tcPr>
            <w:tcW w:w="320" w:type="dxa"/>
            <w:vAlign w:val="bottom"/>
            <w:vMerge w:val="continue"/>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769</w:t>
            </w:r>
          </w:p>
        </w:tc>
        <w:tc>
          <w:tcPr>
            <w:tcW w:w="300" w:type="dxa"/>
            <w:vAlign w:val="bottom"/>
          </w:tcPr>
          <w:p>
            <w:pPr>
              <w:spacing w:after="0"/>
              <w:rPr>
                <w:sz w:val="17"/>
                <w:szCs w:val="17"/>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3.16</w:t>
            </w:r>
          </w:p>
        </w:tc>
        <w:tc>
          <w:tcPr>
            <w:tcW w:w="500" w:type="dxa"/>
            <w:vAlign w:val="bottom"/>
            <w:vMerge w:val="continue"/>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(.05)</w:t>
            </w: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first mortgages:</w:t>
            </w:r>
          </w:p>
        </w:tc>
        <w:tc>
          <w:tcPr>
            <w:tcW w:w="13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1,580,261</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29,083</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1.84</w:t>
            </w:r>
          </w:p>
        </w:tc>
        <w:tc>
          <w:tcPr>
            <w:tcW w:w="5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1,324</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79,805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6,751</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47,172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2,656</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149</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1,457,583</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24,326</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41,776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2,459</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5.89</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535,680</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24,081</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w:t>
            </w:r>
          </w:p>
        </w:tc>
        <w:tc>
          <w:tcPr>
            <w:tcW w:w="13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3,742,277</w:t>
            </w:r>
          </w:p>
        </w:tc>
        <w:tc>
          <w:tcPr>
            <w:tcW w:w="3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89,356</w:t>
            </w:r>
          </w:p>
        </w:tc>
        <w:tc>
          <w:tcPr>
            <w:tcW w:w="300" w:type="dxa"/>
            <w:vAlign w:val="bottom"/>
            <w:tcBorders>
              <w:bottom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w:t>
            </w:r>
          </w:p>
        </w:tc>
        <w:tc>
          <w:tcPr>
            <w:tcW w:w="500" w:type="dxa"/>
            <w:vAlign w:val="bottom"/>
            <w:tcBorders>
              <w:bottom w:val="single" w:sz="8" w:color="CFF0FC"/>
            </w:tcBorders>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1,575</w:t>
            </w:r>
          </w:p>
        </w:tc>
        <w:tc>
          <w:tcPr>
            <w:tcW w:w="32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jc w:val="right"/>
              <w:ind w:right="28"/>
              <w:spacing w:after="0" w:line="155"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3"/>
        </w:trPr>
        <w:tc>
          <w:tcPr>
            <w:tcW w:w="4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First lien home equity loans and lines of credit:</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1,307,699</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15,890</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w:t>
            </w:r>
          </w:p>
        </w:tc>
        <w:tc>
          <w:tcPr>
            <w:tcW w:w="5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841,284</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9,663</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689,906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7,593</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43,887</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209,854</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1,029</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20,253</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w:t>
            </w:r>
          </w:p>
        </w:tc>
        <w:tc>
          <w:tcPr>
            <w:tcW w:w="13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3,112,883</w:t>
            </w:r>
          </w:p>
        </w:tc>
        <w:tc>
          <w:tcPr>
            <w:tcW w:w="3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35,953</w:t>
            </w:r>
          </w:p>
        </w:tc>
        <w:tc>
          <w:tcPr>
            <w:tcW w:w="300" w:type="dxa"/>
            <w:vAlign w:val="bottom"/>
            <w:tcBorders>
              <w:bottom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w:t>
            </w:r>
          </w:p>
        </w:tc>
        <w:tc>
          <w:tcPr>
            <w:tcW w:w="500" w:type="dxa"/>
            <w:vAlign w:val="bottom"/>
            <w:tcBorders>
              <w:bottom w:val="single" w:sz="8" w:color="CFF0FC"/>
            </w:tcBorders>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947</w:t>
            </w:r>
          </w:p>
        </w:tc>
        <w:tc>
          <w:tcPr>
            <w:tcW w:w="32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jc w:val="right"/>
              <w:ind w:right="28"/>
              <w:spacing w:after="0" w:line="155"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3"/>
        </w:trPr>
        <w:tc>
          <w:tcPr>
            <w:tcW w:w="4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Junior lien home equity loans and lines of credit:</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919,745</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24,516</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2.67</w:t>
            </w:r>
          </w:p>
        </w:tc>
        <w:tc>
          <w:tcPr>
            <w:tcW w:w="5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1,469</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371,835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5,250</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818,865</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8,883</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1.08</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919</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129,658</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1,452</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320,659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1,506</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39,121</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1,729</w:t>
            </w:r>
          </w:p>
        </w:tc>
        <w:tc>
          <w:tcPr>
            <w:tcW w:w="300" w:type="dxa"/>
            <w:vAlign w:val="bottom"/>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4.42</w:t>
            </w:r>
          </w:p>
        </w:tc>
        <w:tc>
          <w:tcPr>
            <w:tcW w:w="5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w:t>
            </w:r>
          </w:p>
        </w:tc>
        <w:tc>
          <w:tcPr>
            <w:tcW w:w="13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2,599,883</w:t>
            </w:r>
          </w:p>
        </w:tc>
        <w:tc>
          <w:tcPr>
            <w:tcW w:w="3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43,336</w:t>
            </w: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w:t>
            </w:r>
          </w:p>
        </w:tc>
        <w:tc>
          <w:tcPr>
            <w:tcW w:w="500" w:type="dxa"/>
            <w:vAlign w:val="bottom"/>
            <w:tcBorders>
              <w:bottom w:val="single" w:sz="8" w:color="CFF0FC"/>
            </w:tcBorders>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3,671</w:t>
            </w:r>
          </w:p>
        </w:tc>
        <w:tc>
          <w:tcPr>
            <w:tcW w:w="32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jc w:val="right"/>
              <w:ind w:right="28"/>
              <w:spacing w:after="0" w:line="155"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3"/>
        </w:trPr>
        <w:tc>
          <w:tcPr>
            <w:tcW w:w="4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junior lien:</w:t>
            </w: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831</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(1.47)</w:t>
            </w: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4,787</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300" w:type="dxa"/>
            <w:vAlign w:val="bottom"/>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5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2.32</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30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8,621</w:t>
            </w:r>
          </w:p>
        </w:tc>
        <w:tc>
          <w:tcPr>
            <w:tcW w:w="32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w:t>
            </w:r>
          </w:p>
        </w:tc>
        <w:tc>
          <w:tcPr>
            <w:tcW w:w="3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3.87</w:t>
            </w:r>
          </w:p>
        </w:tc>
        <w:tc>
          <w:tcPr>
            <w:tcW w:w="50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c>
          <w:tcPr>
            <w:tcW w:w="3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3"/>
                <w:szCs w:val="13"/>
                <w:color w:val="auto"/>
              </w:rPr>
            </w:pPr>
          </w:p>
        </w:tc>
        <w:tc>
          <w:tcPr>
            <w:tcW w:w="240" w:type="dxa"/>
            <w:vAlign w:val="bottom"/>
          </w:tcPr>
          <w:p>
            <w:pPr>
              <w:jc w:val="right"/>
              <w:ind w:right="28"/>
              <w:spacing w:after="0" w:line="155"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tabs>
          <w:tab w:leader="none" w:pos="42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Includes Delaware, Virginia, West Virginia and the District of Columbia.</w:t>
      </w:r>
    </w:p>
    <w:p>
      <w:pPr>
        <w:spacing w:after="0" w:line="2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Real estate and other foreclosed assets totaled $160 million at September 30, 2016, compared with $66 million at September 30, 2015, $195 million at December 31, 2015 and $172 million at June 30, 2016. The higher levels of real estate and other foreclosed assets at September 30, 2016, December 31, 2015 and June 30, 2016 reflect residential real estate properties associated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jc w:val="both"/>
        <w:ind w:right="20"/>
        <w:spacing w:after="0" w:line="286" w:lineRule="auto"/>
        <w:rPr>
          <w:sz w:val="20"/>
          <w:szCs w:val="20"/>
          <w:color w:val="auto"/>
        </w:rPr>
      </w:pPr>
      <w:r>
        <w:rPr>
          <w:rFonts w:ascii="Arial" w:cs="Arial" w:eastAsia="Arial" w:hAnsi="Arial"/>
          <w:sz w:val="17"/>
          <w:szCs w:val="17"/>
          <w:color w:val="auto"/>
        </w:rPr>
        <w:t>Hudson City acquisition, which totaled $97 million, $126 million and $109 million at those respective dates. Gains or losses resulting from the sales of real estate and other foreclosed assets were not material in the three-month periods ended September 30, 2016, September 30, 2015 or June 30, 2016. At September 30, 2016, the Company’s holding of residential real estate-related properties comprised approximately 92% of foreclosed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comparative summary of nonperforming assets and certain past due loan data and credit quality ratios is presented in the accompanying table.</w:t>
      </w:r>
    </w:p>
    <w:p>
      <w:pPr>
        <w:spacing w:after="0" w:line="246" w:lineRule="exact"/>
        <w:rPr>
          <w:sz w:val="20"/>
          <w:szCs w:val="20"/>
          <w:color w:val="auto"/>
        </w:rPr>
      </w:pPr>
    </w:p>
    <w:p>
      <w:pPr>
        <w:ind w:right="5580"/>
        <w:spacing w:after="0"/>
        <w:rPr>
          <w:sz w:val="20"/>
          <w:szCs w:val="20"/>
          <w:color w:val="auto"/>
        </w:rPr>
      </w:pPr>
      <w:r>
        <w:rPr>
          <w:rFonts w:ascii="Arial" w:cs="Arial" w:eastAsia="Arial" w:hAnsi="Arial"/>
          <w:sz w:val="14"/>
          <w:szCs w:val="14"/>
          <w:color w:val="auto"/>
        </w:rPr>
        <w:t>NONPERFORMING ASSET AND PAST DUE, RENEGOTIATED AND IMPAIRED LOAN DATA Dollars in thousands</w:t>
      </w:r>
    </w:p>
    <w:tbl>
      <w:tblPr>
        <w:tblLayout w:type="fixed"/>
        <w:tblInd w:w="0" w:type="dxa"/>
        <w:tblCellMar>
          <w:top w:w="0" w:type="dxa"/>
          <w:left w:w="0" w:type="dxa"/>
          <w:bottom w:w="0" w:type="dxa"/>
          <w:right w:w="0" w:type="dxa"/>
        </w:tblCellMar>
      </w:tblPr>
      <w:tr>
        <w:trPr>
          <w:trHeight w:val="151"/>
        </w:trPr>
        <w:tc>
          <w:tcPr>
            <w:tcW w:w="4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1"/>
              </w:rPr>
              <w:t>2016 Quarters</w:t>
            </w: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gridSpan w:val="3"/>
          </w:tcPr>
          <w:p>
            <w:pPr>
              <w:ind w:left="740"/>
              <w:spacing w:after="0" w:line="151" w:lineRule="exact"/>
              <w:rPr>
                <w:sz w:val="20"/>
                <w:szCs w:val="20"/>
                <w:color w:val="auto"/>
              </w:rPr>
            </w:pPr>
            <w:r>
              <w:rPr>
                <w:rFonts w:ascii="Arial" w:cs="Arial" w:eastAsia="Arial" w:hAnsi="Arial"/>
                <w:sz w:val="14"/>
                <w:szCs w:val="14"/>
                <w:color w:val="auto"/>
                <w:w w:val="93"/>
              </w:rPr>
              <w:t>2015 Quarters</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color w:val="auto"/>
              </w:rPr>
              <w:t>Third</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Second</w:t>
            </w:r>
          </w:p>
        </w:tc>
        <w:tc>
          <w:tcPr>
            <w:tcW w:w="1340" w:type="dxa"/>
            <w:vAlign w:val="bottom"/>
            <w:gridSpan w:val="2"/>
          </w:tcPr>
          <w:p>
            <w:pPr>
              <w:ind w:left="340"/>
              <w:spacing w:after="0"/>
              <w:rPr>
                <w:sz w:val="20"/>
                <w:szCs w:val="20"/>
                <w:color w:val="auto"/>
              </w:rPr>
            </w:pPr>
            <w:r>
              <w:rPr>
                <w:rFonts w:ascii="Arial" w:cs="Arial" w:eastAsia="Arial" w:hAnsi="Arial"/>
                <w:sz w:val="14"/>
                <w:szCs w:val="14"/>
                <w:color w:val="auto"/>
              </w:rPr>
              <w:t>First</w:t>
            </w:r>
          </w:p>
        </w:tc>
        <w:tc>
          <w:tcPr>
            <w:tcW w:w="1600" w:type="dxa"/>
            <w:vAlign w:val="bottom"/>
            <w:gridSpan w:val="3"/>
          </w:tcPr>
          <w:p>
            <w:pPr>
              <w:ind w:left="280"/>
              <w:spacing w:after="0"/>
              <w:rPr>
                <w:sz w:val="20"/>
                <w:szCs w:val="20"/>
                <w:color w:val="auto"/>
              </w:rPr>
            </w:pPr>
            <w:r>
              <w:rPr>
                <w:rFonts w:ascii="Arial" w:cs="Arial" w:eastAsia="Arial" w:hAnsi="Arial"/>
                <w:sz w:val="14"/>
                <w:szCs w:val="14"/>
                <w:color w:val="auto"/>
              </w:rPr>
              <w:t>Fourth</w:t>
            </w: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Third</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4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837,362</w:t>
            </w:r>
          </w:p>
        </w:tc>
        <w:tc>
          <w:tcPr>
            <w:tcW w:w="3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848,855</w:t>
            </w:r>
          </w:p>
        </w:tc>
        <w:tc>
          <w:tcPr>
            <w:tcW w:w="3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876,691</w:t>
            </w:r>
          </w:p>
        </w:tc>
        <w:tc>
          <w:tcPr>
            <w:tcW w:w="3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799,409</w:t>
            </w:r>
          </w:p>
        </w:tc>
        <w:tc>
          <w:tcPr>
            <w:tcW w:w="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787,098</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Real estate and other foreclosed assets</w:t>
            </w:r>
          </w:p>
        </w:tc>
        <w:tc>
          <w:tcPr>
            <w:tcW w:w="4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159,881</w:t>
            </w:r>
          </w:p>
        </w:tc>
        <w:tc>
          <w:tcPr>
            <w:tcW w:w="3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172,473</w:t>
            </w:r>
          </w:p>
        </w:tc>
        <w:tc>
          <w:tcPr>
            <w:tcW w:w="3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188,004</w:t>
            </w:r>
          </w:p>
        </w:tc>
        <w:tc>
          <w:tcPr>
            <w:tcW w:w="3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195,085</w:t>
            </w:r>
          </w:p>
        </w:tc>
        <w:tc>
          <w:tcPr>
            <w:tcW w:w="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nonperforming assets</w:t>
            </w:r>
          </w:p>
        </w:tc>
        <w:tc>
          <w:tcPr>
            <w:tcW w:w="4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997,243</w:t>
            </w:r>
          </w:p>
        </w:tc>
        <w:tc>
          <w:tcPr>
            <w:tcW w:w="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1,021,328</w:t>
            </w:r>
          </w:p>
        </w:tc>
        <w:tc>
          <w:tcPr>
            <w:tcW w:w="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1,064,695</w:t>
            </w:r>
          </w:p>
        </w:tc>
        <w:tc>
          <w:tcPr>
            <w:tcW w:w="3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994,494</w:t>
            </w: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853,242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FF0FC"/>
            </w:tcBorders>
            <w:vMerge w:val="continue"/>
          </w:tcPr>
          <w:p>
            <w:pPr>
              <w:spacing w:after="0"/>
              <w:rPr>
                <w:sz w:val="21"/>
                <w:szCs w:val="21"/>
                <w:color w:val="auto"/>
              </w:rPr>
            </w:pPr>
          </w:p>
        </w:tc>
        <w:tc>
          <w:tcPr>
            <w:tcW w:w="4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317,282</w:t>
            </w:r>
          </w:p>
        </w:tc>
        <w:tc>
          <w:tcPr>
            <w:tcW w:w="360" w:type="dxa"/>
            <w:vAlign w:val="bottom"/>
            <w:tcBorders>
              <w:bottom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298,449</w:t>
            </w:r>
          </w:p>
        </w:tc>
        <w:tc>
          <w:tcPr>
            <w:tcW w:w="360" w:type="dxa"/>
            <w:vAlign w:val="bottom"/>
            <w:tcBorders>
              <w:bottom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336,170</w:t>
            </w:r>
          </w:p>
        </w:tc>
        <w:tc>
          <w:tcPr>
            <w:tcW w:w="360" w:type="dxa"/>
            <w:vAlign w:val="bottom"/>
            <w:tcBorders>
              <w:bottom w:val="single" w:sz="8" w:color="CFF0FC"/>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317,441</w:t>
            </w:r>
          </w:p>
        </w:tc>
        <w:tc>
          <w:tcPr>
            <w:tcW w:w="3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231,465</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Nonaccrual loans</w:t>
            </w:r>
          </w:p>
        </w:tc>
        <w:tc>
          <w:tcPr>
            <w:tcW w:w="6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47,130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52,486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49,688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47,052</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Accruing loans past due 90 days or more</w:t>
            </w:r>
          </w:p>
        </w:tc>
        <w:tc>
          <w:tcPr>
            <w:tcW w:w="4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282,077</w:t>
            </w:r>
          </w:p>
        </w:tc>
        <w:tc>
          <w:tcPr>
            <w:tcW w:w="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269,962</w:t>
            </w:r>
          </w:p>
        </w:tc>
        <w:tc>
          <w:tcPr>
            <w:tcW w:w="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279,340</w:t>
            </w:r>
          </w:p>
        </w:tc>
        <w:tc>
          <w:tcPr>
            <w:tcW w:w="3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276,285</w:t>
            </w:r>
          </w:p>
        </w:tc>
        <w:tc>
          <w:tcPr>
            <w:tcW w:w="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193,998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Renegotiated loans</w:t>
            </w: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FF0FC"/>
            </w:tcBorders>
            <w:vMerge w:val="continue"/>
          </w:tcPr>
          <w:p>
            <w:pPr>
              <w:spacing w:after="0"/>
              <w:rPr>
                <w:sz w:val="21"/>
                <w:szCs w:val="21"/>
                <w:color w:val="auto"/>
              </w:rPr>
            </w:pPr>
          </w:p>
        </w:tc>
        <w:tc>
          <w:tcPr>
            <w:tcW w:w="4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217,559</w:t>
            </w:r>
          </w:p>
        </w:tc>
        <w:tc>
          <w:tcPr>
            <w:tcW w:w="360" w:type="dxa"/>
            <w:vAlign w:val="bottom"/>
            <w:tcBorders>
              <w:bottom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211,159</w:t>
            </w:r>
          </w:p>
        </w:tc>
        <w:tc>
          <w:tcPr>
            <w:tcW w:w="360" w:type="dxa"/>
            <w:vAlign w:val="bottom"/>
            <w:tcBorders>
              <w:bottom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200,771</w:t>
            </w:r>
          </w:p>
        </w:tc>
        <w:tc>
          <w:tcPr>
            <w:tcW w:w="360" w:type="dxa"/>
            <w:vAlign w:val="bottom"/>
            <w:tcBorders>
              <w:bottom w:val="single" w:sz="8" w:color="CFF0FC"/>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182,865</w:t>
            </w:r>
          </w:p>
        </w:tc>
        <w:tc>
          <w:tcPr>
            <w:tcW w:w="3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189,639</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Acquired accruing loans past due 90 days or more(b)</w:t>
            </w:r>
          </w:p>
        </w:tc>
        <w:tc>
          <w:tcPr>
            <w:tcW w:w="4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65,182</w:t>
            </w:r>
          </w:p>
        </w:tc>
        <w:tc>
          <w:tcPr>
            <w:tcW w:w="3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68,591</w:t>
            </w:r>
          </w:p>
        </w:tc>
        <w:tc>
          <w:tcPr>
            <w:tcW w:w="3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61,767</w:t>
            </w:r>
          </w:p>
        </w:tc>
        <w:tc>
          <w:tcPr>
            <w:tcW w:w="3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68,473</w:t>
            </w:r>
          </w:p>
        </w:tc>
        <w:tc>
          <w:tcPr>
            <w:tcW w:w="3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80,827</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Purchased impaired loans(c):</w:t>
            </w: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customer balance</w:t>
            </w:r>
          </w:p>
        </w:tc>
        <w:tc>
          <w:tcPr>
            <w:tcW w:w="6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981,105</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1,040,678</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1,124,776</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1,204,004</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278,979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Carrying amount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616,991</w:t>
            </w:r>
          </w:p>
        </w:tc>
        <w:tc>
          <w:tcPr>
            <w:tcW w:w="3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662,059</w:t>
            </w:r>
          </w:p>
        </w:tc>
        <w:tc>
          <w:tcPr>
            <w:tcW w:w="3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715,874</w:t>
            </w:r>
          </w:p>
        </w:tc>
        <w:tc>
          <w:tcPr>
            <w:tcW w:w="3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768,329</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discount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w w:val="92"/>
              </w:rPr>
              <w:t>Nonperforming assets to total net loans and leases and real estate</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and other foreclosed assets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9"/>
              </w:rPr>
              <w:t>Accruing loans past due 90 days or more (a) to total loans and</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leases, net of unearned discount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mortgage loans.</w:t>
      </w:r>
    </w:p>
    <w:p>
      <w:pPr>
        <w:spacing w:after="0" w:line="23" w:lineRule="exact"/>
        <w:rPr>
          <w:rFonts w:ascii="Arial" w:cs="Arial" w:eastAsia="Arial" w:hAnsi="Arial"/>
          <w:sz w:val="18"/>
          <w:szCs w:val="18"/>
          <w:i w:val="1"/>
          <w:iCs w:val="1"/>
          <w:color w:val="auto"/>
        </w:rPr>
      </w:pPr>
    </w:p>
    <w:p>
      <w:pPr>
        <w:ind w:left="520" w:right="280" w:hanging="512"/>
        <w:spacing w:after="0" w:line="258" w:lineRule="auto"/>
        <w:tabs>
          <w:tab w:leader="none" w:pos="5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520" w:hanging="512"/>
        <w:spacing w:after="0"/>
        <w:tabs>
          <w:tab w:leader="none" w:pos="5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1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including loans obtained in the acquisition of Hudson City that were not classified as purchased impaired;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62" w:name="page63"/>
    <w:bookmarkEnd w:id="62"/>
    <w:p>
      <w:pPr>
        <w:jc w:val="both"/>
        <w:ind w:firstLine="518"/>
        <w:spacing w:after="0" w:line="271" w:lineRule="auto"/>
        <w:rPr>
          <w:sz w:val="20"/>
          <w:szCs w:val="20"/>
          <w:color w:val="auto"/>
        </w:rPr>
      </w:pPr>
      <w:r>
        <w:rPr>
          <w:rFonts w:ascii="Arial" w:cs="Arial" w:eastAsia="Arial" w:hAnsi="Arial"/>
          <w:sz w:val="17"/>
          <w:szCs w:val="17"/>
          <w:color w:val="auto"/>
        </w:rPr>
        <w:t>Management cautiously and conservatively evaluated the allowance for credit losses as of September 30, 2016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 (v) the amount of loan growth experienced by the Company. While there has been general improvement in economic conditions, concerns continue to exist about the strength and sustainability of such improvements; the troubled state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55% of the Company’s loans are to customers in New York State and Pennsylvania).</w:t>
      </w:r>
    </w:p>
    <w:p>
      <w:pPr>
        <w:spacing w:after="0" w:line="17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$2.5 billion at September 30, 2016, compared with $2.3 billion at September 30, 2015, $2.1 billion at December 31, 2015 and $2.4 billion at June 30, 2016. Increases in criticized loan balances since December 31, 2015 included approximately $265 million categorized as commercial real estate loans and $112 million as commercial loans. Approximately 97% of loan balances added to the criticized category during the first nine months of 2016 were less than 90 days past due and 95% had a current payment status.</w:t>
      </w:r>
    </w:p>
    <w:p>
      <w:pPr>
        <w:spacing w:after="0" w:line="178"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At least annually, updated financial information is obtained from commercial borrowers associated with pass grade loans and additional analysis is performed. On a quarterly basis, the Company’s centralized loan review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At September 30, 2016, approximately 54% of the Company’s home equity portfolio consisted of first lien loans and lines of credit. Of the remaining junior lien loans in the portfolio, approximately 71% (or approximately 32%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September 30, 2016, the balance of junior lien loans and lines that were in nonaccrual status solely as a result of first lien loan performance was $14 million, compared with $22 million at each of September 30, 2015 and December 31, 2015 and $16 million at June 30, 2016.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if the Company does not know the amount of the remaining first lien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jc w:val="both"/>
        <w:spacing w:after="0" w:line="255" w:lineRule="auto"/>
        <w:rPr>
          <w:sz w:val="20"/>
          <w:szCs w:val="20"/>
          <w:color w:val="auto"/>
        </w:rPr>
      </w:pPr>
      <w:r>
        <w:rPr>
          <w:rFonts w:ascii="Arial" w:cs="Arial" w:eastAsia="Arial" w:hAnsi="Arial"/>
          <w:sz w:val="18"/>
          <w:szCs w:val="18"/>
          <w:color w:val="auto"/>
        </w:rPr>
        <w:t>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September 30, 2016, approximately 85% of all outstanding balances of home equity lines of credit related to lines that were still in the draw period, the weighted-average remaining draw periods were approximately five years, and approximately 10% were making contractually allowed payments that do not include any repayment of principal.</w:t>
      </w:r>
    </w:p>
    <w:p>
      <w:pPr>
        <w:spacing w:after="0" w:line="18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3"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46% of the 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jc w:val="both"/>
        <w:ind w:firstLine="518"/>
        <w:spacing w:after="0" w:line="268" w:lineRule="auto"/>
        <w:rPr>
          <w:sz w:val="20"/>
          <w:szCs w:val="20"/>
          <w:color w:val="auto"/>
        </w:rPr>
      </w:pPr>
      <w:r>
        <w:rPr>
          <w:rFonts w:ascii="Arial" w:cs="Arial" w:eastAsia="Arial" w:hAnsi="Arial"/>
          <w:sz w:val="17"/>
          <w:szCs w:val="17"/>
          <w:color w:val="auto"/>
        </w:rPr>
        <w:t>Management believes that the allowance for credit losses at September 30, 2016 appropriately reflected credit losses inherent in the portfolio as of that date. The allowance for credit losses was $976 million, or 1.09% of total loans and leases at September 30, 2016, compared with $934 million or 1.36% at September 30, 2015, $956 million or 1.09% at December 31, 2015 and $970 million or 1.10% at June 30, 2016. The ratio of the allowance to total loans and leases at each respective date reflects the impact of loans obtained in acquisition transactions subsequent to 2008 that have been recorded at estimated fair value. As noted earlier, GAAP prohibits any carry-over of an allowance for credit losses for acquired loans recorded at fair value. However, for loans acquired at a premium, GAAP provides that an allowance for credit losses be recognized for incurred losses inherent in the portfolio. The declines in the ratio of the allowance to total loans and leases at September 30, 2016, December 31, 2015 and June 30, 2016 as compared with September 30, 2015 reflects the impact of loans (predominantly residential real estate loans) obtained in the acquisition of Hudson City.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117% at September 30, 2016, compared with 119% at September 30, 2015, 120% at December 31, 2015 and 114% at June 30, 2016.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income aggregated $491 million in the third quarter of 2016, compared with $440 million in the year-earlier quarter and $448 million in the second quarter of 2016. The rise in other income during the recent quarter as compared with the third quarter of 2015 resulted largely from higher mortgage banking revenues, trust income and gains on bank investment securities, partially offset by lower gains on the sale of previously leased equipment. The improvement from the second quarter of 2016 resulted from higher mortgage banking revenues, service charges on deposit accounts and gains on investment securities.</w:t>
      </w:r>
    </w:p>
    <w:p>
      <w:pPr>
        <w:spacing w:after="0" w:line="15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Mortgage banking revenues were $104 million in the recently completed quarter, compared with $84 million in the third quarter of 2015 and $89 million in the second quarter of 2016.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$67 million in each of the third quarters of 2016 and 2015 and $65 million in the second quarter of 2016. The higher level of residential mortgage banking revenues in the recent quarter as compared with the immediately preceding quarter reflects an increase in revenues associated with loan origination activities.</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New commitments to originate residential real estate loans to be sold were approximately $836 million in the recent quarter, compared with $870 million and $858 million in the third quarter of 2015 and the second quarter of 2016, respectively. Realized gains from sales of residential real estate loans and loan servicing rights and recognized net unrealized gains and losses attributable to residential real estate loans held for sale, commitments to originate loans for sale and commitments to sell loans totaled to gains of $21 million in the recently completed quarter, compared with gains of $18 million and $19 million in the third quarter of 2015 and the second quarter of 2016, respectively.</w:t>
      </w:r>
    </w:p>
    <w:p>
      <w:pPr>
        <w:spacing w:after="0" w:line="18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each of the three-month periods ended September 30, 2016, September 30, 2015 and June 30, 2016 were reduced by approximately $1 million related to actual or anticipated settlement of repurchase obligations.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jc w:val="both"/>
        <w:ind w:firstLine="518"/>
        <w:spacing w:after="0" w:line="254" w:lineRule="auto"/>
        <w:rPr>
          <w:sz w:val="20"/>
          <w:szCs w:val="20"/>
          <w:color w:val="auto"/>
        </w:rPr>
      </w:pPr>
      <w:r>
        <w:rPr>
          <w:rFonts w:ascii="Arial" w:cs="Arial" w:eastAsia="Arial" w:hAnsi="Arial"/>
          <w:sz w:val="18"/>
          <w:szCs w:val="18"/>
          <w:color w:val="auto"/>
        </w:rPr>
        <w:t>Loans held for sale that were secured by residential real estate totaled $415 million at September 30, 2016, $422 million at September 30, 2015 and $353 million at December 31, 2015. Commitments to sell residential real estate loans and commitments to originate residential real estate loans for sale at pre-determined rates were $845 million and $636 million, respectively, at September 30, 2016, $817 million and $587 million, respectively, at September 30, 2015 and $687 million and $489 million, respectively, at December 31, 2015. Net recognized unrealized gains on residential real estate loans held for sale, commitments to sell loans, and commitments to originate loans for sale were $22 million at September 30, 2016, $18 million at September 30, 2015 and $16 million at December 31, 2015. Changes in such net unrealized gains are recorded in mortgage banking revenues and resulted in net increases in revenues of $3 million in each of the recent quarter and the second quarter of 2016, compared with a net decrease in revenues of less than $1 million in the third quarter of 2015.</w:t>
      </w:r>
    </w:p>
    <w:p>
      <w:pPr>
        <w:spacing w:after="0" w:line="19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Revenues from servicing residential real estate loans for others were $46 million in each of the recent quarter and the second quarter of 2016, compared with $49 million in the third quarter of 2015. Revenues earned for sub-servicing loans included in those amounts were $25 million for each of the three-month periods ended September 30, 2016 and June 30, 2016, compared with $26 million for the three-month period ended September 30, 2015. Residential real estate loans serviced for others totaled $55.0 billion at September 30, 2016, $64.3 billion at September 30, 2015, $61.7 billion at December 31, 2015 and $57.8 billion at June 30, 2016. Reflected in residential real estate loans serviced for others were loans sub-serviced for others of $32.1 billion at September 30, 2016, $40.2 billion at September 30, 2015, $37.8 billion at December 31, 2015 and $34.6 billion at June 30, 2016. The contractual servicing rights associated with loans sub-serviced by the Company were predominantly held by affiliates of Bayview Lending Group LLC (“BLG”).</w:t>
      </w:r>
    </w:p>
    <w:p>
      <w:pPr>
        <w:spacing w:after="0" w:line="192"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Capitalized servicing rights consist largely of servicing associated with loans sold by the Company. Capitalized residential mortgage loan servicing assets totaled $117 million at each of September 30, 2016, September 30, 2015 and June 30, 2016, and $118 million at December 31, 2015.</w:t>
      </w:r>
    </w:p>
    <w:p>
      <w:pPr>
        <w:spacing w:after="0" w:line="14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Commercial mortgage banking revenues were $37 million in the third quarter of 2016, compared with $18 million in the year-earlier period and $24 million in the second quarter of 2016. Included in such amounts were revenues from loan origination and sales activities of $25 million in the recent quarter, compared with $8 million in the third quarter of 2015 and $14 million in the second quarter of 2016. The rise in such revenues in the recent quarter was due to higher origination volumes. Commercial real estate loans originated for sale to other investors totaled $721 million in the recent quarter, compared with $190 million and $567 million in the third quarter of 2015 and the second quarter of 2016, respectively. Loan servicing revenues were $11 million in the recent quarter, compared with $10 million in each of the second quarter of 2016 and the third quarter of 2015. Capitalized commercial mortgage servicing assets totaled $92 million and $81 million at September 30, 2016 and September 30, 2015, respectively, and $84 million at December 31, 2015. Commercial real estate loans serviced for other investors totaled $11.3 billion at September 30, 2016, $11.6 billion at September 30, 2015 and $11.0 billion at December 31, 2015 and included $2.7 billion at September 30, 2016 and $2.5 billion at each of September 30, 2015 and December 31, 2015 of loan balances for which investors had recourse to the Company if such balances are ultimately uncollectible. Commitments to sell commercial real estate loans and commitments to originate commercial real estate loans for sale were $694 million and $403 million, respectively, at September 30, 2016, $161 million and $89 million, respectively, at September 30, 2015 and $96 million and $58 million, respectively, at December 31, 2015. Commercial real estate loans held for sale at September 30, 2016, September 30, 2015 and December 31, 2015 were $290 million, $71 million and $39 million, respectively.</w:t>
      </w:r>
    </w:p>
    <w:p>
      <w:pPr>
        <w:spacing w:after="0" w:line="17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Service charges on deposit accounts totaled $108 million in the third quarter of 2016, compared with $107 million in the year-earlier quarter and $104 million in the second quarter of 2016. The higher level of fees in each of the third quarters of 2016 and 2015 as compared with the second quarter of 2016 was largely due to higher consumer deposit service fees.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jc w:val="both"/>
        <w:ind w:firstLine="518"/>
        <w:spacing w:after="0" w:line="285" w:lineRule="auto"/>
        <w:rPr>
          <w:sz w:val="20"/>
          <w:szCs w:val="20"/>
          <w:color w:val="auto"/>
        </w:rPr>
      </w:pPr>
      <w:r>
        <w:rPr>
          <w:rFonts w:ascii="Arial" w:cs="Arial" w:eastAsia="Arial" w:hAnsi="Arial"/>
          <w:sz w:val="16"/>
          <w:szCs w:val="16"/>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totaled $119 million in the recent quarter, compared with $114 million in the year-earlier quarter and $120 million in the second quarter of 2016. Revenues associated with the ICS business were approximately $58 million during each of the quarters ended September 30, 2016 and June 30, 2016 and $53 million during the quarter ended September 30, 2015. The higher ICS revenue in the two most recent quarters as compared with the third quarter of 2015 reflects stronger sales activities and higher fees earned from money-market funds. Revenues attributable to WAS were approximately $52 million, $53 million and $55 million for the three-month periods ended September 30, 2016, September 30, 2015 and June 30, 2016, respectively. The second quarter of 2016 included $3 million of annual tax preparation fees. Total trust assets, which include assets under management and assets under administration, aggregated $208.4 billion at September 30, 2016, compared with $200.0 billion at September 30, 2015 and $199.2 billion at December 31, 2015. Trust assets under management were $70.8 billion, $65.7 billion and $66.7 billion at September 30, 2016, September 30, 2015 and December 31, 2015, respectively. Additional trust income from investment management activities totaled $8 million in each of the third quarters of 2016 and 2015 and $7 million in 2016’s second quarter. That income largely relates to fees earned from retail customer investment accounts and from an affiliated investment manager. Assets managed by that affiliated manager were $7.0 billion at September 30, 2016, $7.8 billion at September 30, 2015 and $7.1 billion at December 31, 2015. The Company’s trust income from that affiliate was not material during any of the noted quarters. The Company’s proprietary mutual funds had assets of $11.5 billion, $11.7 billion and $12.2 billion at September 30, 2016, September 30, 2015 and December 31, 2015, respectively.</w:t>
      </w:r>
    </w:p>
    <w:p>
      <w:pPr>
        <w:spacing w:after="0" w:line="1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Brokerage services income, which includes revenues from the sale of mutual funds and annuities and securities brokerage fees, totaled $16 million in each of the two most recent quarters, compared with $17 million in the third quarter of 2015. Gains from trading account and foreign exchange activity were $13 million during the each of the quarters ended September 30, 2016 and June 30, 2016 and $8 million in the third quarter of 2015. The higher level of such gains in the third quarter of 2016 as compared with the year-earlier quarter resulted largely from favorable foreign exchange rates and higher activity related to interest rate swap transactions executed on behalf of commercial customers.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8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realized gains from sales of investment securities of $28 million during the recent quarter. During the third quarter of 2016, the Company sold substantially all of its collateralized debt obligations that had been held in the available-for-sale investment securities portfolio and that had been obtained through the acquisition of other banks. In total, securities with an amortized cost of $28 million were sold. Divestiture of the majority of those securities would have been required prior to July 21, 2017 in accordance with the provisions of the Volcker Rule. There were no significant gains or losses on investment securities in the third quarter of 2015 or in the second quarter of 2016.</w:t>
      </w:r>
    </w:p>
    <w:p>
      <w:pPr>
        <w:spacing w:after="0" w:line="188"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Other revenues from operations totaled $104 million in the recent quarter, compared with $109 million in the third quarter of 2015 and $105 million in the second quarter of 2016. The decline in other revenues from operations in the recent quarter as compared with the year-earlier quarter was primarily due to $14 million of gains on the sale of previously leased equipment realized in the third quarter of 2015. Similar gains in the recent quarter were less than $1 million. Included in other revenues from operations were the following significant components. Letter of credit and other credit-related fees totaled $31 million in the recent quarter, compared with $29 million in the third quarter of 2015 and $30 million in the second quarter of 2016. Tax-exempt income from bank owned life insurance, which includes increases in the cash surrender value of life insurance policies and benefits received, aggregated $12 million in each of the third quarters of 2016 and 2015 and $13 million in the second quarter of 2016. Revenues from merchant discount and credit card fees were $28 million in the recent quarter, compared with $27 million in each of the third quarter of 2015 and second quarter of 2016. Insurance-related sales commissions and other revenues totaled $11 million in the third quarter of 2016, compared with $9 million in each of the third quarter of 2015 and the second quarter of 2016. M&amp;T’s share of the operating losses of BLG recognized using the equity method of accounting was $2 million and $4 million in the third quarters of 2016 and 2015, respectively, and $3 million in the second quarter of 2016. Information about the Company’s relationship with BLG and its affiliates is included in note 15 of Notes to Financial Statements.</w:t>
      </w:r>
    </w:p>
    <w:p>
      <w:pPr>
        <w:spacing w:after="0" w:line="18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Other income totaled $1.36 billion in the first nine months of 2016, compared with $1.38 billion in the similar 2015 period. Reflected in other income in the 2016 period were gains on investment securities of $28 million and in the 2015 period other income included the $45 million gain from the April 2015 sale of the trade processing business in the retirement services division. In addition to the impact of those two factors, higher trading and foreign exchange gains in 2016 were offset by a decline in mortgage banking revenues.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jc w:val="both"/>
        <w:ind w:firstLine="518"/>
        <w:spacing w:after="0" w:line="287" w:lineRule="auto"/>
        <w:rPr>
          <w:sz w:val="20"/>
          <w:szCs w:val="20"/>
          <w:color w:val="auto"/>
        </w:rPr>
      </w:pPr>
      <w:r>
        <w:rPr>
          <w:rFonts w:ascii="Arial" w:cs="Arial" w:eastAsia="Arial" w:hAnsi="Arial"/>
          <w:sz w:val="16"/>
          <w:szCs w:val="16"/>
          <w:color w:val="auto"/>
        </w:rPr>
        <w:t>Mortgage banking revenues were $275 million for the nine-month period ended September 30, 2016, down 5% from $288 million in the year-earlier period. Residential mortgage banking revenues declined 13% to $192 million during the first nine months of 2016 from $220 million in the corresponding 2015 period. New commitments to originate residential real estate loans to be sold were $2.4 billion and $2.8 billion during the first nine months of 2016 and 2015, respectively. Realized gains from sales of residential real estate loans and loan servicing rights and recognized unrealized gains and losses on residential real estate loans held for sale, commitments to originate loans for sale and commitments to sell loans totaled to gains of $54 million and $60 million during the nine-month periods ended September 30, 2016 and 2015, respectively. Revenues from servicing residential mortgage loans for others were $137 million and $160 million for the first nine months of 2016 and 2015, respectively. That decline was attributable to lower sub-servicing revenues that totaled $73 million and $91 million in the 2016 and 2015 periods, respectively. The decline in revenues resulted from lower balances of loans serviced for others. Commercial mortgage banking revenues totaled $83 million and $68 million during the nine-month periods ended September 30, 2016 and 2015, respectively. That increase predominantly reflects higher revenues from loan origination and sales activities. Commercial real estate loans originated for sale to other investors were $1.6 billion in the first nine months of 2016, compared with $1.5 billion in the comparable 2015 period.</w:t>
      </w:r>
    </w:p>
    <w:p>
      <w:pPr>
        <w:spacing w:after="0" w:line="17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Service charges on deposit accounts totaled $314 million and $315 million during the first nine months of 2016 and 2015, respectively. Trust income aggregated $350 million during the nine-month period ended September 30, 2016, compared with $356 million a year earlier. That decline was attributable to $9 million of revenues in the first quarter of 2015 associated with the trade processing business that was sold in April 2015. Brokerage services income totaled $48 million and $49 million during the first nine months of 2016 and 2015, respectively. Trading account and foreign exchange activity resulted in gains of $33 million for the nine-month period ended September 30, 2016 and $21 million for the similar period in 2015. That increase was largely the result of favorable foreign exchange rates and higher activity related to interest swap transactions executed on behalf of commercial customers. Gains on investment securities aggregated $28 million in the first nine months of 2016. There were no significant gains or losses on securities in 2015.</w:t>
      </w:r>
    </w:p>
    <w:p>
      <w:pPr>
        <w:spacing w:after="0" w:line="16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Other revenues from operations were $311 million in the nine-month period ended September 30, 2016, compared with $348 million in the year-earlier period. That decline reflects the April 2015 gain of $45 million from the sale of the trade processing business and higher gains in the 2015 period from the sale of previously leased equipment of $13 million. Also included in other revenues from operations during the nine-month periods ended September 30, 2016 and 2015 were the following significant components. Letter of credit and other credit-related fees totaled $89 million in 2016 and $92 million in 2015. Income from bank owned life insurance was $41 million and $38 million in 2016 and 2015, respectively. Merchant discount and credit card fees aggregated $81 million in 2016 and $77 million in 2015. Insurance-related sales commissions and other revenues were $32 million and $29 million in the first nine months of 2016 and 2015, respectively. M&amp;T’s share of the operating losses of BLG was $8 million and $11 million in the 2016 and 2015 periods, respectively. In addition, corporate advisory fees for assisting customers were $9 million in 2016, up from $3 million in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Other expense totaled $752 million in the third quarter of 2016, up from $654 million in the year-earlier period and $750 million in 2016’s second quarter. Included in those amounts are expenses considered by management to be “nonoperating” in nature consisting of (i) amortization of core deposit and other intangible assets of $10 million and $4 million in the third quarters of 2016 and 2015, respectively, and $11 million in the second quarter of 2016 and</w:t>
      </w:r>
    </w:p>
    <w:p>
      <w:pPr>
        <w:jc w:val="both"/>
        <w:ind w:firstLine="8"/>
        <w:spacing w:after="0" w:line="252" w:lineRule="auto"/>
        <w:tabs>
          <w:tab w:leader="none" w:pos="2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merger-related expenses of $13 million in the second quarter of 2016. There were no merger-related expenses during the third quarters of 2016 or 2015. Exclusive of those nonoperating expenses, noninterest operating expenses were $743 million in the most recent quarter, compared with $650 million in the year-earlier quarter and $726 million in the second quarter of 2016. The most significant factors for the increased level of operating expenses in the recent quarter as compared with the third quarter of 2015 were the impact of the operations obtained in the Hudson City acquisition, higher costs for professional services and advertising, and increased Federal Deposit Insurance Corporation (“FDIC”) assessments. The higher level of noninterest operating expenses in the recent quarter as compared with the second quarter of 2016 was largely due to higher advertising and promotion expenses and increased FDIC assessments.</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Other expense for the first nine months of 2016 aggregated $2.28 billion, up $242 million or 12% from $2.04 billion in the year-earlier period. Included in those amounts are expenses considered to be “nonoperating” in nature consisting of amortization of core deposit and other intangible assets of $34 million in 2016 and $17 million in 2015 and merger-related expenses of $36 million in the first nine months of 2016. There were no merger-related expenses in the first nine months of 2015. Exclusive of those nonoperating expenses, noninterest operating expenses through the first nine months of 2016 increased $189 million or 9% from the corresponding 2015 period. That increase was predominantly attributable to costs associated with acquired operations of Hudson City and higher professional services costs and FDIC assessments. Table 2 provides a reconciliation of other expense to noninterest operating expense.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jc w:val="both"/>
        <w:ind w:firstLine="518"/>
        <w:spacing w:after="0" w:line="254" w:lineRule="auto"/>
        <w:rPr>
          <w:sz w:val="20"/>
          <w:szCs w:val="20"/>
          <w:color w:val="auto"/>
        </w:rPr>
      </w:pPr>
      <w:r>
        <w:rPr>
          <w:rFonts w:ascii="Arial" w:cs="Arial" w:eastAsia="Arial" w:hAnsi="Arial"/>
          <w:sz w:val="18"/>
          <w:szCs w:val="18"/>
          <w:color w:val="auto"/>
        </w:rPr>
        <w:t>Salaries and employee benefits expense totaled $400 million in the recent quarter, compared with $364 million in the third quarter of 2015 and $399 million in the second quarter of 2016. For the first three quarters of 2016, salaries and employee benefits expense totaled $1.22 billion, up 10% from $1.12 billion in the year-earlier period. As compared with the comparable 2015 periods, the increases during the three months and nine months ended September 30, 2016 were predominantly the result of additional employees associated with the Company’s expanded operations and annual merit increases for employees. Stock-based compensation totaled $10 million and $11 million during the quarters ended September 30, 2016 and September 30, 2015, respectively, $17 million during the quarter ended June 30, 2016 and $55 million for each of the nine-month periods ended September 30, 2016 and 2015. The number of full-time equivalent employees was 16,709 at September 30, 2016, 15,456 at September 30, 2015, 16,979 at December 31, 2015 and 16,814 at June 30, 2016.</w:t>
      </w:r>
    </w:p>
    <w:p>
      <w:pPr>
        <w:spacing w:after="0" w:line="19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Excluding the nonoperating expense items described earlier from each period, nonpersonnel operating expenses were $343 million in the third quarter of 2016, $286 million in the year-earlier quarter and $327 million in the second quarter of 2016. On the same basis, those expenses were $984 million and $905 million during the first nine months of 2016 and 2015, respectively. The expenses in the 2016 periods as compared with the similar 2015 periods reflected higher equipment and net occupancy expenses and increased FDIC assessments, each due largely to the impact of the acquisition of Hudson City, and higher costs for professional services, including legal expenses. Those increased costs in the first nine months of 2016 as compared with the similar 2015 period were partially offset by a $40 million charitable contribution made in the second quarter of 2015 to The M&amp;T Charitable Foundation. The increase in nonpersonnel operating expenses in the recent quarter as compared with the second quarter of 2016 was largely due to higher costs for advertising and FDIC assessments.</w:t>
      </w:r>
    </w:p>
    <w:p>
      <w:pPr>
        <w:spacing w:after="0" w:line="19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efficiency ratio measures the relationship of noninterest operating expenses to revenues. The Company’s efficiency ratio was 55.9% during the recent quarter, compared with 57.1% and 55.1% in the year-earlier quarter and the second quarter of 2016, respectively. The efficiency ratios for the nine-month periods ended September 30, 2016 and 2015 were 56.0% and 58.9%, respectively. The calculation of the efficiency ratio is presented in table 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provision for income taxes for the third quarter of 2016 was $200 million, compared with $154 million and $194 million in the year-earlier quarter and second quarter of 2016, respectively. The effective tax rates were 36.4%, 35.5% and 36.6% for the quarters ended September 30, 2016, September 30, 2015 and June 30, 2016, respectively. For the nine-month periods ended September 30, 2016 and 2015, the provision for income taxes was $564 million and $455 million, respectively, and the effective tax rates were 36.4% and 36.0%,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6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equity was $16.3 billion at September 30, 2016, representing 12.88% of total assets, compared with $12.9 billion or 13.21% of total assets a year earlier and $16.2 billion or 13.17% at December 31, 2015.</w:t>
      </w:r>
    </w:p>
    <w:p>
      <w:pPr>
        <w:spacing w:after="0" w:line="6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Included in shareholders’ equity was preferred stock with financial statement carrying values of $1.2 billion at each of September 30, 2016, September 30, 2015 and December 31, 2015. Further information concerning M&amp;T’s preferred stock can be found in note 6 of Notes to Financial Statements. On October 28, 2016, M&amp;T issued 50,000 shares of Series F Perpetual Fixed-to-Floating Rate Non-cumulative Preferred Stock, par value $1.00 per share and liquidation preference of $10,000 per share. Through November 1, 2026 holders of the Series F preferred stock are entitled to receive, only when, as and if declared by M&amp;T’s Board of Directors, non-cumulative cash dividends at an annual rate of 5.125%, payable semi-annually in arrears. Subsequent to November 1, 2026 holders will be entitled to receive quarterly cash dividends at an annual rate of three-month LIBOR plus 352 basis points. The Series F preferred stock may be redeemed at M&amp;T’s option, in whole or in part, on any dividend payment date on or after November 1, 2026 or, in whole but not in part, at any time within 90 days following a regulatory capital treatment event whereby the full liquidation value of the shares no longer qualifies as “additional Tier 1 capital.”</w:t>
      </w:r>
    </w:p>
    <w:p>
      <w:pPr>
        <w:spacing w:after="0" w:line="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M&amp;T expects to redeem the 50,000 shares issued and outstanding of the Series D Fixed Rate Non-cumulative Perpetual Preferred Stock, $10,000 liquidation preference per share during December 2016, having received the approval of the Federal Reserve to redeem such shares after issuing the Series F preferred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jc w:val="both"/>
        <w:ind w:firstLine="518"/>
        <w:spacing w:after="0" w:line="272" w:lineRule="auto"/>
        <w:rPr>
          <w:sz w:val="20"/>
          <w:szCs w:val="20"/>
          <w:color w:val="auto"/>
        </w:rPr>
      </w:pPr>
      <w:r>
        <w:rPr>
          <w:rFonts w:ascii="Arial" w:cs="Arial" w:eastAsia="Arial" w:hAnsi="Arial"/>
          <w:sz w:val="17"/>
          <w:szCs w:val="17"/>
          <w:color w:val="auto"/>
        </w:rPr>
        <w:t>Common shareholders’ equity was $15.1 billion, or $97.47 per share, at September 30, 2016, compared with $11.7 billion, or $87.67 per share, a year earlier and $14.9 billion, or $93.60 per share, at December 31, 2015. In conjunction with the acquisition of Hudson City, M&amp;T issued 25,953,950 common shares, which added $3.1 billion to common shareholders’ equity on November 1, 2015. Tangible equity per common share, which excludes goodwill and core deposit and other intangible assets and applicable deferred tax balances, was $67.42 at the end of the recent quarter, compared with $61.22 a year earlier and $64.28 at December 31, 2015. The Company’s ratio of tangible common equity to tangible assets was 8.55% at September 30, 2016, compared with 8.66% a year earlier and 8.69% at December 31, 2015. Reconciliations of total common shareholders’ equity and tangible common equity and total assets and tangible assets as of each of those respective dates are presented in table 2.</w:t>
      </w:r>
    </w:p>
    <w:p>
      <w:pPr>
        <w:spacing w:after="0" w:line="17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$175 million, or $1.13 per common share, at September 30, 2016, compared with net unrealized gains of $128 million, or $.96 per common share, at September 30, 2015 and $48 million, or $.30 per common share, at December 31, 2015. Information about unrealized gains and losses as of September 30, 2016 and December 31, 2015 is included in note 3 of Notes to Financial Statements.</w:t>
      </w:r>
    </w:p>
    <w:p>
      <w:pPr>
        <w:spacing w:after="0" w:line="16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Reflected in net unrealized gains at September 30, 2016 were pre-tax effect unrealized losses of $19 million on available-for-sale investment securities with an amortized cost of $362 million and pre-tax effect unrealized gains of $330 million on securities with an amortized cost of $11.2 billion. The pre-tax effect unrealized losses reflect $18 million of losses on trust preferred securities issued by financial institutions having an amortized cost of $125 million and an estimated fair value of $107 million (generally considered Level 2 valuations). Further information concerning the Company’s valuations of available-for-sale investment securities is provided in note 12 of Notes to Financial Statements.</w:t>
      </w:r>
    </w:p>
    <w:p>
      <w:pPr>
        <w:spacing w:after="0" w:line="173"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As of September 30, 2016, based on a review of each of the securities in the investment securities portfolio, the Company concluded that the declines in the values of any securities containing an unrealized loss were temporary and that any other-than-temporary impairment charges were not appropriate. During the third quarter of 2016, the Company sold substantially all of its collateralized debt obligations held in the available-for-sale investment securities portfolio for a pre-tax gain of $28 million. Those securities had been obtained through the acquisition of other banks. Divestiture of the majority of these securities would have been required prior to July 21, 2017 in accordance with the Volcker Rule. As of September 30, 2016,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the Notes to Financial Statements.</w:t>
      </w:r>
    </w:p>
    <w:p>
      <w:pPr>
        <w:spacing w:after="0" w:line="17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Company assesses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September 30, 2016 and December 31, 2015, the Company had in its held-to-maturity portfolio privately issued mortgage-backed securities with an amortized cost basis of $163 million and $181 million, respectively, and a fair value of $126 million and $142 million, respectively. At September 30, 2016, 84% of the mortgage-backed securities were in the most senior tranche of the securitization structure with 26% being independently rated as investment grade. The mortgage-backed securities are generally collateralized by residential and small-balance commercial real estate loans originated between 2004 and 2008 and had a weighted-average credit enhancement of 16% at September 30, 2016,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mortgage-backed securities in the held-to-maturity portfolio had a current payment status as of September 30, 2016. The weighted-average default percentage and loss severity assumptions utilized in the Company’s internal modeling were 30% and 81%, respectively. The Company has concluded that as of September 30, 2016, those privately issued mortgage-backed securities were not other-than-temporarily impaired. Nevertheless, it is possible that adverse changes in the future performance of mortgage loan collateral underlying such securities could impact the Company’s conclusions.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jc w:val="both"/>
        <w:ind w:firstLine="518"/>
        <w:spacing w:after="0" w:line="264"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$285 million, or $1.84 per common share, at September 30, 2016, $289 million, or $2.17 per common share, at September 30, 2015 and $297 million, or $1.86 per common share, at December 31, 2015.</w:t>
      </w:r>
    </w:p>
    <w:p>
      <w:pPr>
        <w:spacing w:after="0" w:line="181" w:lineRule="exact"/>
        <w:rPr>
          <w:sz w:val="20"/>
          <w:szCs w:val="20"/>
          <w:color w:val="auto"/>
        </w:rPr>
      </w:pPr>
    </w:p>
    <w:p>
      <w:pPr>
        <w:jc w:val="both"/>
        <w:ind w:firstLine="471"/>
        <w:spacing w:after="0" w:line="288" w:lineRule="auto"/>
        <w:rPr>
          <w:sz w:val="20"/>
          <w:szCs w:val="20"/>
          <w:color w:val="auto"/>
        </w:rPr>
      </w:pPr>
      <w:r>
        <w:rPr>
          <w:rFonts w:ascii="Arial" w:cs="Arial" w:eastAsia="Arial" w:hAnsi="Arial"/>
          <w:sz w:val="16"/>
          <w:szCs w:val="16"/>
          <w:color w:val="auto"/>
        </w:rPr>
        <w:t>The Company did not repurchase any shares of its common stock during 2015. However, in accordance with its 2015 Capital Plans, M&amp;T repurchased 948,545 common shares for $100 million in the first quarter of 2016 and 1,319,487 common shares for $154 million in the second quarter of 2016. On June 29, 2016, M&amp;T announced that the Federal Reserve did not object to M&amp;T’s revised 2016 Capital Plan. That plan includes the repurchase of up to $1.15 billion of common shares during the four-quarter period starting on July 1, 2016 and an increase in the quarterly common stock dividend in the first quarter of 2017 of up to $.05 per share to $.75 per share. M&amp;T may also continue to pay dividends and interest on other equity and debt instruments included in regulatory capital, including preferred stock, trust preferred securities and subordinated debt that were outstanding at December 31, 2015, consistent with the contractual terms of those instruments. Dividends are subject to declaration by M&amp;T’s Board of Directors. Furthermore, on July 19, 2016, M&amp;T’s Board of Directors authorized a new stock repurchase program to repurchase up to $1.15 billion of shares of its common stock subject to all applicable regulatory reporting limitations, including those set forth in M&amp;T’s 2016 Capital Plan. During the recent quarter, M&amp;T repurchased 3,039,563 shares for $350 million in accordance with that program. M&amp;T repurchased 5,307,595 shares during the first nine months of 2016 at an aggregate amount of $604 million.</w:t>
      </w:r>
    </w:p>
    <w:p>
      <w:pPr>
        <w:spacing w:after="0" w:line="129" w:lineRule="exact"/>
        <w:rPr>
          <w:sz w:val="20"/>
          <w:szCs w:val="20"/>
          <w:color w:val="auto"/>
        </w:rPr>
      </w:pPr>
    </w:p>
    <w:p>
      <w:pPr>
        <w:ind w:right="40" w:firstLine="476"/>
        <w:spacing w:after="0" w:line="257" w:lineRule="auto"/>
        <w:rPr>
          <w:sz w:val="20"/>
          <w:szCs w:val="20"/>
          <w:color w:val="auto"/>
        </w:rPr>
      </w:pPr>
      <w:r>
        <w:rPr>
          <w:rFonts w:ascii="Arial" w:cs="Arial" w:eastAsia="Arial" w:hAnsi="Arial"/>
          <w:sz w:val="18"/>
          <w:szCs w:val="18"/>
          <w:color w:val="auto"/>
        </w:rPr>
        <w:t>Cash dividends declared on M&amp;T’s common stock totaled $109 million in the recent quarter, compared with $94 million and $111 million in the three-month periods ended September 30, 2015 and June 30, 2016, respectively, and represented a quarterly dividend payment of $.70 per common share in each of those periods. Common stock dividends during the nine-month periods ended September 30, 2016 and 2015 were $332 million and $281 million, respectively. Cash dividends declared on preferred stock aggregated $20 million in each of the third quarters of 2016 and 2015 and the second quarter of 2016.</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M&amp;T and its subsidiary banks are required to comply with applicable capital adequacy regulations established by the federal banking agencies.</w:t>
      </w:r>
    </w:p>
    <w:p>
      <w:pPr>
        <w:spacing w:after="0"/>
        <w:rPr>
          <w:sz w:val="20"/>
          <w:szCs w:val="20"/>
          <w:color w:val="auto"/>
        </w:rPr>
      </w:pPr>
      <w:r>
        <w:rPr>
          <w:rFonts w:ascii="Arial" w:cs="Arial" w:eastAsia="Arial" w:hAnsi="Arial"/>
          <w:sz w:val="18"/>
          <w:szCs w:val="18"/>
          <w:color w:val="auto"/>
        </w:rPr>
        <w:t>Pursuant to those regulations, the minimum capital ratios are as follows:</w:t>
      </w:r>
    </w:p>
    <w:p>
      <w:pPr>
        <w:spacing w:after="0" w:line="128" w:lineRule="exact"/>
        <w:rPr>
          <w:sz w:val="20"/>
          <w:szCs w:val="20"/>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4.5% Common Equity Tier 1 (“CET1”) to risk-weighted assets (each as defined in the capital regulations);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6.0% Tier 1 capital (that is, CET1 plus Additional Tier 1 capital) to risk-weighted assets (each as defined in the capital regulations);</w:t>
      </w:r>
    </w:p>
    <w:p>
      <w:pPr>
        <w:spacing w:after="0" w:line="144" w:lineRule="exact"/>
        <w:rPr>
          <w:rFonts w:ascii="Arial" w:cs="Arial" w:eastAsia="Arial" w:hAnsi="Arial"/>
          <w:sz w:val="18"/>
          <w:szCs w:val="18"/>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8.0% Total capital (that is, Tier 1 capital plus Tier 2 capital) to risk-weighted assets (each as defined in the capital regulations); and</w:t>
      </w:r>
    </w:p>
    <w:p>
      <w:pPr>
        <w:spacing w:after="0" w:line="144" w:lineRule="exact"/>
        <w:rPr>
          <w:rFonts w:ascii="Arial" w:cs="Arial" w:eastAsia="Arial" w:hAnsi="Arial"/>
          <w:sz w:val="18"/>
          <w:szCs w:val="18"/>
          <w:color w:val="auto"/>
        </w:rPr>
      </w:pPr>
    </w:p>
    <w:p>
      <w:pPr>
        <w:ind w:left="760" w:hanging="374"/>
        <w:spacing w:after="0" w:line="235"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 Tier 1 capital to average consolidated assets as reported on consolidated financial statements (known as the “leverage ratio”), as defined in the regulation.</w:t>
      </w:r>
    </w:p>
    <w:p>
      <w:pPr>
        <w:spacing w:after="0" w:line="35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capital regulations provide for the phase-in of a “capital conservation buffer” composed entirely of CET1 on top of these minimum risk-weighted asset ratios. When fully phased-in on January 1, 2019 the capital conservation buffer will be 2.5%. For 2016, the phase-in transition portion of that buffer is .625%.</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regulatory capital ratios of the Company, M&amp;T Bank and Wilmington Trust, N.A. as of September 30, 2016 are presented in the accompanying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rPr>
              <w:t>M&amp;T</w:t>
            </w:r>
          </w:p>
        </w:tc>
        <w:tc>
          <w:tcPr>
            <w:tcW w:w="1320" w:type="dxa"/>
            <w:vAlign w:val="bottom"/>
            <w:gridSpan w:val="2"/>
          </w:tcPr>
          <w:p>
            <w:pPr>
              <w:ind w:left="400"/>
              <w:spacing w:after="0"/>
              <w:rPr>
                <w:sz w:val="20"/>
                <w:szCs w:val="20"/>
                <w:color w:val="auto"/>
              </w:rPr>
            </w:pPr>
            <w:r>
              <w:rPr>
                <w:rFonts w:ascii="Arial" w:cs="Arial" w:eastAsia="Arial" w:hAnsi="Arial"/>
                <w:sz w:val="14"/>
                <w:szCs w:val="14"/>
                <w:color w:val="auto"/>
              </w:rPr>
              <w:t>M&amp;T</w:t>
            </w:r>
          </w:p>
        </w:tc>
        <w:tc>
          <w:tcPr>
            <w:tcW w:w="1180" w:type="dxa"/>
            <w:vAlign w:val="bottom"/>
          </w:tcPr>
          <w:p>
            <w:pPr>
              <w:jc w:val="right"/>
              <w:ind w:right="176"/>
              <w:spacing w:after="0"/>
              <w:rPr>
                <w:sz w:val="20"/>
                <w:szCs w:val="20"/>
                <w:color w:val="auto"/>
              </w:rPr>
            </w:pPr>
            <w:r>
              <w:rPr>
                <w:rFonts w:ascii="Arial" w:cs="Arial" w:eastAsia="Arial" w:hAnsi="Arial"/>
                <w:sz w:val="14"/>
                <w:szCs w:val="14"/>
                <w:color w:val="auto"/>
              </w:rPr>
              <w:t>Wilmington</w:t>
            </w: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(Consolidated)</w:t>
            </w:r>
          </w:p>
        </w:tc>
        <w:tc>
          <w:tcPr>
            <w:tcW w:w="1320" w:type="dxa"/>
            <w:vAlign w:val="bottom"/>
            <w:gridSpan w:val="2"/>
          </w:tcPr>
          <w:p>
            <w:pPr>
              <w:ind w:left="400"/>
              <w:spacing w:after="0"/>
              <w:rPr>
                <w:sz w:val="20"/>
                <w:szCs w:val="20"/>
                <w:color w:val="auto"/>
              </w:rPr>
            </w:pPr>
            <w:r>
              <w:rPr>
                <w:rFonts w:ascii="Arial" w:cs="Arial" w:eastAsia="Arial" w:hAnsi="Arial"/>
                <w:sz w:val="14"/>
                <w:szCs w:val="14"/>
                <w:color w:val="auto"/>
              </w:rPr>
              <w:t>Bank</w:t>
            </w:r>
          </w:p>
        </w:tc>
        <w:tc>
          <w:tcPr>
            <w:tcW w:w="1180" w:type="dxa"/>
            <w:vAlign w:val="bottom"/>
          </w:tcPr>
          <w:p>
            <w:pPr>
              <w:jc w:val="right"/>
              <w:ind w:right="196"/>
              <w:spacing w:after="0"/>
              <w:rPr>
                <w:sz w:val="20"/>
                <w:szCs w:val="20"/>
                <w:color w:val="auto"/>
              </w:rPr>
            </w:pPr>
            <w:r>
              <w:rPr>
                <w:rFonts w:ascii="Arial" w:cs="Arial" w:eastAsia="Arial" w:hAnsi="Arial"/>
                <w:sz w:val="14"/>
                <w:szCs w:val="14"/>
                <w:color w:val="auto"/>
              </w:rPr>
              <w:t>Trust, N.A.</w:t>
            </w:r>
          </w:p>
        </w:tc>
      </w:tr>
      <w:tr>
        <w:trPr>
          <w:trHeight w:val="223"/>
        </w:trPr>
        <w:tc>
          <w:tcPr>
            <w:tcW w:w="20" w:type="dxa"/>
            <w:vAlign w:val="bottom"/>
          </w:tcPr>
          <w:p>
            <w:pPr>
              <w:spacing w:after="0"/>
              <w:rPr>
                <w:sz w:val="19"/>
                <w:szCs w:val="19"/>
                <w:color w:val="auto"/>
              </w:rPr>
            </w:pPr>
          </w:p>
        </w:tc>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equity Tier 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w:t>
            </w: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Tier 1 capital</w:t>
            </w:r>
          </w:p>
        </w:tc>
        <w:tc>
          <w:tcPr>
            <w:tcW w:w="1120" w:type="dxa"/>
            <w:vAlign w:val="bottom"/>
          </w:tcPr>
          <w:p>
            <w:pPr>
              <w:jc w:val="right"/>
              <w:spacing w:after="0"/>
              <w:rPr>
                <w:sz w:val="20"/>
                <w:szCs w:val="20"/>
                <w:color w:val="auto"/>
              </w:rPr>
            </w:pPr>
            <w:r>
              <w:rPr>
                <w:rFonts w:ascii="Arial" w:cs="Arial" w:eastAsia="Arial" w:hAnsi="Arial"/>
                <w:sz w:val="18"/>
                <w:szCs w:val="18"/>
                <w:color w:val="auto"/>
              </w:rPr>
              <w:t>12.04%</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48.82%</w:t>
            </w: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capital</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Tier 1 leverage</w:t>
            </w:r>
          </w:p>
        </w:tc>
        <w:tc>
          <w:tcPr>
            <w:tcW w:w="1120" w:type="dxa"/>
            <w:vAlign w:val="bottom"/>
          </w:tcPr>
          <w:p>
            <w:pPr>
              <w:jc w:val="right"/>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15.59%</w:t>
            </w:r>
          </w:p>
        </w:tc>
      </w:tr>
    </w:tbl>
    <w:p>
      <w:pPr>
        <w:spacing w:after="0" w:line="201" w:lineRule="exact"/>
        <w:rPr>
          <w:sz w:val="20"/>
          <w:szCs w:val="20"/>
          <w:color w:val="auto"/>
        </w:rPr>
      </w:pPr>
    </w:p>
    <w:p>
      <w:pPr>
        <w:jc w:val="both"/>
        <w:ind w:firstLine="476"/>
        <w:spacing w:after="0" w:line="257" w:lineRule="auto"/>
        <w:rPr>
          <w:sz w:val="20"/>
          <w:szCs w:val="20"/>
          <w:color w:val="auto"/>
        </w:rPr>
      </w:pPr>
      <w:r>
        <w:rPr>
          <w:rFonts w:ascii="Arial" w:cs="Arial" w:eastAsia="Arial" w:hAnsi="Arial"/>
          <w:sz w:val="18"/>
          <w:szCs w:val="18"/>
          <w:color w:val="auto"/>
        </w:rPr>
        <w:t>The Company is also subject to the comprehensive regulatory framework applicable to bank and financial holding companies and their subsidiaries, which includes regular examinations by a number of federal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t>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From 10-K for the year ended December 31, 2015 and Part II, Item 7, “Management’s Discussion and Analysis of Financial Condition and Results of Operations” of that Form 10-K under the heading “Regulatory Oversight.”</w:t>
      </w:r>
    </w:p>
    <w:p>
      <w:pPr>
        <w:spacing w:after="0" w:line="296" w:lineRule="exact"/>
        <w:rPr>
          <w:sz w:val="20"/>
          <w:szCs w:val="20"/>
          <w:color w:val="auto"/>
        </w:rPr>
      </w:pPr>
    </w:p>
    <w:p>
      <w:pPr>
        <w:jc w:val="both"/>
        <w:ind w:firstLine="471"/>
        <w:spacing w:after="0" w:line="255" w:lineRule="auto"/>
        <w:rPr>
          <w:sz w:val="20"/>
          <w:szCs w:val="20"/>
          <w:color w:val="auto"/>
        </w:rPr>
      </w:pPr>
      <w:r>
        <w:rPr>
          <w:rFonts w:ascii="Arial" w:cs="Arial" w:eastAsia="Arial" w:hAnsi="Arial"/>
          <w:sz w:val="18"/>
          <w:szCs w:val="18"/>
          <w:color w:val="auto"/>
        </w:rPr>
        <w:t>On June 17, 2013, M&amp;T and M&amp;T Bank entered into a written agreement with the Federal Reserve Bank of New York. Under the terms of the agreement, M&amp;T and M&amp;T Bank were required to submit to the Federal Reserve Bank of New York a revised compliance risk management program designed to ensure compliance with the Bank Secrecy Act and anti-money-laundering laws and regulations (“BSA/AML”) and to take certain other steps to enhance their compliance practices. M&amp;T and M&amp;T Bank have since made substantial progress in implementing a BSA/AML program with significantly expanded scale and scope, as recognized by the Board of Governors of the Federal Reserve System in its Order approving M&amp;T and M&amp;T Bank’s applications to acquire Hudson City and Hudson City Savings Bank. M&amp;T and M&amp;T Bank are continuing to work towards the resolution of all outstanding issues in the written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147" w:lineRule="exact"/>
        <w:rPr>
          <w:sz w:val="20"/>
          <w:szCs w:val="20"/>
          <w:color w:val="auto"/>
        </w:rPr>
      </w:pPr>
    </w:p>
    <w:p>
      <w:pPr>
        <w:jc w:val="both"/>
        <w:ind w:firstLine="476"/>
        <w:spacing w:after="0" w:line="288" w:lineRule="auto"/>
        <w:rPr>
          <w:sz w:val="20"/>
          <w:szCs w:val="20"/>
          <w:color w:val="auto"/>
        </w:rPr>
      </w:pPr>
      <w:r>
        <w:rPr>
          <w:rFonts w:ascii="Arial" w:cs="Arial" w:eastAsia="Arial" w:hAnsi="Arial"/>
          <w:sz w:val="16"/>
          <w:szCs w:val="16"/>
          <w:color w:val="auto"/>
        </w:rPr>
        <w:t>The Business Banking segment recorded net income of $21 million in the third quarter of 2016, compared with $24 million in the third quarter of 2015 and $23 million in the second quarter of 2016. As compared with the year-earlier quarter, higher branch network allocated costs largely associated with the acquired Hudson City operations in 2016’s third quarter were partially offset by a $4 million increase in net interest income. The higher net interest income resulted largely from an increase in average outstanding deposit balances of $687 million and a widening of the net interest margin on deposits of 8 basis points. The recent quarter decline from 2016’s second quarter primarily reflected a $3 million increase in the provision for credit losses, due to higher net charge-offs, and a modest increase in other operating expenses, offset, in part, by a $2 million rise in net interest income. Net income for the Business Banking segment totaled $70 million during the first nine months of 2016, compared with $74 million in the year-earlier period. That 6% year-over-year decline was attributable to higher centrally-allocated costs largely associated with the acquired Hudson City operations and an increase in FDIC assessments of $2 million, offset, in part, by an $11 million increase in net interest income and a $4 million decline in the provision for credit losses, predominantly due to lower net charge-offs. The improvement in net interest income reflected an increase in average outstanding deposit balances of $1.1 billion.</w:t>
      </w:r>
    </w:p>
    <w:p>
      <w:pPr>
        <w:spacing w:after="0" w:line="169"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6"/>
          <w:szCs w:val="16"/>
          <w:color w:val="auto"/>
        </w:rPr>
        <w:t>Net income earned by the Commercial Banking segment totaled $103 million during the quarter ended September 30, 2016, compared with $108 million in the year-earlier quarter and $105 million in the second quarter of 2016. As compared with the third quarter of 2015, unfavorable factors in the recent quarter included lower gains on sales of previously leased equipment of $13 million and higher FDIC assessments and personnel costs of $3 million each, partially offset by a $5 million increase in net interest income, a $3 million decline in the provision for credit losses and a $3 million increase in credit-related fees. The higher net interest income resulted from higher average outstanding loan and deposit balances of $1.6 billion and $969 million, respectively, and a widening of the net interest margin on deposits of 9 basis points, offset, in part, by a narrowing of the net interest margin on loans of 16 basis points. The decline in net income in the recent quarter as compared with the second quarter of 2016 was largely due to a $9 million increase in the provision for credit losses, due to a $12 million recent quarter charge-off of loans to a commercial maintenance services provider, and lower corporate advisory fees of $4 million, partially offset by increases in net interest income and credit-related fees and lower operating expenses. Year-to-date net income for the Commercial Banking segment totaled $310 million in 2016, compared with $313 million in 2015. Lower gains on sales of previously leased equipment of $15 million, an increase in FDIC assessments of $10 million and higher allocated operating expenses associated with data processing, risk management and other support services provided to the Commercial Banking segment were largely offset by a $20 million rise in net interest income, an $11 million decline in the provision for credit losses and a $5 million increase in corporate advisory fees. The improvement in net interest income reflected higher average outstanding balances of loans and deposits of $1.3 billion and $663 million, respectively, and a widening of the net interest margin on deposits of 10 basis points, partially offset by a narrowing of the net interest margin on loans of 11 basis points.</w:t>
      </w:r>
    </w:p>
    <w:p>
      <w:pPr>
        <w:spacing w:after="0" w:line="169" w:lineRule="exact"/>
        <w:rPr>
          <w:sz w:val="20"/>
          <w:szCs w:val="20"/>
          <w:color w:val="auto"/>
        </w:rPr>
      </w:pPr>
    </w:p>
    <w:p>
      <w:pPr>
        <w:jc w:val="both"/>
        <w:ind w:firstLine="476"/>
        <w:spacing w:after="0" w:line="257" w:lineRule="auto"/>
        <w:rPr>
          <w:sz w:val="20"/>
          <w:szCs w:val="20"/>
          <w:color w:val="auto"/>
        </w:rPr>
      </w:pPr>
      <w:r>
        <w:rPr>
          <w:rFonts w:ascii="Arial" w:cs="Arial" w:eastAsia="Arial" w:hAnsi="Arial"/>
          <w:sz w:val="18"/>
          <w:szCs w:val="18"/>
          <w:color w:val="auto"/>
        </w:rPr>
        <w:t>The Commercial Real Estate segment contributed net income of $90 million in the third quarter of 2016, compared with $85 million in the year-earlier period and $84 million in the second quarter of 2016. The 6% improvement in the recent quarter as compared with the third quarter of 2015 reflects higher mortgage banking revenues of $18 million, resulting from increased loan origination activities, and a $7 million rise in net interest income, offset, in part, by increases in each of FDIC assessments and personnel costs of $4 million and other operating expenses. The higher net interest income reflected an increase in average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both"/>
        <w:spacing w:after="0" w:line="269" w:lineRule="auto"/>
        <w:rPr>
          <w:sz w:val="20"/>
          <w:szCs w:val="20"/>
          <w:color w:val="auto"/>
        </w:rPr>
      </w:pPr>
      <w:r>
        <w:rPr>
          <w:rFonts w:ascii="Arial" w:cs="Arial" w:eastAsia="Arial" w:hAnsi="Arial"/>
          <w:sz w:val="17"/>
          <w:szCs w:val="17"/>
          <w:color w:val="auto"/>
        </w:rPr>
        <w:t>outstanding loan balances of $2.6 billion and a widening of the net interest margin on deposits of 17 basis points, partially offset by a narrowing of the net interest margin on loans of 28 basis points. Contributing to the 7% improvement in the recent quarter’s net income as compared with the immediately preceding quarter was an increase in mortgage banking revenues of $12 million, the result of stronger loan origination activities, and a $4 million rise in net interest income, partially offset by a $3 million rise in personnel-related expenses. The higher net interest income resulted largely from an increase in average outstanding balances of loans of $1.1 billion, offset, in part, by a narrowing of the net interest margin on loans of 9 basis points. Net income for the Commercial Real Estate segment was $255 million during the nine-month period ended September 30, 2016, up from $251 million in the corresponding 2015 period. That improvement resulted from a rise in net interest income of $17 million and higher mortgage banking revenues of $15 million. Those favorable factors were offset by increased FDIC assessments of $10 million, a $6 million rise in personnel-related expenses, a $4 million increase in the provision for credit losses and higher allocated operating expenses associated with data processing, risk management and other support services. The increase in net interest income resulted from higher average outstanding loan balances of $1.9 billion and a widening of the net interest margin on deposits of 15 basis points offset, in part, by a narrowing of the net interest margin on loans of 22 basis points.</w:t>
      </w:r>
    </w:p>
    <w:p>
      <w:pPr>
        <w:spacing w:after="0" w:line="183"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7"/>
          <w:szCs w:val="17"/>
          <w:color w:val="auto"/>
        </w:rPr>
        <w:t>Net income recorded by the Discretionary Portfolio segment aggregated $51 million during the three-month period ended September 30, 2016, compared with $5 million recorded in the year-earlier period and $46 million earned in the second quarter of 2016. Reflected in the results for the third quarter of 2016 were net after-tax investment securities gains of $17 million ($28 million pre-tax). Largely in response to the provisions of the Dodd-Frank Act commonly referred to as the Volcker Rule, the Company sold substantially all of its collateralized debt obligations in the quarter. In addition to the investment securities gains, the improvement in the recent quarter as compared with the third quarter of 2015 was due to the impact of residential real estate loans obtained in the acquisition of Hudson City. Partially offsetting those favorable factors were increases in the provision for credit losses of $8 million, FDIC assessments of $4 million and loan and other real estate-related servicing costs. The improvement in net income in the recent quarter as compared with the immediately preceding quarter resulted from the noted gains on investment securities, offset, in part, by a $10 million decrease in net interest income. The lower net interest income reflected a narrowing of the net interest margin on loans of 9 basis points and lower average outstanding loan balances of $998 million. Net income for this segment for the first nine months of the year totaled $152 million in 2016 and $22 million in 2015. That significant year-over-year increase was predominantly the result of residential real estate loans obtained in the acquisition of Hudson City and the investment securities gains, partially offset by increases of $16 million and $13 million in the provision for credit losses and FDIC assessments, respectively, and higher loan and other real-estate servicing costs.</w:t>
      </w:r>
    </w:p>
    <w:p>
      <w:pPr>
        <w:spacing w:after="0" w:line="188" w:lineRule="exact"/>
        <w:rPr>
          <w:sz w:val="20"/>
          <w:szCs w:val="20"/>
          <w:color w:val="auto"/>
        </w:rPr>
      </w:pPr>
    </w:p>
    <w:p>
      <w:pPr>
        <w:jc w:val="both"/>
        <w:ind w:firstLine="476"/>
        <w:spacing w:after="0" w:line="276" w:lineRule="auto"/>
        <w:rPr>
          <w:sz w:val="20"/>
          <w:szCs w:val="20"/>
          <w:color w:val="auto"/>
        </w:rPr>
      </w:pPr>
      <w:r>
        <w:rPr>
          <w:rFonts w:ascii="Arial" w:cs="Arial" w:eastAsia="Arial" w:hAnsi="Arial"/>
          <w:sz w:val="17"/>
          <w:szCs w:val="17"/>
          <w:color w:val="auto"/>
        </w:rPr>
        <w:t>The Residential Mortgage Banking segment contributed net income of $23 million in the recent quarter, compared with $21 million in the third quarter of 2015 and $20 million in the second quarter of 2016. The improvement in 2016’s third quarter as compared with the year-earlier period and the second quarter of 2016 was predominantly attributable to higher revenues associated with mortgage origination and sales activities (including intersegment revenues). The Residential Mortgage Banking segment earned $60 million in the first nine months of 2016, compared with $75 million in the similar period of 2015. That decline reflected lower revenues from servicing residential real estate loans for unaffiliated parties of $23 million.</w:t>
      </w:r>
    </w:p>
    <w:p>
      <w:pPr>
        <w:spacing w:after="0" w:line="173"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6"/>
          <w:szCs w:val="16"/>
          <w:color w:val="auto"/>
        </w:rPr>
        <w:t>Net income for the Retail Banking segment totaled $70 million in the third quarter of 2016, compared with $65 million in the year-earlier quarter and $71 million in the second quarter of 2016. As compared with the third quarter of 2015, a $44 million rise in net interest income in the recent quarter, predominantly due to the impact of deposits obtained in the acquisition of Hudson City, was largely offset by a $13 million increase in personnel-related expenses, reflecting the Hudson City acquisition, a $7 million increase in the provision for credit losses, higher equipment and net occupancy costs of $7 million, also reflecting the impact of the Hudson City acquisition, a $4 million increase in advertising and promotional expenses and increased FDIC assessments of $3 million. The modest decline in net income in the recent quarter as compared with the second quarter of 2016 reflected increased equipment and net occupancy costs of $7 million and a $2 million rise in each of the provision for credit losses and advertising and promotional expenses. Those unfavorable factors were partially offset by an increase in net interest income of $5 million and higher service charges on deposit accounts of $2 million. The Retail Banking segment recorded net income of $204 million and $202 million in the first nine months of 2016 and 2015, respectively. An increase in net interest income of $124 million, predominantly due to the impact of deposits obtained in the acquisition of Hudson City, was largely offset by the following unfavorable factors: a $42 million increase in personnel costs, predominantly due to the impact of the acquisition of Hudson City; a $37 million rise in the provision for credit losses, including partial charge-offs recognized on loans for which the Company identified that the customer was either bankrupt or deceased of $26 million; increases in equipment and net occupancy expenses and advertising and promotional expenses of $15 million and $11 million, respectively, reflecting the impact of the acquisition of Hudson City; higher FDIC assessment costs of $8 million; and higher allocated operating expenses associated with data processing, risk management and other support services provided from centralized service areas.</w:t>
      </w:r>
    </w:p>
    <w:p>
      <w:pPr>
        <w:spacing w:after="0" w:line="169" w:lineRule="exact"/>
        <w:rPr>
          <w:sz w:val="20"/>
          <w:szCs w:val="20"/>
          <w:color w:val="auto"/>
        </w:rPr>
      </w:pPr>
    </w:p>
    <w:p>
      <w:pPr>
        <w:jc w:val="both"/>
        <w:ind w:firstLine="476"/>
        <w:spacing w:after="0" w:line="264" w:lineRule="auto"/>
        <w:rPr>
          <w:sz w:val="20"/>
          <w:szCs w:val="20"/>
          <w:color w:val="auto"/>
        </w:rPr>
      </w:pPr>
      <w:r>
        <w:rPr>
          <w:rFonts w:ascii="Arial" w:cs="Arial" w:eastAsia="Arial" w:hAnsi="Arial"/>
          <w:sz w:val="18"/>
          <w:szCs w:val="18"/>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including the November 2015 Hudson City transaction, M&amp;T’s share of the operating losses of BLG, merger-related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jc w:val="both"/>
        <w:spacing w:after="0" w:line="286" w:lineRule="auto"/>
        <w:rPr>
          <w:sz w:val="20"/>
          <w:szCs w:val="20"/>
          <w:color w:val="auto"/>
        </w:rPr>
      </w:pPr>
      <w:r>
        <w:rPr>
          <w:rFonts w:ascii="Arial" w:cs="Arial" w:eastAsia="Arial" w:hAnsi="Arial"/>
          <w:sz w:val="16"/>
          <w:szCs w:val="16"/>
          <w:color w:val="auto"/>
        </w:rPr>
        <w:t>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includes the ICS and WAS business activities. The various components of the “All Other” category resulted in net losses totaling $8 million for the quarter ended September 30, 2016, $28 million in the year-earlier quarter and $14 million in the second quarter of 2016. As compared with the third quarter of 2015, the favorable impact from the Company’s allocation methodologies for internal transfers for funding charges and credits associated with earning assets and interest-bearing liabilities of the Company’s reportable segments and the provision for credit losses in the recent quarter was offset, in part, by higher professional services and personnel-related costs. The reduced net loss in the third quarter of 2016 as compared with the immediately preceding quarter reflected merger-related expenses of $13 million in the second quarter of 2016 (there were no such expenses in the most recent quarter). The “All Other” category had net losses of $65 million and $129 million for the nine-month periods ended September 30, 2016 and 2015, respectively. Results for the first nine months of 2015 reflected the $45 million pre-tax gain related to the sale of the trade processing business within the retirement services division that was mostly offset by $40 million of tax-deductible cash contributions to The M&amp;T Charitable Foundation. The improved performance in the 2016 period was predominantly due to the favorable impact from the Company’s allocation methodologies for internal transfers for funding charges and credits associated with earning assets and interest-bearing liabilities of the Company’s reportable segments, partially offset by $36 million of merger-related expenses in 2016 (there were no such expenses in the 2015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Effective January 1, 2016, the Company adopted amended accounting guidance relating to the consolidation of variable interest entities that modifies the evaluation of whether limited partnerships and similar legal entities are variable interest entities or voting interest entities and eliminates the presumption that a general partner should consolidate a limited partnership. The amended guidance also eliminates certain conditions in the assessment of whether fees paid by a legal entity to a decision maker or a service provider represent a variable interest in the legal entity and reduces the extent to which related party arrangements cause an entity to be considered a primary beneficiary. The new guidance eliminates the indefinite deferral of existing consolidation guidance for certain investment funds, but provides a scope exception for reporting entities with interests in legal entities that are required to comply with or operate in accordance with requirements similar to those in Rule 2a-7 of the Investment Company Act of 1940 for registered money market funds. The adoption of this guidance did not have a material effect on the Company’s consolidated financial position or results of operations.</w:t>
      </w:r>
    </w:p>
    <w:p>
      <w:pPr>
        <w:spacing w:after="0" w:line="166" w:lineRule="exact"/>
        <w:rPr>
          <w:sz w:val="20"/>
          <w:szCs w:val="20"/>
          <w:color w:val="auto"/>
        </w:rPr>
      </w:pPr>
    </w:p>
    <w:p>
      <w:pPr>
        <w:jc w:val="both"/>
        <w:ind w:firstLine="476"/>
        <w:spacing w:after="0" w:line="264" w:lineRule="auto"/>
        <w:rPr>
          <w:sz w:val="20"/>
          <w:szCs w:val="20"/>
          <w:color w:val="auto"/>
        </w:rPr>
      </w:pPr>
      <w:r>
        <w:rPr>
          <w:rFonts w:ascii="Arial" w:cs="Arial" w:eastAsia="Arial" w:hAnsi="Arial"/>
          <w:sz w:val="18"/>
          <w:szCs w:val="18"/>
          <w:color w:val="auto"/>
        </w:rPr>
        <w:t>In January 2016, the Company also adopted amended accounting guidance for debt issuance costs. The guidance requires that debt issuance costs related to a recognized debt liability be presented in the balance sheet as a direct deduction from the carrying amount of that debt liability. The adoption of this guidance did not have a material effect on the Company’s consolidated financial position at January 1, 2016.</w:t>
      </w:r>
    </w:p>
    <w:p>
      <w:pPr>
        <w:spacing w:after="0" w:line="181" w:lineRule="exact"/>
        <w:rPr>
          <w:sz w:val="20"/>
          <w:szCs w:val="20"/>
          <w:color w:val="auto"/>
        </w:rPr>
      </w:pPr>
    </w:p>
    <w:p>
      <w:pPr>
        <w:jc w:val="both"/>
        <w:ind w:firstLine="476"/>
        <w:spacing w:after="0" w:line="288" w:lineRule="auto"/>
        <w:rPr>
          <w:sz w:val="20"/>
          <w:szCs w:val="20"/>
          <w:color w:val="auto"/>
        </w:rPr>
      </w:pPr>
      <w:r>
        <w:rPr>
          <w:rFonts w:ascii="Arial" w:cs="Arial" w:eastAsia="Arial" w:hAnsi="Arial"/>
          <w:sz w:val="16"/>
          <w:szCs w:val="16"/>
          <w:color w:val="auto"/>
        </w:rPr>
        <w:t>In the first quarter of 2016, the Company adopted amended accounting guidance for share-based payments when the terms of an award provide that a performance target could be achieved after the requisite service period. The amended guidance requires that a performance target that affects vesting and that could be achieved after the requisite service period be treated as a performance condition.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The adoption of this guidance did not have a material effect on the Company’s consolidated financial position or results of operations.</w:t>
      </w:r>
    </w:p>
    <w:p>
      <w:pPr>
        <w:spacing w:after="0" w:line="169" w:lineRule="exact"/>
        <w:rPr>
          <w:sz w:val="20"/>
          <w:szCs w:val="20"/>
          <w:color w:val="auto"/>
        </w:rPr>
      </w:pPr>
    </w:p>
    <w:p>
      <w:pPr>
        <w:jc w:val="both"/>
        <w:ind w:firstLine="476"/>
        <w:spacing w:after="0" w:line="255" w:lineRule="auto"/>
        <w:rPr>
          <w:sz w:val="20"/>
          <w:szCs w:val="20"/>
          <w:color w:val="auto"/>
        </w:rPr>
      </w:pPr>
      <w:r>
        <w:rPr>
          <w:rFonts w:ascii="Arial" w:cs="Arial" w:eastAsia="Arial" w:hAnsi="Arial"/>
          <w:sz w:val="18"/>
          <w:szCs w:val="18"/>
          <w:color w:val="auto"/>
        </w:rPr>
        <w:t>Amended accounting guidance for measurement-period adjustments related to business combinations was also adopted by the Company in the first quarter of 2016. The amended guidance requires that an acquirer recognize adjustments to provisional amounts that are identified during the measurement period in the reporting period in which the adjustment amounts are determined. The acquirer is now required to record, in the same period’s financial statements, the effect on earnings of changes in depreciation, amortization, or other income effects, if any, as a result of the change to the provisional amounts, calculated as if the accounting had been completed at the acquisition date. The adoption of this guidance did not have a material effect on the Company’s consolidated financial position or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4" w:name="page75"/>
    <w:bookmarkEnd w:id="74"/>
    <w:p>
      <w:pPr>
        <w:jc w:val="both"/>
        <w:ind w:firstLine="476"/>
        <w:spacing w:after="0" w:line="287" w:lineRule="auto"/>
        <w:rPr>
          <w:sz w:val="20"/>
          <w:szCs w:val="20"/>
          <w:color w:val="auto"/>
        </w:rPr>
      </w:pPr>
      <w:r>
        <w:rPr>
          <w:rFonts w:ascii="Arial" w:cs="Arial" w:eastAsia="Arial" w:hAnsi="Arial"/>
          <w:sz w:val="16"/>
          <w:szCs w:val="16"/>
          <w:color w:val="auto"/>
        </w:rPr>
        <w:t>In August 2016, the Financial Accounting Standards Board (“FASB”) issued amended guidance for how certain cash receipts and cash payments are presented and classified in the statement of cash flows. The guidance addresses the following eight specific cash flow issues: 1) cash payments for debt extinguishment costs should be classified as cash outflows for financing activities; 2) for zero-coupon debt instruments, the portion of the cash payment attributable to the accreted interest should be classified as a cash outflow for operating activities; 3) contingent consideration payments made after a business combination should be classified based on the timing of the payment; 4) cash proceeds received from the settlement of insurance claims should be classified on the basis of the related insurance coverage; 5) cash proceeds received from the settlement of corporate-owned and bank-owned life insurance policies should be classified as cash inflows from investing activities; 6) when the equity method is applied, an accounting policy election should be made to classify distributions received using either the cumulative earnings approach or the nature of the distribution approach; 7) cash receipts from payments on a transferor’s beneficial interests obtained in a securitization of financial assets should be classified as cash inflows from investing activities; and 8) the classification of cash receipts and payments that have aspects of more than one class of cash flows should be determined by applying specific guidance in GAAP. The guidance is effective for annual periods and interim periods within those annual periods beginning after December 15, 2017. The Company is evaluating the impact the guidance may have on the presentation within its consolidated statement of cash flows.</w:t>
      </w:r>
    </w:p>
    <w:p>
      <w:pPr>
        <w:spacing w:after="0" w:line="169"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6"/>
          <w:szCs w:val="16"/>
          <w:color w:val="auto"/>
        </w:rPr>
        <w:t>In June 2016, the FASB issued amended guidance for the measurement of credit losses on certain financial assets. The amended guidance requires financial assets measured at amortized cost to be presented at the net amount expected to be collected. The allowance for credit losses will represent a valuation account that is deducted from the amortized cost basis of the financial assets to present their net carrying value at the amount expected to be collected. The income statement will reflect the measurement of credit losses for newly recognized financial assets as well as expected increases or decreases of expected credit losses that have taken place during the period. When determining the allowance, expected credit losses over the contractual term of the financial asset(s) (taking into account prepayments) will be estimated considering relevant information about past events, current conditions, and reasonable and supportable forecasts that affect the collectibility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through the income statement as an expense adjustment. In addition, the amended guidance requires credit losses relating to available-for-sale debt securities to be recorded through an allowance for credit losses. The calculation of credit losses for available-for-sale securities will be similar to how it is determined under existing guidance. The guidance is effective for annual periods and interim periods within those annual periods beginning after December 15, 2019. The Company is evaluating the impact the amended guidance may have on its consolidated financial statements.</w:t>
      </w:r>
    </w:p>
    <w:p>
      <w:pPr>
        <w:spacing w:after="0" w:line="175" w:lineRule="exact"/>
        <w:rPr>
          <w:sz w:val="20"/>
          <w:szCs w:val="20"/>
          <w:color w:val="auto"/>
        </w:rPr>
      </w:pPr>
    </w:p>
    <w:p>
      <w:pPr>
        <w:jc w:val="both"/>
        <w:ind w:firstLine="476"/>
        <w:spacing w:after="0" w:line="270" w:lineRule="auto"/>
        <w:rPr>
          <w:sz w:val="20"/>
          <w:szCs w:val="20"/>
          <w:color w:val="auto"/>
        </w:rPr>
      </w:pPr>
      <w:r>
        <w:rPr>
          <w:rFonts w:ascii="Arial" w:cs="Arial" w:eastAsia="Arial" w:hAnsi="Arial"/>
          <w:sz w:val="17"/>
          <w:szCs w:val="17"/>
          <w:color w:val="auto"/>
        </w:rPr>
        <w:t>In March 2016, the FASB issued amended accounting guidance for share-based transactions. The amended guidance requires that all excess tax benefits and tax deficiencies be recognized as income tax expense or benefit in the income statement and that such amounts be recognized in the period in which the tax deduction arises or in the period in which an expiration of an award occurs. The guidance allows an entity to make an accounting policy election to either estimate the number of awards that are expected to vest or account for forfeitures when they occur. The guidance permits share-based awards that allow for the withholding of shares up to the maximum statutory tax rate in applicable jurisdictions to qualify for equity classification. The previous GAAP threshold was restricted to the employer’s minimum statutory withholding requirements. The guidance also specifies certain changes to the reporting of share-based transactions on the statement of cash flows and is effective for annual periods and interim periods within those annual periods beginning after December 15, 2016. The Company expects adoption of the guidance will result in increased volatility to reported income tax expense related to excess tax benefits and tax deficiencies for share-based transactions, but the actual amounts recognized in tax expense will be dependent on the amount of share-based transactions entered into and the stock price at the time of vesting.</w:t>
      </w:r>
    </w:p>
    <w:p>
      <w:pPr>
        <w:spacing w:after="0" w:line="178" w:lineRule="exact"/>
        <w:rPr>
          <w:sz w:val="20"/>
          <w:szCs w:val="20"/>
          <w:color w:val="auto"/>
        </w:rPr>
      </w:pPr>
    </w:p>
    <w:p>
      <w:pPr>
        <w:jc w:val="both"/>
        <w:ind w:firstLine="476"/>
        <w:spacing w:after="0" w:line="255" w:lineRule="auto"/>
        <w:rPr>
          <w:sz w:val="20"/>
          <w:szCs w:val="20"/>
          <w:color w:val="auto"/>
        </w:rPr>
      </w:pPr>
      <w:r>
        <w:rPr>
          <w:rFonts w:ascii="Arial" w:cs="Arial" w:eastAsia="Arial" w:hAnsi="Arial"/>
          <w:sz w:val="18"/>
          <w:szCs w:val="18"/>
          <w:color w:val="auto"/>
        </w:rPr>
        <w:t>In March 2016, the FASB issued amended accounting guidance for the transition to the equity method of accounting. The amended guidance eliminates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has been in effect during all previous periods that the investment had been held. Instead, the amended guidance requires the investor to adopt the equity method of accounting as of the date the investment first qualifies for such accounting. The guidance is effective for annual periods and interim periods within those annual periods beginning after December 15, 2016. The Company does not expect the guidance to have a material impact on its consolidated financial statements.</w:t>
      </w:r>
    </w:p>
    <w:p>
      <w:pPr>
        <w:spacing w:after="0" w:line="189" w:lineRule="exact"/>
        <w:rPr>
          <w:sz w:val="20"/>
          <w:szCs w:val="20"/>
          <w:color w:val="auto"/>
        </w:rPr>
      </w:pPr>
    </w:p>
    <w:p>
      <w:pPr>
        <w:jc w:val="both"/>
        <w:ind w:firstLine="476"/>
        <w:spacing w:after="0" w:line="255" w:lineRule="auto"/>
        <w:rPr>
          <w:sz w:val="20"/>
          <w:szCs w:val="20"/>
          <w:color w:val="auto"/>
        </w:rPr>
      </w:pPr>
      <w:r>
        <w:rPr>
          <w:rFonts w:ascii="Arial" w:cs="Arial" w:eastAsia="Arial" w:hAnsi="Arial"/>
          <w:sz w:val="18"/>
          <w:szCs w:val="18"/>
          <w:color w:val="auto"/>
        </w:rPr>
        <w:t>In March 2016, the FASB issued two amendments to its rules on accounting for derivatives and hedging. The first amendment clarifies that a change in the counterparty to a derivative instrument that has been designated as the hedging instrument does not, in and of itself, require dedesignation of that hedging relationship provided that all other hedge accounting criteria continue to be met. The second amendment clarifies the requirements for assessing whether contingent call (put) options that can accelerate the payment of principal on debt instruments are clearly and closely related to their debt hosts. An entity performing the assessment is required to assess the embedded call (put) options solely in accordance with a four-step decision sequence and no longer has to assess whether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5" w:name="page76"/>
    <w:bookmarkEnd w:id="75"/>
    <w:p>
      <w:pPr>
        <w:jc w:val="both"/>
        <w:spacing w:after="0" w:line="264" w:lineRule="auto"/>
        <w:rPr>
          <w:sz w:val="20"/>
          <w:szCs w:val="20"/>
          <w:color w:val="auto"/>
        </w:rPr>
      </w:pPr>
      <w:r>
        <w:rPr>
          <w:rFonts w:ascii="Arial" w:cs="Arial" w:eastAsia="Arial" w:hAnsi="Arial"/>
          <w:sz w:val="18"/>
          <w:szCs w:val="18"/>
          <w:color w:val="auto"/>
        </w:rPr>
        <w:t>event that triggers the ability to exercise the option is related to interest rates or credit risks. Both amendments are effective for annual periods and interim periods within those annual periods beginning after December 15, 2016, with early adoption permitted. The Company does not expect the guidance to have a material impact on its consolidated financial statements.</w:t>
      </w:r>
    </w:p>
    <w:p>
      <w:pPr>
        <w:spacing w:after="0" w:line="181"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7"/>
          <w:szCs w:val="17"/>
          <w:color w:val="auto"/>
        </w:rPr>
        <w:t>In February 2016, the FASB issued guidance related to the accounting for leases. The core principle of the guidance is that all leases create an asset and a liability for the lessee and, therefore, lease assets and lease liabilities should be recognized in the balance sheet. Lease assets will be recognized as a right-of-use asset and lease liabilities will be recognized as a liability to make lease payments. While the guidance requires all leases to be recognized in the balance sheet, there continues to be a differentiation between finance leases and operating leases for purposes of income statement recognition and cash flow statement presentation. For finance leases, interest on the lease liability and amortization of the right-of-use asset will be recognized separately in the statement of income. Repayments of principal on those lease liabilities will be classified within financing activities and payments of interest on the lease liability will be classified within operating activities in the statement of cash flows. For operating leases, a single lease cost is recognized in the statement of income and allocated over the lease term, generally on a straight-line basis. All cash payments are presented within operating activities in the statement of cash flows. The accounting applied by lessors is largely unchanged from existing GAAP, however, the guidance eliminates the accounting model for leveraged leases for leases that commence after the effective date of the guidance. The guidance is effective for annual periods beginning after December 15, 2018, including interim periods within those fiscal years. The Company occupies certain banking offices and uses certain equipment under noncancelable operating lease agreements, which currently are not reflected in its consolidated balance sheet. Such leases generally will be required to be presented in the Company’s consolidated balance sheet upon adoption of this guidance. The Company is evaluating the impact the guidance will have on its consolidated financial statements.</w:t>
      </w:r>
    </w:p>
    <w:p>
      <w:pPr>
        <w:spacing w:after="0" w:line="185"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7"/>
          <w:szCs w:val="17"/>
          <w:color w:val="auto"/>
        </w:rPr>
        <w:t>In January 2016, the FASB issued amended guidance related to recognition and measurement of financial assets and liabilities. The amended guidance requires that equity investments (excluding those accounted for under the equity method of accounting or those that result in consolidation of the investee) be measured at fair value with changes in fair value recognized in net income. An entity can elect to measure equity investments that do not have readily determinable fair values at cost less impairment, plus or minus changes resulting from observable price changes in orderly transactions for the identical or similar investment of the same issuer. The impairment assessment of equity investments without readily determinable fair values is simplified by requiring a qualitative assessment to identify impairment. When a qualitative assessment indicates impairment exists, an entity is required to measure the investment at fair value. The guidance eliminates the requirement for public business entities to disclose the method and significant assumptions used to estimate the fair value that is required to be disclosed for financial instruments measured at amortized cost on the balance sheet. Further, the guidance requires public entities to use the exit price when measuring the fair value of financial instruments for disclosure purposes. The guidance also requires an entity to present separately in other comprehensive income, a change in the instrument-specific credit risk when the entity has elected to measure a liability at fair value in accordance with the fair value option. Separate presentation of financial assets and liabilities by measurement category and type of instrument on the balance sheet or accompanying notes to the financial statements is required. The guidance also clarifies that an entity should evaluate the need for a valuation allowance on a deferred tax asset related to available-for-sale securities in combination with the entity’s other deferred tax assets. This guidance is effective for annual periods and interim periods within those annual periods beginning after December 15, 2017. The Company is evaluating the impact the guidance could have on its consolidated financial statements.</w:t>
      </w:r>
    </w:p>
    <w:p>
      <w:pPr>
        <w:spacing w:after="0" w:line="183" w:lineRule="exact"/>
        <w:rPr>
          <w:sz w:val="20"/>
          <w:szCs w:val="20"/>
          <w:color w:val="auto"/>
        </w:rPr>
      </w:pPr>
    </w:p>
    <w:p>
      <w:pPr>
        <w:jc w:val="both"/>
        <w:ind w:firstLine="476"/>
        <w:spacing w:after="0" w:line="287" w:lineRule="auto"/>
        <w:rPr>
          <w:sz w:val="20"/>
          <w:szCs w:val="20"/>
          <w:color w:val="auto"/>
        </w:rPr>
      </w:pPr>
      <w:r>
        <w:rPr>
          <w:rFonts w:ascii="Arial" w:cs="Arial" w:eastAsia="Arial" w:hAnsi="Arial"/>
          <w:sz w:val="16"/>
          <w:szCs w:val="16"/>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 (4) 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In August 2015, the FASB deferred the effective date of this guidance by one year. The amended guidance is now effective for annual reporting periods beginning after December 15, 2017,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Company is still evaluating the impact the guidance could have on its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6" w:name="page77"/>
    <w:bookmarkEnd w:id="76"/>
    <w:p>
      <w:pPr>
        <w:jc w:val="both"/>
        <w:spacing w:after="0" w:line="259" w:lineRule="auto"/>
        <w:rPr>
          <w:sz w:val="20"/>
          <w:szCs w:val="20"/>
          <w:color w:val="auto"/>
        </w:rPr>
      </w:pPr>
      <w:r>
        <w:rPr>
          <w:rFonts w:ascii="Arial" w:cs="Arial" w:eastAsia="Arial" w:hAnsi="Arial"/>
          <w:sz w:val="18"/>
          <w:szCs w:val="18"/>
          <w:color w:val="auto"/>
        </w:rPr>
        <w:t>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8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QUARTERLY TRENDS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84"/>
              </w:rPr>
              <w:t>2016 Quarters</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86"/>
              </w:rPr>
              <w:t>2015 Quarters</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17"/>
              <w:spacing w:after="0"/>
              <w:rPr>
                <w:sz w:val="20"/>
                <w:szCs w:val="20"/>
                <w:color w:val="auto"/>
              </w:rPr>
            </w:pPr>
            <w:r>
              <w:rPr>
                <w:rFonts w:ascii="Arial" w:cs="Arial" w:eastAsia="Arial" w:hAnsi="Arial"/>
                <w:sz w:val="13"/>
                <w:szCs w:val="13"/>
                <w:color w:val="auto"/>
              </w:rPr>
              <w:t>Third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color w:val="auto"/>
                <w:w w:val="81"/>
              </w:rPr>
              <w:t>Second</w:t>
            </w:r>
          </w:p>
        </w:tc>
        <w:tc>
          <w:tcPr>
            <w:tcW w:w="240" w:type="dxa"/>
            <w:vAlign w:val="bottom"/>
          </w:tcPr>
          <w:p>
            <w:pPr>
              <w:spacing w:after="0"/>
              <w:rPr>
                <w:sz w:val="13"/>
                <w:szCs w:val="13"/>
                <w:color w:val="auto"/>
              </w:rPr>
            </w:pPr>
          </w:p>
        </w:tc>
        <w:tc>
          <w:tcPr>
            <w:tcW w:w="660" w:type="dxa"/>
            <w:vAlign w:val="bottom"/>
          </w:tcPr>
          <w:p>
            <w:pPr>
              <w:jc w:val="right"/>
              <w:ind w:right="157"/>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Fourth</w:t>
            </w:r>
          </w:p>
        </w:tc>
        <w:tc>
          <w:tcPr>
            <w:tcW w:w="28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Third</w:t>
            </w:r>
          </w:p>
        </w:tc>
        <w:tc>
          <w:tcPr>
            <w:tcW w:w="28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Second</w:t>
            </w:r>
          </w:p>
        </w:tc>
        <w:tc>
          <w:tcPr>
            <w:tcW w:w="30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Earnings and dividends</w:t>
            </w:r>
          </w:p>
        </w:tc>
        <w:tc>
          <w:tcPr>
            <w:tcW w:w="6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i w:val="1"/>
                <w:iCs w:val="1"/>
                <w:color w:val="auto"/>
              </w:rPr>
              <w:t>Amounts in thousands, except per share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Interest income (taxable-equivalent basis)</w:t>
            </w:r>
          </w:p>
        </w:tc>
        <w:tc>
          <w:tcPr>
            <w:tcW w:w="8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976,240</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977,143</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979,166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908,734</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776,274</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766,374</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743,925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Interest expense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111,175</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106,802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100,870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95,333</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77,199</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77,226</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78,499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Net interest income</w:t>
            </w:r>
          </w:p>
        </w:tc>
        <w:tc>
          <w:tcPr>
            <w:tcW w:w="6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865,065</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870,341</w:t>
            </w:r>
          </w:p>
        </w:tc>
        <w:tc>
          <w:tcPr>
            <w:tcW w:w="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878,296</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813,401</w:t>
            </w: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699,075</w:t>
            </w: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689,148</w:t>
            </w:r>
          </w:p>
        </w:tc>
        <w:tc>
          <w:tcPr>
            <w:tcW w:w="3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665,426</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Less: provision for credit losses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47,000</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32,000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49,000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58,000</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44,000</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30,000</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38,000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Other income</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491,350</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448,254</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420,933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448,108</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439,699</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497,027</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440,203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Less: other expense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752,392</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749,895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776,095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786,113</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653,816</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696,628</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686,375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Income before income taxes</w:t>
            </w:r>
          </w:p>
        </w:tc>
        <w:tc>
          <w:tcPr>
            <w:tcW w:w="6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557,023</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536,700</w:t>
            </w:r>
          </w:p>
        </w:tc>
        <w:tc>
          <w:tcPr>
            <w:tcW w:w="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474,134</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417,396</w:t>
            </w: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440,958</w:t>
            </w: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459,547</w:t>
            </w:r>
          </w:p>
        </w:tc>
        <w:tc>
          <w:tcPr>
            <w:tcW w:w="3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381,254</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Applicable income taxes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200,314</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194,147</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169,274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140,074</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154,309</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166,839</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133,803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Taxable-equivalent adjustment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6,725</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6,522</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6,357</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6,248</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6,020</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5,838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Net income</w:t>
            </w:r>
          </w:p>
        </w:tc>
        <w:tc>
          <w:tcPr>
            <w:tcW w:w="68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349,984</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336,031</w:t>
            </w:r>
          </w:p>
        </w:tc>
        <w:tc>
          <w:tcPr>
            <w:tcW w:w="6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298,528</w:t>
            </w:r>
          </w:p>
        </w:tc>
        <w:tc>
          <w:tcPr>
            <w:tcW w:w="30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270,965</w:t>
            </w:r>
          </w:p>
        </w:tc>
        <w:tc>
          <w:tcPr>
            <w:tcW w:w="28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280,401</w:t>
            </w:r>
          </w:p>
        </w:tc>
        <w:tc>
          <w:tcPr>
            <w:tcW w:w="28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286,688</w:t>
            </w:r>
          </w:p>
        </w:tc>
        <w:tc>
          <w:tcPr>
            <w:tcW w:w="30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241,613</w:t>
            </w:r>
          </w:p>
        </w:tc>
        <w:tc>
          <w:tcPr>
            <w:tcW w:w="3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Net income available to common shareholders-diluted</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326,998</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312,974</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275,748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248,059</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257,346</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263,481</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218,837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Per common share data</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 earnings</w:t>
            </w:r>
          </w:p>
        </w:tc>
        <w:tc>
          <w:tcPr>
            <w:tcW w:w="8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1.98</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Diluted earnings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2.10</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1.98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1.65</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1.98</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w:t>
            </w:r>
          </w:p>
        </w:tc>
        <w:tc>
          <w:tcPr>
            <w:tcW w:w="8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Average common shares outstanding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155,493</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157,802</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158,734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150,027</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132,630</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132,356</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132,049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260"/>
              <w:spacing w:after="0"/>
              <w:rPr>
                <w:sz w:val="20"/>
                <w:szCs w:val="20"/>
                <w:color w:val="auto"/>
              </w:rPr>
            </w:pPr>
            <w:r>
              <w:rPr>
                <w:rFonts w:ascii="Arial" w:cs="Arial" w:eastAsia="Arial" w:hAnsi="Arial"/>
                <w:sz w:val="13"/>
                <w:szCs w:val="13"/>
                <w:color w:val="auto"/>
              </w:rPr>
              <w:t>Diluted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156,026</w:t>
            </w:r>
          </w:p>
        </w:tc>
        <w:tc>
          <w:tcPr>
            <w:tcW w:w="2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158,341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159,181</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150,718</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133,376</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133,116</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132,769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0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6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Return 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assets</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Average common shareholders’ equity</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8.68</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8.38</w:t>
            </w:r>
          </w:p>
        </w:tc>
        <w:tc>
          <w:tcPr>
            <w:tcW w:w="60" w:type="dxa"/>
            <w:vAlign w:val="bottom"/>
          </w:tcPr>
          <w:p>
            <w:pPr>
              <w:spacing w:after="0"/>
              <w:rPr>
                <w:sz w:val="12"/>
                <w:szCs w:val="12"/>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7.44</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7.22</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8.93</w:t>
            </w:r>
          </w:p>
        </w:tc>
        <w:tc>
          <w:tcPr>
            <w:tcW w:w="2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9.37</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7.99</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0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 (taxable-equivalent</w:t>
            </w: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basis)</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00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00"/>
              <w:spacing w:after="0"/>
              <w:rPr>
                <w:sz w:val="20"/>
                <w:szCs w:val="20"/>
                <w:color w:val="auto"/>
              </w:rPr>
            </w:pPr>
            <w:r>
              <w:rPr>
                <w:rFonts w:ascii="Arial" w:cs="Arial" w:eastAsia="Arial" w:hAnsi="Arial"/>
                <w:sz w:val="13"/>
                <w:szCs w:val="13"/>
                <w:color w:val="auto"/>
              </w:rPr>
              <w:t>unearned discount</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.96</w:t>
            </w:r>
          </w:p>
        </w:tc>
        <w:tc>
          <w:tcPr>
            <w:tcW w:w="60" w:type="dxa"/>
            <w:vAlign w:val="bottom"/>
          </w:tcPr>
          <w:p>
            <w:pPr>
              <w:spacing w:after="0"/>
              <w:rPr>
                <w:sz w:val="16"/>
                <w:szCs w:val="16"/>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.91</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1.15</w:t>
            </w:r>
          </w:p>
        </w:tc>
        <w:tc>
          <w:tcPr>
            <w:tcW w:w="2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1.17</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1.18</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00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6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Net operating income (in thousands)</w:t>
            </w:r>
          </w:p>
        </w:tc>
        <w:tc>
          <w:tcPr>
            <w:tcW w:w="8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355,929</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350,604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320,064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337,613</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282,907</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290,341</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245,776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Diluted net operating income per common share</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2.07</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Annualized return 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tangible assets</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Average tangible common shareholders’ equity</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12.77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12.68</w:t>
            </w:r>
          </w:p>
        </w:tc>
        <w:tc>
          <w:tcPr>
            <w:tcW w:w="60" w:type="dxa"/>
            <w:vAlign w:val="bottom"/>
          </w:tcPr>
          <w:p>
            <w:pPr>
              <w:spacing w:after="0"/>
              <w:rPr>
                <w:sz w:val="12"/>
                <w:szCs w:val="12"/>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11.62</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13.26</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12.98</w:t>
            </w:r>
          </w:p>
        </w:tc>
        <w:tc>
          <w:tcPr>
            <w:tcW w:w="2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13.76</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11.90</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Efficiency ratio (b)</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55.92</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55.06</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57.00</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55.53</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57.05</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58.23</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61.46</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In millions, except per share</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Average balances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assets (c)</w:t>
            </w:r>
          </w:p>
        </w:tc>
        <w:tc>
          <w:tcPr>
            <w:tcW w:w="8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124,725</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123,706</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123,252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115,052</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98,515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97,598</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95,892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Total tangible assets (c)</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120,064</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119,039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118,577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110,772</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94,989</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94,067</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92,346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Earning assets</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112,864</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111,872</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111,211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103,587</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88,446</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87,333</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85,212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Investment securities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14,361</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14,914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15,348</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15,786</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14,441</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14,195</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13,376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88,732</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88,155</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87,584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81,110</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67,849</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67,670</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66,587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Deposits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95,852</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94,033</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92,391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85,657</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73,821</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72,958</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71,698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shareholders’ equity (c)</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15,115</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15,145</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15,047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13,775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11,555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11,404</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11,227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Tangible common shareholders’ equity (c)</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10,454</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10,478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10,372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9,495</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8,029</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7,873</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7,681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At end of quarter</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Total assets (c)</w:t>
            </w:r>
          </w:p>
        </w:tc>
        <w:tc>
          <w:tcPr>
            <w:tcW w:w="8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126,841</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123,821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124,626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122,788</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97,797</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97,080</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98,378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tangible assets (c)</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122,183</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119,157</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119,955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118,109</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94,272</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93,552</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94,834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Earning assets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115,293</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112,057</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113,005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110,802</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87,807</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86,990</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87,959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securities</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14,734</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14,963</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15,467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15,656</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14,495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14,752</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14,393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89,646</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88,522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87,872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87,489</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68,540</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68,131</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67,099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Deposits</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98,137</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94,650</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94,215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91,958</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72,945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72,630</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73,594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260"/>
              <w:spacing w:after="0" w:line="134" w:lineRule="exact"/>
              <w:rPr>
                <w:sz w:val="20"/>
                <w:szCs w:val="20"/>
                <w:color w:val="auto"/>
              </w:rPr>
            </w:pPr>
            <w:r>
              <w:rPr>
                <w:rFonts w:ascii="Arial" w:cs="Arial" w:eastAsia="Arial" w:hAnsi="Arial"/>
                <w:sz w:val="13"/>
                <w:szCs w:val="13"/>
                <w:color w:val="auto"/>
              </w:rPr>
              <w:t>Common shareholders’ equity, net of undeclared cumulative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380"/>
              <w:spacing w:after="0"/>
              <w:rPr>
                <w:sz w:val="20"/>
                <w:szCs w:val="20"/>
                <w:color w:val="auto"/>
              </w:rPr>
            </w:pPr>
            <w:r>
              <w:rPr>
                <w:rFonts w:ascii="Arial" w:cs="Arial" w:eastAsia="Arial" w:hAnsi="Arial"/>
                <w:sz w:val="13"/>
                <w:szCs w:val="13"/>
                <w:color w:val="auto"/>
              </w:rPr>
              <w:t>preferred dividends (c)</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15,106</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15,237</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15,120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14,939</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11,687</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11,433</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11,294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common shareholders’ equity (c)</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10,448</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10,573</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10,260</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8,162</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7,905</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7,750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Equity per common share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97.47</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96.49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95.00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93.60</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87.67</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85.90</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84.95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equity per common share</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67.42</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66.95</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64.28</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61.22</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59.39</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Market price per common share</w:t>
            </w:r>
          </w:p>
        </w:tc>
        <w:tc>
          <w:tcPr>
            <w:tcW w:w="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High</w:t>
            </w:r>
          </w:p>
        </w:tc>
        <w:tc>
          <w:tcPr>
            <w:tcW w:w="8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120.40</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121.11</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119.24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127.39</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134.00</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128.70</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129.58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rPr>
                <w:sz w:val="20"/>
                <w:szCs w:val="20"/>
                <w:color w:val="auto"/>
              </w:rPr>
            </w:pPr>
            <w:r>
              <w:rPr>
                <w:rFonts w:ascii="Arial" w:cs="Arial" w:eastAsia="Arial" w:hAnsi="Arial"/>
                <w:sz w:val="13"/>
                <w:szCs w:val="13"/>
                <w:color w:val="auto"/>
              </w:rPr>
              <w:t>Low</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111.13</w:t>
            </w:r>
          </w:p>
        </w:tc>
        <w:tc>
          <w:tcPr>
            <w:tcW w:w="2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107.01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100.08</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111.50</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111.86</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117.86</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111.78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Closing</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116.10</w:t>
            </w:r>
          </w:p>
        </w:tc>
        <w:tc>
          <w:tcPr>
            <w:tcW w:w="2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118.23</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111.00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121.18</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121.95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124.93</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127.00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20" w:right="20" w:hanging="512"/>
        <w:spacing w:after="0" w:line="230" w:lineRule="auto"/>
        <w:tabs>
          <w:tab w:leader="none" w:pos="5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line="221" w:lineRule="auto"/>
        <w:tabs>
          <w:tab w:leader="none" w:pos="5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impact of merger-related expenses and net securities transactions.</w:t>
      </w:r>
    </w:p>
    <w:p>
      <w:pPr>
        <w:ind w:left="520" w:right="20" w:hanging="512"/>
        <w:spacing w:after="0" w:line="237" w:lineRule="auto"/>
        <w:tabs>
          <w:tab w:leader="none" w:pos="5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87" w:lineRule="exact"/>
        <w:rPr>
          <w:rFonts w:ascii="Arial" w:cs="Arial" w:eastAsia="Arial" w:hAnsi="Arial"/>
          <w:sz w:val="14"/>
          <w:szCs w:val="14"/>
          <w:i w:val="1"/>
          <w:iCs w:val="1"/>
          <w:color w:val="auto"/>
        </w:rPr>
      </w:pPr>
    </w:p>
    <w:p>
      <w:pPr>
        <w:ind w:left="5620" w:hanging="101"/>
        <w:spacing w:after="0"/>
        <w:tabs>
          <w:tab w:leader="none" w:pos="5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Table 2</w:t>
            </w:r>
          </w:p>
        </w:tc>
      </w:tr>
      <w:tr>
        <w:trPr>
          <w:trHeight w:val="432"/>
        </w:trPr>
        <w:tc>
          <w:tcPr>
            <w:tcW w:w="6460" w:type="dxa"/>
            <w:vAlign w:val="bottom"/>
            <w:gridSpan w:val="8"/>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4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w w:val="93"/>
              </w:rPr>
              <w:t>2016 Quarters</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3"/>
                <w:szCs w:val="13"/>
                <w:color w:val="auto"/>
              </w:rPr>
              <w:t>2015 Quarters</w:t>
            </w: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4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0"/>
              <w:spacing w:after="0" w:line="143" w:lineRule="exact"/>
              <w:rPr>
                <w:sz w:val="20"/>
                <w:szCs w:val="20"/>
                <w:color w:val="auto"/>
              </w:rPr>
            </w:pPr>
            <w:r>
              <w:rPr>
                <w:rFonts w:ascii="Arial" w:cs="Arial" w:eastAsia="Arial" w:hAnsi="Arial"/>
                <w:sz w:val="13"/>
                <w:szCs w:val="13"/>
                <w:color w:val="auto"/>
              </w:rPr>
              <w:t>Third</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Second</w:t>
            </w:r>
          </w:p>
        </w:tc>
        <w:tc>
          <w:tcPr>
            <w:tcW w:w="200" w:type="dxa"/>
            <w:vAlign w:val="bottom"/>
          </w:tcPr>
          <w:p>
            <w:pPr>
              <w:spacing w:after="0"/>
              <w:rPr>
                <w:sz w:val="12"/>
                <w:szCs w:val="12"/>
                <w:color w:val="auto"/>
              </w:rPr>
            </w:pPr>
          </w:p>
        </w:tc>
        <w:tc>
          <w:tcPr>
            <w:tcW w:w="660" w:type="dxa"/>
            <w:vAlign w:val="bottom"/>
          </w:tcPr>
          <w:p>
            <w:pPr>
              <w:jc w:val="right"/>
              <w:ind w:right="155"/>
              <w:spacing w:after="0" w:line="143" w:lineRule="exact"/>
              <w:rPr>
                <w:sz w:val="20"/>
                <w:szCs w:val="20"/>
                <w:color w:val="auto"/>
              </w:rPr>
            </w:pPr>
            <w:r>
              <w:rPr>
                <w:rFonts w:ascii="Arial" w:cs="Arial" w:eastAsia="Arial" w:hAnsi="Arial"/>
                <w:sz w:val="13"/>
                <w:szCs w:val="13"/>
                <w:color w:val="auto"/>
              </w:rPr>
              <w:t>First</w:t>
            </w:r>
          </w:p>
        </w:tc>
        <w:tc>
          <w:tcPr>
            <w:tcW w:w="320" w:type="dxa"/>
            <w:vAlign w:val="bottom"/>
          </w:tcPr>
          <w:p>
            <w:pPr>
              <w:spacing w:after="0"/>
              <w:rPr>
                <w:sz w:val="12"/>
                <w:szCs w:val="12"/>
                <w:color w:val="auto"/>
              </w:rPr>
            </w:pPr>
          </w:p>
        </w:tc>
        <w:tc>
          <w:tcPr>
            <w:tcW w:w="980" w:type="dxa"/>
            <w:vAlign w:val="bottom"/>
            <w:gridSpan w:val="2"/>
          </w:tcPr>
          <w:p>
            <w:pPr>
              <w:jc w:val="right"/>
              <w:ind w:right="480"/>
              <w:spacing w:after="0" w:line="143" w:lineRule="exact"/>
              <w:rPr>
                <w:sz w:val="20"/>
                <w:szCs w:val="20"/>
                <w:color w:val="auto"/>
              </w:rPr>
            </w:pPr>
            <w:r>
              <w:rPr>
                <w:rFonts w:ascii="Arial" w:cs="Arial" w:eastAsia="Arial" w:hAnsi="Arial"/>
                <w:sz w:val="13"/>
                <w:szCs w:val="13"/>
                <w:color w:val="auto"/>
              </w:rPr>
              <w:t>Fourth</w:t>
            </w:r>
          </w:p>
        </w:tc>
        <w:tc>
          <w:tcPr>
            <w:tcW w:w="1000" w:type="dxa"/>
            <w:vAlign w:val="bottom"/>
            <w:gridSpan w:val="2"/>
          </w:tcPr>
          <w:p>
            <w:pPr>
              <w:jc w:val="right"/>
              <w:ind w:right="540"/>
              <w:spacing w:after="0" w:line="143" w:lineRule="exact"/>
              <w:rPr>
                <w:sz w:val="20"/>
                <w:szCs w:val="20"/>
                <w:color w:val="auto"/>
              </w:rPr>
            </w:pPr>
            <w:r>
              <w:rPr>
                <w:rFonts w:ascii="Arial" w:cs="Arial" w:eastAsia="Arial" w:hAnsi="Arial"/>
                <w:sz w:val="13"/>
                <w:szCs w:val="13"/>
                <w:color w:val="auto"/>
              </w:rPr>
              <w:t>Third</w:t>
            </w:r>
          </w:p>
        </w:tc>
        <w:tc>
          <w:tcPr>
            <w:tcW w:w="980" w:type="dxa"/>
            <w:vAlign w:val="bottom"/>
            <w:gridSpan w:val="2"/>
          </w:tcPr>
          <w:p>
            <w:pPr>
              <w:jc w:val="right"/>
              <w:ind w:right="480"/>
              <w:spacing w:after="0" w:line="143" w:lineRule="exact"/>
              <w:rPr>
                <w:sz w:val="20"/>
                <w:szCs w:val="20"/>
                <w:color w:val="auto"/>
              </w:rPr>
            </w:pPr>
            <w:r>
              <w:rPr>
                <w:rFonts w:ascii="Arial" w:cs="Arial" w:eastAsia="Arial" w:hAnsi="Arial"/>
                <w:sz w:val="13"/>
                <w:szCs w:val="13"/>
                <w:color w:val="auto"/>
              </w:rPr>
              <w:t>Second</w:t>
            </w:r>
          </w:p>
        </w:tc>
        <w:tc>
          <w:tcPr>
            <w:tcW w:w="680" w:type="dxa"/>
            <w:vAlign w:val="bottom"/>
          </w:tcPr>
          <w:p>
            <w:pPr>
              <w:jc w:val="right"/>
              <w:ind w:right="172"/>
              <w:spacing w:after="0" w:line="143" w:lineRule="exact"/>
              <w:rPr>
                <w:sz w:val="20"/>
                <w:szCs w:val="20"/>
                <w:color w:val="auto"/>
              </w:rPr>
            </w:pPr>
            <w:r>
              <w:rPr>
                <w:rFonts w:ascii="Arial" w:cs="Arial" w:eastAsia="Arial" w:hAnsi="Arial"/>
                <w:sz w:val="13"/>
                <w:szCs w:val="13"/>
                <w:color w:val="auto"/>
              </w:rPr>
              <w:t>First</w:t>
            </w:r>
          </w:p>
        </w:tc>
        <w:tc>
          <w:tcPr>
            <w:tcW w:w="140" w:type="dxa"/>
            <w:vAlign w:val="bottom"/>
          </w:tcPr>
          <w:p>
            <w:pPr>
              <w:spacing w:after="0"/>
              <w:rPr>
                <w:sz w:val="12"/>
                <w:szCs w:val="12"/>
                <w:color w:val="auto"/>
              </w:rPr>
            </w:pPr>
          </w:p>
        </w:tc>
      </w:tr>
      <w:tr>
        <w:trPr>
          <w:trHeight w:val="142"/>
        </w:trPr>
        <w:tc>
          <w:tcPr>
            <w:tcW w:w="42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Income statement data</w:t>
            </w:r>
          </w:p>
        </w:tc>
        <w:tc>
          <w:tcPr>
            <w:tcW w:w="4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349,984</w:t>
            </w:r>
          </w:p>
        </w:tc>
        <w:tc>
          <w:tcPr>
            <w:tcW w:w="2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336,031</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298,528</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270,965</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280,401</w:t>
            </w: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286,688</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241,613</w:t>
            </w: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Amortization of core deposit and other intangible assets (a)</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5,945</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6,936</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7,488</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5,828</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2,506</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3,653</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4,163</w:t>
            </w: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Merger-related expenses (a)</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7,637</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14,048</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60,820</w:t>
            </w:r>
          </w:p>
        </w:tc>
        <w:tc>
          <w:tcPr>
            <w:tcW w:w="32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2"/>
        </w:trPr>
        <w:tc>
          <w:tcPr>
            <w:tcW w:w="426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4"/>
                <w:szCs w:val="14"/>
                <w:color w:val="auto"/>
              </w:rPr>
              <w:t>Net operating income</w:t>
            </w:r>
          </w:p>
        </w:tc>
        <w:tc>
          <w:tcPr>
            <w:tcW w:w="4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355,929</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350,604</w:t>
            </w:r>
          </w:p>
        </w:tc>
        <w:tc>
          <w:tcPr>
            <w:tcW w:w="14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320,064</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337,613</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282,907</w:t>
            </w:r>
          </w:p>
        </w:tc>
        <w:tc>
          <w:tcPr>
            <w:tcW w:w="3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290,341</w:t>
            </w: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245,776</w:t>
            </w:r>
          </w:p>
        </w:tc>
        <w:tc>
          <w:tcPr>
            <w:tcW w:w="140" w:type="dxa"/>
            <w:vAlign w:val="bottom"/>
            <w:tcBorders>
              <w:top w:val="single" w:sz="8" w:color="CFF0FC"/>
            </w:tcBorders>
            <w:shd w:val="clear" w:color="auto" w:fill="CFF0FC"/>
          </w:tcPr>
          <w:p>
            <w:pPr>
              <w:spacing w:after="0"/>
              <w:rPr>
                <w:sz w:val="12"/>
                <w:szCs w:val="12"/>
                <w:color w:val="auto"/>
              </w:rPr>
            </w:pPr>
          </w:p>
        </w:tc>
      </w:tr>
      <w:tr>
        <w:trPr>
          <w:trHeight w:val="142"/>
        </w:trPr>
        <w:tc>
          <w:tcPr>
            <w:tcW w:w="4260" w:type="dxa"/>
            <w:vAlign w:val="bottom"/>
          </w:tcPr>
          <w:p>
            <w:pPr>
              <w:spacing w:after="0" w:line="142" w:lineRule="exact"/>
              <w:rPr>
                <w:sz w:val="20"/>
                <w:szCs w:val="20"/>
                <w:color w:val="auto"/>
              </w:rPr>
            </w:pPr>
            <w:r>
              <w:rPr>
                <w:rFonts w:ascii="Arial" w:cs="Arial" w:eastAsia="Arial" w:hAnsi="Arial"/>
                <w:sz w:val="14"/>
                <w:szCs w:val="14"/>
                <w:b w:val="1"/>
                <w:bCs w:val="1"/>
                <w:color w:val="auto"/>
              </w:rPr>
              <w:t>Earnings per common share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5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2.10</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1.98</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1.73</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1.65</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1.93</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1.98</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1.65</w:t>
            </w: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Amortization of core deposit and other intangible assets (a)</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Merger-related expenses (a)</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.05</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.09</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.40</w:t>
            </w:r>
          </w:p>
        </w:tc>
        <w:tc>
          <w:tcPr>
            <w:tcW w:w="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2"/>
        </w:trPr>
        <w:tc>
          <w:tcPr>
            <w:tcW w:w="426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4"/>
                <w:szCs w:val="14"/>
                <w:color w:val="auto"/>
              </w:rPr>
              <w:t>Diluted net operating earnings per common share</w:t>
            </w:r>
          </w:p>
        </w:tc>
        <w:tc>
          <w:tcPr>
            <w:tcW w:w="42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2.07</w:t>
            </w:r>
          </w:p>
        </w:tc>
        <w:tc>
          <w:tcPr>
            <w:tcW w:w="140" w:type="dxa"/>
            <w:vAlign w:val="bottom"/>
            <w:tcBorders>
              <w:bottom w:val="single" w:sz="8" w:color="CFF0FC"/>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1.87</w:t>
            </w:r>
          </w:p>
        </w:tc>
        <w:tc>
          <w:tcPr>
            <w:tcW w:w="3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w:t>
            </w:r>
          </w:p>
        </w:tc>
        <w:tc>
          <w:tcPr>
            <w:tcW w:w="3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1.95</w:t>
            </w:r>
          </w:p>
        </w:tc>
        <w:tc>
          <w:tcPr>
            <w:tcW w:w="34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w:t>
            </w:r>
          </w:p>
        </w:tc>
        <w:tc>
          <w:tcPr>
            <w:tcW w:w="32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w:t>
            </w:r>
          </w:p>
        </w:tc>
        <w:tc>
          <w:tcPr>
            <w:tcW w:w="140" w:type="dxa"/>
            <w:vAlign w:val="bottom"/>
            <w:tcBorders>
              <w:bottom w:val="single" w:sz="8" w:color="CFF0FC"/>
            </w:tcBorders>
          </w:tcPr>
          <w:p>
            <w:pPr>
              <w:spacing w:after="0"/>
              <w:rPr>
                <w:sz w:val="12"/>
                <w:szCs w:val="12"/>
                <w:color w:val="auto"/>
              </w:rPr>
            </w:pPr>
          </w:p>
        </w:tc>
      </w:tr>
      <w:tr>
        <w:trPr>
          <w:trHeight w:val="142"/>
        </w:trPr>
        <w:tc>
          <w:tcPr>
            <w:tcW w:w="426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Other expense</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752,392</w:t>
            </w:r>
          </w:p>
        </w:tc>
        <w:tc>
          <w:tcPr>
            <w:tcW w:w="2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749,895</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776,095</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786,113</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653,816</w:t>
            </w: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696,628</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686,375</w:t>
            </w: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(9,787)</w:t>
            </w:r>
          </w:p>
        </w:tc>
        <w:tc>
          <w:tcPr>
            <w:tcW w:w="920" w:type="dxa"/>
            <w:vAlign w:val="bottom"/>
            <w:gridSpan w:val="3"/>
            <w:shd w:val="clear" w:color="auto" w:fill="CFF0FC"/>
          </w:tcPr>
          <w:p>
            <w:pPr>
              <w:jc w:val="right"/>
              <w:ind w:right="80"/>
              <w:spacing w:after="0" w:line="149" w:lineRule="exact"/>
              <w:rPr>
                <w:sz w:val="20"/>
                <w:szCs w:val="20"/>
                <w:color w:val="auto"/>
              </w:rPr>
            </w:pPr>
            <w:r>
              <w:rPr>
                <w:rFonts w:ascii="Arial" w:cs="Arial" w:eastAsia="Arial" w:hAnsi="Arial"/>
                <w:sz w:val="14"/>
                <w:szCs w:val="14"/>
                <w:color w:val="auto"/>
              </w:rPr>
              <w:t>(11,418)</w:t>
            </w:r>
          </w:p>
        </w:tc>
        <w:tc>
          <w:tcPr>
            <w:tcW w:w="1180" w:type="dxa"/>
            <w:vAlign w:val="bottom"/>
            <w:gridSpan w:val="3"/>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(12,319)</w:t>
            </w:r>
          </w:p>
        </w:tc>
        <w:tc>
          <w:tcPr>
            <w:tcW w:w="9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(9,576)</w:t>
            </w:r>
          </w:p>
        </w:tc>
        <w:tc>
          <w:tcPr>
            <w:tcW w:w="10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(4,090)</w:t>
            </w:r>
          </w:p>
        </w:tc>
        <w:tc>
          <w:tcPr>
            <w:tcW w:w="9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(5,965)</w:t>
            </w:r>
          </w:p>
        </w:tc>
        <w:tc>
          <w:tcPr>
            <w:tcW w:w="8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(6,793)</w:t>
            </w: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Merger-related expenses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(12,593)</w:t>
            </w: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(23,162)</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(75,976)</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2"/>
        </w:trPr>
        <w:tc>
          <w:tcPr>
            <w:tcW w:w="426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4"/>
                <w:szCs w:val="14"/>
                <w:color w:val="auto"/>
              </w:rPr>
              <w:t>Noninterest operating expense</w:t>
            </w:r>
          </w:p>
        </w:tc>
        <w:tc>
          <w:tcPr>
            <w:tcW w:w="4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742,605</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725,884</w:t>
            </w:r>
          </w:p>
        </w:tc>
        <w:tc>
          <w:tcPr>
            <w:tcW w:w="14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740,614</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700,561</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649,726</w:t>
            </w:r>
          </w:p>
        </w:tc>
        <w:tc>
          <w:tcPr>
            <w:tcW w:w="3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690,663</w:t>
            </w: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679,582</w:t>
            </w:r>
          </w:p>
        </w:tc>
        <w:tc>
          <w:tcPr>
            <w:tcW w:w="140" w:type="dxa"/>
            <w:vAlign w:val="bottom"/>
            <w:tcBorders>
              <w:top w:val="single" w:sz="8" w:color="CFF0FC"/>
            </w:tcBorders>
            <w:shd w:val="clear" w:color="auto" w:fill="CFF0FC"/>
          </w:tcPr>
          <w:p>
            <w:pPr>
              <w:spacing w:after="0"/>
              <w:rPr>
                <w:sz w:val="12"/>
                <w:szCs w:val="12"/>
                <w:color w:val="auto"/>
              </w:rPr>
            </w:pPr>
          </w:p>
        </w:tc>
      </w:tr>
      <w:tr>
        <w:trPr>
          <w:trHeight w:val="142"/>
        </w:trPr>
        <w:tc>
          <w:tcPr>
            <w:tcW w:w="4260" w:type="dxa"/>
            <w:vAlign w:val="bottom"/>
          </w:tcPr>
          <w:p>
            <w:pPr>
              <w:spacing w:after="0" w:line="142" w:lineRule="exact"/>
              <w:rPr>
                <w:sz w:val="20"/>
                <w:szCs w:val="20"/>
                <w:color w:val="auto"/>
              </w:rPr>
            </w:pPr>
            <w:r>
              <w:rPr>
                <w:rFonts w:ascii="Arial" w:cs="Arial" w:eastAsia="Arial" w:hAnsi="Arial"/>
                <w:sz w:val="14"/>
                <w:szCs w:val="14"/>
                <w:b w:val="1"/>
                <w:bCs w:val="1"/>
                <w:color w:val="auto"/>
              </w:rPr>
              <w:t>Merger-related expenses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5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60</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5,274</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51,287</w:t>
            </w:r>
          </w:p>
        </w:tc>
        <w:tc>
          <w:tcPr>
            <w:tcW w:w="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Equipment and net occupancy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939</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545</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937</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504</w:t>
            </w:r>
          </w:p>
        </w:tc>
        <w:tc>
          <w:tcPr>
            <w:tcW w:w="3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Other costs of operations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11,649</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16,012</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24,182</w:t>
            </w:r>
          </w:p>
        </w:tc>
        <w:tc>
          <w:tcPr>
            <w:tcW w:w="32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2"/>
        </w:trPr>
        <w:tc>
          <w:tcPr>
            <w:tcW w:w="426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4"/>
                <w:szCs w:val="14"/>
                <w:color w:val="auto"/>
              </w:rPr>
              <w:t>Other expense</w:t>
            </w:r>
          </w:p>
        </w:tc>
        <w:tc>
          <w:tcPr>
            <w:tcW w:w="4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12,593</w:t>
            </w:r>
          </w:p>
        </w:tc>
        <w:tc>
          <w:tcPr>
            <w:tcW w:w="14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23,162</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75,976</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Provision for credit losses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21,000</w:t>
            </w:r>
          </w:p>
        </w:tc>
        <w:tc>
          <w:tcPr>
            <w:tcW w:w="32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2"/>
        </w:trPr>
        <w:tc>
          <w:tcPr>
            <w:tcW w:w="426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4"/>
                <w:szCs w:val="14"/>
                <w:color w:val="auto"/>
              </w:rPr>
              <w:t>Total</w:t>
            </w:r>
          </w:p>
        </w:tc>
        <w:tc>
          <w:tcPr>
            <w:tcW w:w="4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12,593</w:t>
            </w:r>
          </w:p>
        </w:tc>
        <w:tc>
          <w:tcPr>
            <w:tcW w:w="14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23,162</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96,976</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r>
      <w:tr>
        <w:trPr>
          <w:trHeight w:val="142"/>
        </w:trPr>
        <w:tc>
          <w:tcPr>
            <w:tcW w:w="4260" w:type="dxa"/>
            <w:vAlign w:val="bottom"/>
          </w:tcPr>
          <w:p>
            <w:pPr>
              <w:spacing w:after="0" w:line="142" w:lineRule="exact"/>
              <w:rPr>
                <w:sz w:val="20"/>
                <w:szCs w:val="20"/>
                <w:color w:val="auto"/>
              </w:rPr>
            </w:pPr>
            <w:r>
              <w:rPr>
                <w:rFonts w:ascii="Arial" w:cs="Arial" w:eastAsia="Arial" w:hAnsi="Arial"/>
                <w:sz w:val="14"/>
                <w:szCs w:val="14"/>
                <w:b w:val="1"/>
                <w:bCs w:val="1"/>
                <w:color w:val="auto"/>
              </w:rPr>
              <w:t>Efficiency ratio</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Noninterest operating expense (numerator)</w:t>
            </w:r>
          </w:p>
        </w:tc>
        <w:tc>
          <w:tcPr>
            <w:tcW w:w="5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742,605</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725,884</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740,614</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700,561</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649,726</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690,663</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679,582</w:t>
            </w:r>
          </w:p>
        </w:tc>
        <w:tc>
          <w:tcPr>
            <w:tcW w:w="140" w:type="dxa"/>
            <w:vAlign w:val="bottom"/>
            <w:shd w:val="clear" w:color="auto" w:fill="CFF0FC"/>
          </w:tcPr>
          <w:p>
            <w:pPr>
              <w:spacing w:after="0"/>
              <w:rPr>
                <w:sz w:val="12"/>
                <w:szCs w:val="12"/>
                <w:color w:val="auto"/>
              </w:rPr>
            </w:pPr>
          </w:p>
        </w:tc>
      </w:tr>
      <w:tr>
        <w:trPr>
          <w:trHeight w:val="142"/>
        </w:trPr>
        <w:tc>
          <w:tcPr>
            <w:tcW w:w="4260" w:type="dxa"/>
            <w:vAlign w:val="bottom"/>
          </w:tcPr>
          <w:p>
            <w:pPr>
              <w:spacing w:after="0" w:line="142" w:lineRule="exact"/>
              <w:rPr>
                <w:sz w:val="20"/>
                <w:szCs w:val="20"/>
                <w:color w:val="auto"/>
              </w:rPr>
            </w:pPr>
            <w:r>
              <w:rPr>
                <w:rFonts w:ascii="Arial" w:cs="Arial" w:eastAsia="Arial" w:hAnsi="Arial"/>
                <w:sz w:val="14"/>
                <w:szCs w:val="14"/>
                <w:color w:val="auto"/>
              </w:rPr>
              <w:t>Taxable-equivalent net interest income</w:t>
            </w: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865,065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870,341</w:t>
            </w:r>
          </w:p>
        </w:tc>
        <w:tc>
          <w:tcPr>
            <w:tcW w:w="14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878,296</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813,401</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699,075</w:t>
            </w:r>
          </w:p>
        </w:tc>
        <w:tc>
          <w:tcPr>
            <w:tcW w:w="3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689,148</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665,426</w:t>
            </w: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491,350</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448,254</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420,933</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448,108</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439,699</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497,027</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440,203</w:t>
            </w: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Less: Gain (loss) on bank investment securities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28,480</w:t>
            </w:r>
          </w:p>
        </w:tc>
        <w:tc>
          <w:tcPr>
            <w:tcW w:w="2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w:t>
            </w:r>
          </w:p>
        </w:tc>
      </w:tr>
      <w:tr>
        <w:trPr>
          <w:trHeight w:val="142"/>
        </w:trPr>
        <w:tc>
          <w:tcPr>
            <w:tcW w:w="42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4"/>
                <w:szCs w:val="14"/>
                <w:color w:val="auto"/>
              </w:rPr>
              <w:t>Denominator</w:t>
            </w:r>
          </w:p>
        </w:tc>
        <w:tc>
          <w:tcPr>
            <w:tcW w:w="4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86"/>
              </w:rPr>
              <w:t>1,327,935</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1,318,331</w:t>
            </w:r>
          </w:p>
        </w:tc>
        <w:tc>
          <w:tcPr>
            <w:tcW w:w="14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1,299,225</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99"/>
              </w:rPr>
              <w:t>1,261,531</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1,138,774</w:t>
            </w:r>
          </w:p>
        </w:tc>
        <w:tc>
          <w:tcPr>
            <w:tcW w:w="3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99"/>
              </w:rPr>
              <w:t>1,186,185</w:t>
            </w: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1,105,727</w:t>
            </w:r>
          </w:p>
        </w:tc>
        <w:tc>
          <w:tcPr>
            <w:tcW w:w="140" w:type="dxa"/>
            <w:vAlign w:val="bottom"/>
            <w:tcBorders>
              <w:top w:val="single" w:sz="8" w:color="CFF0FC"/>
            </w:tcBorders>
            <w:shd w:val="clear" w:color="auto" w:fill="CFF0FC"/>
          </w:tcPr>
          <w:p>
            <w:pPr>
              <w:spacing w:after="0"/>
              <w:rPr>
                <w:sz w:val="12"/>
                <w:szCs w:val="12"/>
                <w:color w:val="auto"/>
              </w:rPr>
            </w:pPr>
          </w:p>
        </w:tc>
      </w:tr>
      <w:tr>
        <w:trPr>
          <w:trHeight w:val="182"/>
        </w:trPr>
        <w:tc>
          <w:tcPr>
            <w:tcW w:w="4260" w:type="dxa"/>
            <w:vAlign w:val="bottom"/>
          </w:tcPr>
          <w:p>
            <w:pPr>
              <w:spacing w:after="0" w:line="142" w:lineRule="exact"/>
              <w:rPr>
                <w:sz w:val="20"/>
                <w:szCs w:val="20"/>
                <w:color w:val="auto"/>
              </w:rPr>
            </w:pPr>
            <w:r>
              <w:rPr>
                <w:rFonts w:ascii="Arial" w:cs="Arial" w:eastAsia="Arial" w:hAnsi="Arial"/>
                <w:sz w:val="14"/>
                <w:szCs w:val="14"/>
                <w:color w:val="auto"/>
              </w:rPr>
              <w:t>Efficiency ratio</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55.92%</w:t>
            </w:r>
          </w:p>
        </w:tc>
        <w:tc>
          <w:tcPr>
            <w:tcW w:w="120" w:type="dxa"/>
            <w:vAlign w:val="bottom"/>
          </w:tcPr>
          <w:p>
            <w:pPr>
              <w:spacing w:after="0"/>
              <w:rPr>
                <w:sz w:val="15"/>
                <w:szCs w:val="15"/>
                <w:color w:val="auto"/>
              </w:rPr>
            </w:pPr>
          </w:p>
        </w:tc>
        <w:tc>
          <w:tcPr>
            <w:tcW w:w="8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55.06%</w:t>
            </w:r>
          </w:p>
        </w:tc>
        <w:tc>
          <w:tcPr>
            <w:tcW w:w="118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57.00%</w:t>
            </w:r>
          </w:p>
        </w:tc>
        <w:tc>
          <w:tcPr>
            <w:tcW w:w="98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55.53%</w:t>
            </w:r>
          </w:p>
        </w:tc>
        <w:tc>
          <w:tcPr>
            <w:tcW w:w="100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57.05%</w:t>
            </w:r>
          </w:p>
        </w:tc>
        <w:tc>
          <w:tcPr>
            <w:tcW w:w="9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58.23%</w:t>
            </w:r>
          </w:p>
        </w:tc>
        <w:tc>
          <w:tcPr>
            <w:tcW w:w="8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61.46%</w:t>
            </w:r>
          </w:p>
        </w:tc>
      </w:tr>
      <w:tr>
        <w:trPr>
          <w:trHeight w:val="129"/>
        </w:trPr>
        <w:tc>
          <w:tcPr>
            <w:tcW w:w="426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Balance sheet data</w:t>
            </w:r>
          </w:p>
        </w:tc>
        <w:tc>
          <w:tcPr>
            <w:tcW w:w="4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Average assets</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124,725</w:t>
            </w:r>
          </w:p>
        </w:tc>
        <w:tc>
          <w:tcPr>
            <w:tcW w:w="2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123,706</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123,252</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115,052</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98,515</w:t>
            </w: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97,598</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95,892</w:t>
            </w: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Goodwill</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(4,593)</w:t>
            </w:r>
          </w:p>
        </w:tc>
        <w:tc>
          <w:tcPr>
            <w:tcW w:w="920" w:type="dxa"/>
            <w:vAlign w:val="bottom"/>
            <w:gridSpan w:val="3"/>
            <w:shd w:val="clear" w:color="auto" w:fill="CFF0FC"/>
          </w:tcPr>
          <w:p>
            <w:pPr>
              <w:jc w:val="right"/>
              <w:ind w:right="80"/>
              <w:spacing w:after="0" w:line="149" w:lineRule="exact"/>
              <w:rPr>
                <w:sz w:val="20"/>
                <w:szCs w:val="20"/>
                <w:color w:val="auto"/>
              </w:rPr>
            </w:pPr>
            <w:r>
              <w:rPr>
                <w:rFonts w:ascii="Arial" w:cs="Arial" w:eastAsia="Arial" w:hAnsi="Arial"/>
                <w:sz w:val="14"/>
                <w:szCs w:val="14"/>
                <w:color w:val="auto"/>
              </w:rPr>
              <w:t>(4,593)</w:t>
            </w:r>
          </w:p>
        </w:tc>
        <w:tc>
          <w:tcPr>
            <w:tcW w:w="1180" w:type="dxa"/>
            <w:vAlign w:val="bottom"/>
            <w:gridSpan w:val="3"/>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(4,593)</w:t>
            </w:r>
          </w:p>
        </w:tc>
        <w:tc>
          <w:tcPr>
            <w:tcW w:w="9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(4,218)</w:t>
            </w:r>
          </w:p>
        </w:tc>
        <w:tc>
          <w:tcPr>
            <w:tcW w:w="10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(3,513)</w:t>
            </w:r>
          </w:p>
        </w:tc>
        <w:tc>
          <w:tcPr>
            <w:tcW w:w="9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(3,514)</w:t>
            </w:r>
          </w:p>
        </w:tc>
        <w:tc>
          <w:tcPr>
            <w:tcW w:w="8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(3,525)</w:t>
            </w: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(122)</w:t>
            </w: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(134)</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Deferred taxes</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44</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48</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52</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39</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7</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8</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2"/>
                <w:szCs w:val="12"/>
                <w:color w:val="auto"/>
              </w:rPr>
            </w:pPr>
          </w:p>
        </w:tc>
      </w:tr>
      <w:tr>
        <w:trPr>
          <w:trHeight w:val="142"/>
        </w:trPr>
        <w:tc>
          <w:tcPr>
            <w:tcW w:w="426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4"/>
                <w:szCs w:val="14"/>
                <w:color w:val="auto"/>
              </w:rPr>
              <w:t>Average tangible assets</w:t>
            </w:r>
          </w:p>
        </w:tc>
        <w:tc>
          <w:tcPr>
            <w:tcW w:w="42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120,064</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119,039</w:t>
            </w:r>
          </w:p>
        </w:tc>
        <w:tc>
          <w:tcPr>
            <w:tcW w:w="140" w:type="dxa"/>
            <w:vAlign w:val="bottom"/>
            <w:tcBorders>
              <w:bottom w:val="single" w:sz="8" w:color="CFF0FC"/>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118,577</w:t>
            </w:r>
          </w:p>
        </w:tc>
        <w:tc>
          <w:tcPr>
            <w:tcW w:w="3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110,772</w:t>
            </w:r>
          </w:p>
        </w:tc>
        <w:tc>
          <w:tcPr>
            <w:tcW w:w="3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94,989</w:t>
            </w:r>
          </w:p>
        </w:tc>
        <w:tc>
          <w:tcPr>
            <w:tcW w:w="34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94,067</w:t>
            </w:r>
          </w:p>
        </w:tc>
        <w:tc>
          <w:tcPr>
            <w:tcW w:w="32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92,346</w:t>
            </w:r>
          </w:p>
        </w:tc>
        <w:tc>
          <w:tcPr>
            <w:tcW w:w="140" w:type="dxa"/>
            <w:vAlign w:val="bottom"/>
            <w:tcBorders>
              <w:bottom w:val="single" w:sz="8" w:color="CFF0FC"/>
            </w:tcBorders>
          </w:tcPr>
          <w:p>
            <w:pPr>
              <w:spacing w:after="0"/>
              <w:rPr>
                <w:sz w:val="12"/>
                <w:szCs w:val="12"/>
                <w:color w:val="auto"/>
              </w:rPr>
            </w:pPr>
          </w:p>
        </w:tc>
      </w:tr>
      <w:tr>
        <w:trPr>
          <w:trHeight w:val="142"/>
        </w:trPr>
        <w:tc>
          <w:tcPr>
            <w:tcW w:w="426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Average common equity</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Average total equity</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16,347</w:t>
            </w:r>
          </w:p>
        </w:tc>
        <w:tc>
          <w:tcPr>
            <w:tcW w:w="2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16,377</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16,279</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15,007</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12,787</w:t>
            </w: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12,636</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12,459</w:t>
            </w: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Preferred stock</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(1,232)</w:t>
            </w:r>
          </w:p>
        </w:tc>
        <w:tc>
          <w:tcPr>
            <w:tcW w:w="920" w:type="dxa"/>
            <w:vAlign w:val="bottom"/>
            <w:gridSpan w:val="3"/>
            <w:shd w:val="clear" w:color="auto" w:fill="CFF0FC"/>
          </w:tcPr>
          <w:p>
            <w:pPr>
              <w:jc w:val="right"/>
              <w:ind w:right="80"/>
              <w:spacing w:after="0" w:line="149" w:lineRule="exact"/>
              <w:rPr>
                <w:sz w:val="20"/>
                <w:szCs w:val="20"/>
                <w:color w:val="auto"/>
              </w:rPr>
            </w:pPr>
            <w:r>
              <w:rPr>
                <w:rFonts w:ascii="Arial" w:cs="Arial" w:eastAsia="Arial" w:hAnsi="Arial"/>
                <w:sz w:val="14"/>
                <w:szCs w:val="14"/>
                <w:color w:val="auto"/>
              </w:rPr>
              <w:t>(1,232)</w:t>
            </w:r>
          </w:p>
        </w:tc>
        <w:tc>
          <w:tcPr>
            <w:tcW w:w="1180" w:type="dxa"/>
            <w:vAlign w:val="bottom"/>
            <w:gridSpan w:val="3"/>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(1,232)</w:t>
            </w:r>
          </w:p>
        </w:tc>
        <w:tc>
          <w:tcPr>
            <w:tcW w:w="9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(1,232)</w:t>
            </w:r>
          </w:p>
        </w:tc>
        <w:tc>
          <w:tcPr>
            <w:tcW w:w="10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(1,232)</w:t>
            </w:r>
          </w:p>
        </w:tc>
        <w:tc>
          <w:tcPr>
            <w:tcW w:w="9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(1,232)</w:t>
            </w:r>
          </w:p>
        </w:tc>
        <w:tc>
          <w:tcPr>
            <w:tcW w:w="8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(1,232)</w:t>
            </w:r>
          </w:p>
        </w:tc>
      </w:tr>
      <w:tr>
        <w:trPr>
          <w:trHeight w:val="142"/>
        </w:trPr>
        <w:tc>
          <w:tcPr>
            <w:tcW w:w="426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4"/>
                <w:szCs w:val="14"/>
                <w:color w:val="auto"/>
              </w:rPr>
              <w:t>Average common equity</w:t>
            </w:r>
          </w:p>
        </w:tc>
        <w:tc>
          <w:tcPr>
            <w:tcW w:w="42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15,115</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15,145</w:t>
            </w:r>
          </w:p>
        </w:tc>
        <w:tc>
          <w:tcPr>
            <w:tcW w:w="140" w:type="dxa"/>
            <w:vAlign w:val="bottom"/>
            <w:tcBorders>
              <w:bottom w:val="single" w:sz="8" w:color="CFF0FC"/>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15,047</w:t>
            </w:r>
          </w:p>
        </w:tc>
        <w:tc>
          <w:tcPr>
            <w:tcW w:w="3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13,775</w:t>
            </w:r>
          </w:p>
        </w:tc>
        <w:tc>
          <w:tcPr>
            <w:tcW w:w="3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11,555</w:t>
            </w:r>
          </w:p>
        </w:tc>
        <w:tc>
          <w:tcPr>
            <w:tcW w:w="34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11,404</w:t>
            </w:r>
          </w:p>
        </w:tc>
        <w:tc>
          <w:tcPr>
            <w:tcW w:w="32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11,227</w:t>
            </w:r>
          </w:p>
        </w:tc>
        <w:tc>
          <w:tcPr>
            <w:tcW w:w="140" w:type="dxa"/>
            <w:vAlign w:val="bottom"/>
            <w:tcBorders>
              <w:bottom w:val="single" w:sz="8" w:color="CFF0FC"/>
            </w:tcBorders>
          </w:tcPr>
          <w:p>
            <w:pPr>
              <w:spacing w:after="0"/>
              <w:rPr>
                <w:sz w:val="12"/>
                <w:szCs w:val="12"/>
                <w:color w:val="auto"/>
              </w:rPr>
            </w:pPr>
          </w:p>
        </w:tc>
      </w:tr>
      <w:tr>
        <w:trPr>
          <w:trHeight w:val="142"/>
        </w:trPr>
        <w:tc>
          <w:tcPr>
            <w:tcW w:w="426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Goodwill</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(4,593)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(4,593)</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(4,593)</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(4,218)</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(3,513)</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(3,514)</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(3,525)</w:t>
            </w: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(122)</w:t>
            </w: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(134)</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Deferred taxes</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44</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48</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52</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39</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7</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8</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2"/>
                <w:szCs w:val="12"/>
                <w:color w:val="auto"/>
              </w:rPr>
            </w:pPr>
          </w:p>
        </w:tc>
      </w:tr>
      <w:tr>
        <w:trPr>
          <w:trHeight w:val="182"/>
        </w:trPr>
        <w:tc>
          <w:tcPr>
            <w:tcW w:w="426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4"/>
                <w:szCs w:val="14"/>
                <w:color w:val="auto"/>
              </w:rPr>
              <w:t>Average tangible common equity</w:t>
            </w:r>
          </w:p>
        </w:tc>
        <w:tc>
          <w:tcPr>
            <w:tcW w:w="42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10,454</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10,478</w:t>
            </w:r>
          </w:p>
        </w:tc>
        <w:tc>
          <w:tcPr>
            <w:tcW w:w="140" w:type="dxa"/>
            <w:vAlign w:val="bottom"/>
            <w:tcBorders>
              <w:bottom w:val="single" w:sz="8" w:color="CFF0FC"/>
            </w:tcBorders>
          </w:tcPr>
          <w:p>
            <w:pPr>
              <w:spacing w:after="0"/>
              <w:rPr>
                <w:sz w:val="15"/>
                <w:szCs w:val="15"/>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10,372</w:t>
            </w:r>
          </w:p>
        </w:tc>
        <w:tc>
          <w:tcPr>
            <w:tcW w:w="32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9,495</w:t>
            </w:r>
          </w:p>
        </w:tc>
        <w:tc>
          <w:tcPr>
            <w:tcW w:w="32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8,029</w:t>
            </w:r>
          </w:p>
        </w:tc>
        <w:tc>
          <w:tcPr>
            <w:tcW w:w="34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7,873</w:t>
            </w:r>
          </w:p>
        </w:tc>
        <w:tc>
          <w:tcPr>
            <w:tcW w:w="320" w:type="dxa"/>
            <w:vAlign w:val="bottom"/>
            <w:tcBorders>
              <w:bottom w:val="single" w:sz="8" w:color="CFF0FC"/>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7,681</w:t>
            </w:r>
          </w:p>
        </w:tc>
        <w:tc>
          <w:tcPr>
            <w:tcW w:w="140" w:type="dxa"/>
            <w:vAlign w:val="bottom"/>
            <w:tcBorders>
              <w:bottom w:val="single" w:sz="8" w:color="CFF0FC"/>
            </w:tcBorders>
          </w:tcPr>
          <w:p>
            <w:pPr>
              <w:spacing w:after="0"/>
              <w:rPr>
                <w:sz w:val="15"/>
                <w:szCs w:val="15"/>
                <w:color w:val="auto"/>
              </w:rPr>
            </w:pPr>
          </w:p>
        </w:tc>
      </w:tr>
      <w:tr>
        <w:trPr>
          <w:trHeight w:val="129"/>
        </w:trPr>
        <w:tc>
          <w:tcPr>
            <w:tcW w:w="4260" w:type="dxa"/>
            <w:vAlign w:val="bottom"/>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At end of quarter</w:t>
            </w: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Total assets</w:t>
            </w:r>
          </w:p>
        </w:tc>
        <w:tc>
          <w:tcPr>
            <w:tcW w:w="5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126,841</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123,821</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124,626</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122,788</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97,797</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97,080</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98,378</w:t>
            </w: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(4,593)</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(4,593)</w:t>
            </w: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(4,593)</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(4,593)</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(3,513)</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(3,513)</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(107)</w:t>
            </w:r>
          </w:p>
        </w:tc>
        <w:tc>
          <w:tcPr>
            <w:tcW w:w="920" w:type="dxa"/>
            <w:vAlign w:val="bottom"/>
            <w:gridSpan w:val="3"/>
            <w:shd w:val="clear" w:color="auto" w:fill="CFF0FC"/>
          </w:tcPr>
          <w:p>
            <w:pPr>
              <w:jc w:val="right"/>
              <w:ind w:right="80"/>
              <w:spacing w:after="0" w:line="149" w:lineRule="exact"/>
              <w:rPr>
                <w:sz w:val="20"/>
                <w:szCs w:val="20"/>
                <w:color w:val="auto"/>
              </w:rPr>
            </w:pPr>
            <w:r>
              <w:rPr>
                <w:rFonts w:ascii="Arial" w:cs="Arial" w:eastAsia="Arial" w:hAnsi="Arial"/>
                <w:sz w:val="14"/>
                <w:szCs w:val="14"/>
                <w:color w:val="auto"/>
              </w:rPr>
              <w:t>(117)</w:t>
            </w:r>
          </w:p>
        </w:tc>
        <w:tc>
          <w:tcPr>
            <w:tcW w:w="1180" w:type="dxa"/>
            <w:vAlign w:val="bottom"/>
            <w:gridSpan w:val="3"/>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(128)</w:t>
            </w:r>
          </w:p>
        </w:tc>
        <w:tc>
          <w:tcPr>
            <w:tcW w:w="9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(140)</w:t>
            </w:r>
          </w:p>
        </w:tc>
        <w:tc>
          <w:tcPr>
            <w:tcW w:w="10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(18)</w:t>
            </w:r>
          </w:p>
        </w:tc>
        <w:tc>
          <w:tcPr>
            <w:tcW w:w="9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8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2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r>
      <w:tr>
        <w:trPr>
          <w:trHeight w:val="142"/>
        </w:trPr>
        <w:tc>
          <w:tcPr>
            <w:tcW w:w="426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4"/>
                <w:szCs w:val="14"/>
                <w:color w:val="auto"/>
              </w:rPr>
              <w:t>Total tangible assets</w:t>
            </w:r>
          </w:p>
        </w:tc>
        <w:tc>
          <w:tcPr>
            <w:tcW w:w="4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122,183</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119,157</w:t>
            </w:r>
          </w:p>
        </w:tc>
        <w:tc>
          <w:tcPr>
            <w:tcW w:w="14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119,955</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118,109</w:t>
            </w:r>
          </w:p>
        </w:tc>
        <w:tc>
          <w:tcPr>
            <w:tcW w:w="32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94,272</w:t>
            </w:r>
          </w:p>
        </w:tc>
        <w:tc>
          <w:tcPr>
            <w:tcW w:w="3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93,552</w:t>
            </w: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94,834</w:t>
            </w:r>
          </w:p>
        </w:tc>
        <w:tc>
          <w:tcPr>
            <w:tcW w:w="140" w:type="dxa"/>
            <w:vAlign w:val="bottom"/>
            <w:tcBorders>
              <w:top w:val="single" w:sz="8" w:color="CFF0FC"/>
            </w:tcBorders>
            <w:shd w:val="clear" w:color="auto" w:fill="CFF0FC"/>
          </w:tcPr>
          <w:p>
            <w:pPr>
              <w:spacing w:after="0"/>
              <w:rPr>
                <w:sz w:val="12"/>
                <w:szCs w:val="12"/>
                <w:color w:val="auto"/>
              </w:rPr>
            </w:pPr>
          </w:p>
        </w:tc>
      </w:tr>
      <w:tr>
        <w:trPr>
          <w:trHeight w:val="142"/>
        </w:trPr>
        <w:tc>
          <w:tcPr>
            <w:tcW w:w="4260" w:type="dxa"/>
            <w:vAlign w:val="bottom"/>
          </w:tcPr>
          <w:p>
            <w:pPr>
              <w:spacing w:after="0" w:line="142" w:lineRule="exact"/>
              <w:rPr>
                <w:sz w:val="20"/>
                <w:szCs w:val="20"/>
                <w:color w:val="auto"/>
              </w:rPr>
            </w:pPr>
            <w:r>
              <w:rPr>
                <w:rFonts w:ascii="Arial" w:cs="Arial" w:eastAsia="Arial" w:hAnsi="Arial"/>
                <w:sz w:val="14"/>
                <w:szCs w:val="14"/>
                <w:b w:val="1"/>
                <w:bCs w:val="1"/>
                <w:color w:val="auto"/>
              </w:rPr>
              <w:t>Total common equity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Total equity</w:t>
            </w:r>
          </w:p>
        </w:tc>
        <w:tc>
          <w:tcPr>
            <w:tcW w:w="5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16,341</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16,472</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16,355</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16,173</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12,922</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12,668</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12,528</w:t>
            </w: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(1,232)</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(1,232)</w:t>
            </w: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(1,232)</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(1,232)</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(1,232)</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(1,232)</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(1,232)</w:t>
            </w: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Undeclared dividends - cumulative preferred stock</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920" w:type="dxa"/>
            <w:vAlign w:val="bottom"/>
            <w:gridSpan w:val="3"/>
            <w:shd w:val="clear" w:color="auto" w:fill="CFF0FC"/>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180" w:type="dxa"/>
            <w:vAlign w:val="bottom"/>
            <w:gridSpan w:val="3"/>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9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(2)</w:t>
            </w:r>
          </w:p>
        </w:tc>
        <w:tc>
          <w:tcPr>
            <w:tcW w:w="100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980" w:type="dxa"/>
            <w:vAlign w:val="bottom"/>
            <w:gridSpan w:val="2"/>
            <w:shd w:val="clear" w:color="auto" w:fill="CFF0FC"/>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8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(2)</w:t>
            </w:r>
          </w:p>
        </w:tc>
      </w:tr>
      <w:tr>
        <w:trPr>
          <w:trHeight w:val="142"/>
        </w:trPr>
        <w:tc>
          <w:tcPr>
            <w:tcW w:w="426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4"/>
                <w:szCs w:val="14"/>
                <w:color w:val="auto"/>
                <w:w w:val="97"/>
              </w:rPr>
              <w:t>Common equity, net of undeclared cumulative preferred dividends</w:t>
            </w:r>
          </w:p>
        </w:tc>
        <w:tc>
          <w:tcPr>
            <w:tcW w:w="42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15,106</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15,237</w:t>
            </w:r>
          </w:p>
        </w:tc>
        <w:tc>
          <w:tcPr>
            <w:tcW w:w="140" w:type="dxa"/>
            <w:vAlign w:val="bottom"/>
            <w:tcBorders>
              <w:bottom w:val="single" w:sz="8" w:color="CFF0FC"/>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15,120</w:t>
            </w:r>
          </w:p>
        </w:tc>
        <w:tc>
          <w:tcPr>
            <w:tcW w:w="3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14,939</w:t>
            </w:r>
          </w:p>
        </w:tc>
        <w:tc>
          <w:tcPr>
            <w:tcW w:w="32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11,687</w:t>
            </w:r>
          </w:p>
        </w:tc>
        <w:tc>
          <w:tcPr>
            <w:tcW w:w="340" w:type="dxa"/>
            <w:vAlign w:val="bottom"/>
            <w:tcBorders>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11,433</w:t>
            </w:r>
          </w:p>
        </w:tc>
        <w:tc>
          <w:tcPr>
            <w:tcW w:w="32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11,294</w:t>
            </w:r>
          </w:p>
        </w:tc>
        <w:tc>
          <w:tcPr>
            <w:tcW w:w="140" w:type="dxa"/>
            <w:vAlign w:val="bottom"/>
            <w:tcBorders>
              <w:bottom w:val="single" w:sz="8" w:color="CFF0FC"/>
            </w:tcBorders>
          </w:tcPr>
          <w:p>
            <w:pPr>
              <w:spacing w:after="0"/>
              <w:rPr>
                <w:sz w:val="12"/>
                <w:szCs w:val="12"/>
                <w:color w:val="auto"/>
              </w:rPr>
            </w:pPr>
          </w:p>
        </w:tc>
      </w:tr>
      <w:tr>
        <w:trPr>
          <w:trHeight w:val="142"/>
        </w:trPr>
        <w:tc>
          <w:tcPr>
            <w:tcW w:w="426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Goodwill</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(4,593)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(4,593)</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(4,593)</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(4,593)</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(3,513)</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(3,513)</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(3,525)</w:t>
            </w:r>
          </w:p>
        </w:tc>
        <w:tc>
          <w:tcPr>
            <w:tcW w:w="140" w:type="dxa"/>
            <w:vAlign w:val="bottom"/>
            <w:shd w:val="clear" w:color="auto" w:fill="CFF0FC"/>
          </w:tcPr>
          <w:p>
            <w:pPr>
              <w:spacing w:after="0"/>
              <w:rPr>
                <w:sz w:val="12"/>
                <w:szCs w:val="12"/>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(107)</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(117)</w:t>
            </w: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(128)</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(140)</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42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Deferred taxes</w:t>
            </w: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42</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46</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50</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54</w:t>
            </w:r>
          </w:p>
        </w:tc>
        <w:tc>
          <w:tcPr>
            <w:tcW w:w="3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7</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FF0FC"/>
          </w:tcPr>
          <w:p>
            <w:pPr>
              <w:spacing w:after="0"/>
              <w:rPr>
                <w:sz w:val="12"/>
                <w:szCs w:val="12"/>
                <w:color w:val="auto"/>
              </w:rPr>
            </w:pPr>
          </w:p>
        </w:tc>
      </w:tr>
      <w:tr>
        <w:trPr>
          <w:trHeight w:val="142"/>
        </w:trPr>
        <w:tc>
          <w:tcPr>
            <w:tcW w:w="4260" w:type="dxa"/>
            <w:vAlign w:val="bottom"/>
          </w:tcPr>
          <w:p>
            <w:pPr>
              <w:ind w:left="260"/>
              <w:spacing w:after="0" w:line="142" w:lineRule="exact"/>
              <w:rPr>
                <w:sz w:val="20"/>
                <w:szCs w:val="20"/>
                <w:color w:val="auto"/>
              </w:rPr>
            </w:pPr>
            <w:r>
              <w:rPr>
                <w:rFonts w:ascii="Arial" w:cs="Arial" w:eastAsia="Arial" w:hAnsi="Arial"/>
                <w:sz w:val="14"/>
                <w:szCs w:val="14"/>
                <w:color w:val="auto"/>
              </w:rPr>
              <w:t>Total tangible common equity</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10,448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10,573</w:t>
            </w:r>
          </w:p>
        </w:tc>
        <w:tc>
          <w:tcPr>
            <w:tcW w:w="14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10,449</w:t>
            </w:r>
          </w:p>
        </w:tc>
        <w:tc>
          <w:tcPr>
            <w:tcW w:w="3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10,260</w:t>
            </w:r>
          </w:p>
        </w:tc>
        <w:tc>
          <w:tcPr>
            <w:tcW w:w="3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8,162</w:t>
            </w:r>
          </w:p>
        </w:tc>
        <w:tc>
          <w:tcPr>
            <w:tcW w:w="3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7,905</w:t>
            </w:r>
          </w:p>
        </w:tc>
        <w:tc>
          <w:tcPr>
            <w:tcW w:w="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7,750</w:t>
            </w:r>
          </w:p>
        </w:tc>
        <w:tc>
          <w:tcPr>
            <w:tcW w:w="140" w:type="dxa"/>
            <w:vAlign w:val="bottom"/>
          </w:tcPr>
          <w:p>
            <w:pPr>
              <w:spacing w:after="0"/>
              <w:rPr>
                <w:sz w:val="12"/>
                <w:szCs w:val="12"/>
                <w:color w:val="auto"/>
              </w:rPr>
            </w:pPr>
          </w:p>
        </w:tc>
      </w:tr>
      <w:tr>
        <w:trPr>
          <w:trHeight w:val="20"/>
        </w:trPr>
        <w:tc>
          <w:tcPr>
            <w:tcW w:w="4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After any related tax effect.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324"/>
        </w:trPr>
        <w:tc>
          <w:tcPr>
            <w:tcW w:w="6760" w:type="dxa"/>
            <w:vAlign w:val="bottom"/>
            <w:gridSpan w:val="11"/>
          </w:tcPr>
          <w:p>
            <w:pPr>
              <w:spacing w:after="0"/>
              <w:rPr>
                <w:sz w:val="20"/>
                <w:szCs w:val="20"/>
                <w:color w:val="auto"/>
              </w:rPr>
            </w:pPr>
            <w:r>
              <w:rPr>
                <w:rFonts w:ascii="Arial" w:cs="Arial" w:eastAsia="Arial" w:hAnsi="Arial"/>
                <w:sz w:val="18"/>
                <w:szCs w:val="18"/>
                <w:color w:val="auto"/>
                <w:w w:val="98"/>
              </w:rPr>
              <w:t>AVERAGE BALANCE SHEETS AND ANNUALIZED TAXABLE-EQUIVALENT RATES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color w:val="auto"/>
                <w:w w:val="92"/>
              </w:rPr>
              <w:t>2016 Third Quarter</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5"/>
          </w:tcPr>
          <w:p>
            <w:pPr>
              <w:jc w:val="center"/>
              <w:ind w:left="520"/>
              <w:spacing w:after="0"/>
              <w:rPr>
                <w:sz w:val="20"/>
                <w:szCs w:val="20"/>
                <w:color w:val="auto"/>
              </w:rPr>
            </w:pPr>
            <w:r>
              <w:rPr>
                <w:rFonts w:ascii="Arial" w:cs="Arial" w:eastAsia="Arial" w:hAnsi="Arial"/>
                <w:sz w:val="14"/>
                <w:szCs w:val="14"/>
                <w:color w:val="auto"/>
                <w:w w:val="91"/>
              </w:rPr>
              <w:t>2016 Second Quarter</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color w:val="auto"/>
                <w:w w:val="93"/>
              </w:rPr>
              <w:t>2016 First Quarter</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8"/>
              </w:rPr>
              <w:t>Average</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0"/>
              <w:spacing w:after="0" w:line="149" w:lineRule="exact"/>
              <w:rPr>
                <w:sz w:val="20"/>
                <w:szCs w:val="20"/>
                <w:color w:val="auto"/>
              </w:rPr>
            </w:pPr>
            <w:r>
              <w:rPr>
                <w:rFonts w:ascii="Arial" w:cs="Arial" w:eastAsia="Arial" w:hAnsi="Arial"/>
                <w:sz w:val="14"/>
                <w:szCs w:val="14"/>
                <w:color w:val="auto"/>
              </w:rPr>
              <w:t>Average</w:t>
            </w:r>
          </w:p>
        </w:tc>
        <w:tc>
          <w:tcPr>
            <w:tcW w:w="28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Average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20"/>
              <w:spacing w:after="0" w:line="149" w:lineRule="exact"/>
              <w:rPr>
                <w:sz w:val="20"/>
                <w:szCs w:val="20"/>
                <w:color w:val="auto"/>
              </w:rPr>
            </w:pPr>
            <w:r>
              <w:rPr>
                <w:rFonts w:ascii="Arial" w:cs="Arial" w:eastAsia="Arial" w:hAnsi="Arial"/>
                <w:sz w:val="14"/>
                <w:szCs w:val="14"/>
                <w:color w:val="auto"/>
                <w:w w:val="91"/>
              </w:rPr>
              <w:t>Average</w:t>
            </w:r>
          </w:p>
        </w:tc>
        <w:tc>
          <w:tcPr>
            <w:tcW w:w="300" w:type="dxa"/>
            <w:vAlign w:val="bottom"/>
          </w:tcPr>
          <w:p>
            <w:pPr>
              <w:spacing w:after="0"/>
              <w:rPr>
                <w:sz w:val="12"/>
                <w:szCs w:val="12"/>
                <w:color w:val="auto"/>
              </w:rPr>
            </w:pPr>
          </w:p>
        </w:tc>
        <w:tc>
          <w:tcPr>
            <w:tcW w:w="660" w:type="dxa"/>
            <w:vAlign w:val="bottom"/>
          </w:tcPr>
          <w:p>
            <w:pPr>
              <w:jc w:val="right"/>
              <w:ind w:right="20"/>
              <w:spacing w:after="0" w:line="149" w:lineRule="exact"/>
              <w:rPr>
                <w:sz w:val="20"/>
                <w:szCs w:val="20"/>
                <w:color w:val="auto"/>
              </w:rPr>
            </w:pPr>
            <w:r>
              <w:rPr>
                <w:rFonts w:ascii="Arial" w:cs="Arial" w:eastAsia="Arial" w:hAnsi="Arial"/>
                <w:sz w:val="14"/>
                <w:szCs w:val="14"/>
                <w:color w:val="auto"/>
              </w:rPr>
              <w:t>Average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39"/>
              <w:spacing w:after="0" w:line="149" w:lineRule="exact"/>
              <w:rPr>
                <w:sz w:val="20"/>
                <w:szCs w:val="20"/>
                <w:color w:val="auto"/>
              </w:rPr>
            </w:pPr>
            <w:r>
              <w:rPr>
                <w:rFonts w:ascii="Arial" w:cs="Arial" w:eastAsia="Arial" w:hAnsi="Arial"/>
                <w:sz w:val="14"/>
                <w:szCs w:val="14"/>
                <w:color w:val="auto"/>
              </w:rPr>
              <w:t>Average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tcPr>
          <w:p>
            <w:pPr>
              <w:spacing w:after="0"/>
              <w:rPr>
                <w:sz w:val="20"/>
                <w:szCs w:val="20"/>
                <w:color w:val="auto"/>
              </w:rPr>
            </w:pPr>
            <w:r>
              <w:rPr>
                <w:rFonts w:ascii="Arial" w:cs="Arial" w:eastAsia="Arial" w:hAnsi="Arial"/>
                <w:sz w:val="14"/>
                <w:szCs w:val="14"/>
                <w:i w:val="1"/>
                <w:iCs w:val="1"/>
                <w:color w:val="auto"/>
                <w:w w:val="97"/>
              </w:rPr>
              <w:t>Average balance in millions; interest 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0"/>
              </w:rPr>
              <w:t>Balance</w:t>
            </w:r>
          </w:p>
        </w:tc>
        <w:tc>
          <w:tcPr>
            <w:tcW w:w="2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Interest</w:t>
            </w:r>
          </w:p>
        </w:tc>
        <w:tc>
          <w:tcPr>
            <w:tcW w:w="660" w:type="dxa"/>
            <w:vAlign w:val="bottom"/>
          </w:tcPr>
          <w:p>
            <w:pPr>
              <w:jc w:val="right"/>
              <w:ind w:right="140"/>
              <w:spacing w:after="0"/>
              <w:rPr>
                <w:sz w:val="20"/>
                <w:szCs w:val="20"/>
                <w:color w:val="auto"/>
              </w:rPr>
            </w:pPr>
            <w:r>
              <w:rPr>
                <w:rFonts w:ascii="Arial" w:cs="Arial" w:eastAsia="Arial" w:hAnsi="Arial"/>
                <w:sz w:val="14"/>
                <w:szCs w:val="14"/>
                <w:color w:val="auto"/>
              </w:rPr>
              <w:t>Rate</w:t>
            </w:r>
          </w:p>
        </w:tc>
        <w:tc>
          <w:tcPr>
            <w:tcW w:w="2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Balance</w:t>
            </w:r>
          </w:p>
        </w:tc>
        <w:tc>
          <w:tcPr>
            <w:tcW w:w="960" w:type="dxa"/>
            <w:vAlign w:val="bottom"/>
            <w:gridSpan w:val="3"/>
          </w:tcPr>
          <w:p>
            <w:pPr>
              <w:jc w:val="center"/>
              <w:ind w:right="320"/>
              <w:spacing w:after="0"/>
              <w:rPr>
                <w:sz w:val="20"/>
                <w:szCs w:val="20"/>
                <w:color w:val="auto"/>
              </w:rPr>
            </w:pPr>
            <w:r>
              <w:rPr>
                <w:rFonts w:ascii="Arial" w:cs="Arial" w:eastAsia="Arial" w:hAnsi="Arial"/>
                <w:sz w:val="14"/>
                <w:szCs w:val="14"/>
                <w:color w:val="auto"/>
                <w:w w:val="94"/>
              </w:rPr>
              <w:t>Interest</w:t>
            </w:r>
          </w:p>
        </w:tc>
        <w:tc>
          <w:tcPr>
            <w:tcW w:w="600" w:type="dxa"/>
            <w:vAlign w:val="bottom"/>
          </w:tcPr>
          <w:p>
            <w:pPr>
              <w:jc w:val="right"/>
              <w:ind w:right="140"/>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Interest</w:t>
            </w:r>
          </w:p>
        </w:tc>
        <w:tc>
          <w:tcPr>
            <w:tcW w:w="700" w:type="dxa"/>
            <w:vAlign w:val="bottom"/>
          </w:tcPr>
          <w:p>
            <w:pPr>
              <w:jc w:val="right"/>
              <w:ind w:right="139"/>
              <w:spacing w:after="0"/>
              <w:rPr>
                <w:sz w:val="20"/>
                <w:szCs w:val="20"/>
                <w:color w:val="auto"/>
              </w:rPr>
            </w:pPr>
            <w:r>
              <w:rPr>
                <w:rFonts w:ascii="Arial" w:cs="Arial" w:eastAsia="Arial" w:hAnsi="Arial"/>
                <w:sz w:val="14"/>
                <w:szCs w:val="14"/>
                <w:color w:val="auto"/>
              </w:rPr>
              <w:t>Rate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Earning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Loans and leases, net of unearned</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discount*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Arial" w:cs="Arial" w:eastAsia="Arial" w:hAnsi="Arial"/>
                <w:sz w:val="16"/>
                <w:szCs w:val="16"/>
                <w:color w:val="auto"/>
              </w:rPr>
              <w:t>Commercial, financial, etc.</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21,480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$ 185,552</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21,450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184,803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20,717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174,657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 commercial</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31,252</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319,694</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30,134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311,490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29,426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309,415</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Arial" w:cs="Arial" w:eastAsia="Arial" w:hAnsi="Arial"/>
                <w:sz w:val="16"/>
                <w:szCs w:val="16"/>
                <w:color w:val="auto"/>
              </w:rPr>
              <w:t>Real estate - consumer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24,058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235,813</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3.92</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24,858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244,806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3.94</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25,859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254,144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Consumer</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11,942</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136,592</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2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11,713</w:t>
            </w: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132,437</w:t>
            </w: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11,582</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130,971</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loans and leases, net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88,732</w:t>
            </w:r>
          </w:p>
        </w:tc>
        <w:tc>
          <w:tcPr>
            <w:tcW w:w="24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877,651</w:t>
            </w:r>
          </w:p>
        </w:tc>
        <w:tc>
          <w:tcPr>
            <w:tcW w:w="24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28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88,155</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873,536</w:t>
            </w:r>
          </w:p>
        </w:tc>
        <w:tc>
          <w:tcPr>
            <w:tcW w:w="24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87,584</w:t>
            </w:r>
          </w:p>
        </w:tc>
        <w:tc>
          <w:tcPr>
            <w:tcW w:w="22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869,187</w:t>
            </w:r>
          </w:p>
        </w:tc>
        <w:tc>
          <w:tcPr>
            <w:tcW w:w="22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 at banks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9,681</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12,355</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8,711</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10,993</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10,337</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Federal funds sold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Trading account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Investment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Treasury and federal agencies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78,259</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13,906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84,019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90,138</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20" w:type="dxa"/>
            <w:vAlign w:val="bottom"/>
          </w:tcPr>
          <w:p>
            <w:pPr>
              <w:ind w:left="260"/>
              <w:spacing w:after="0"/>
              <w:rPr>
                <w:sz w:val="20"/>
                <w:szCs w:val="20"/>
                <w:color w:val="auto"/>
              </w:rPr>
            </w:pPr>
            <w:r>
              <w:rPr>
                <w:rFonts w:ascii="Arial" w:cs="Arial" w:eastAsia="Arial" w:hAnsi="Arial"/>
                <w:sz w:val="16"/>
                <w:szCs w:val="16"/>
                <w:color w:val="auto"/>
              </w:rPr>
              <w:t>Obligations of states and political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260"/>
              <w:spacing w:after="0"/>
              <w:rPr>
                <w:sz w:val="20"/>
                <w:szCs w:val="20"/>
                <w:color w:val="auto"/>
              </w:rPr>
            </w:pPr>
            <w:r>
              <w:rPr>
                <w:rFonts w:ascii="Arial" w:cs="Arial" w:eastAsia="Arial" w:hAnsi="Arial"/>
                <w:sz w:val="16"/>
                <w:szCs w:val="16"/>
                <w:color w:val="auto"/>
              </w:rPr>
              <w:t>subdivisions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888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4.32</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1,164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861</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6,745</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2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911</w:t>
            </w: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7,222</w:t>
            </w: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971</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7,961</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investment securities</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14,361</w:t>
            </w:r>
          </w:p>
        </w:tc>
        <w:tc>
          <w:tcPr>
            <w:tcW w:w="24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85,892</w:t>
            </w:r>
          </w:p>
        </w:tc>
        <w:tc>
          <w:tcPr>
            <w:tcW w:w="24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28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14,914</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92,250</w:t>
            </w:r>
          </w:p>
        </w:tc>
        <w:tc>
          <w:tcPr>
            <w:tcW w:w="24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15,348</w:t>
            </w:r>
          </w:p>
        </w:tc>
        <w:tc>
          <w:tcPr>
            <w:tcW w:w="22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99,263</w:t>
            </w:r>
          </w:p>
        </w:tc>
        <w:tc>
          <w:tcPr>
            <w:tcW w:w="22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112,864</w:t>
            </w:r>
          </w:p>
        </w:tc>
        <w:tc>
          <w:tcPr>
            <w:tcW w:w="24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976,240</w:t>
            </w:r>
          </w:p>
        </w:tc>
        <w:tc>
          <w:tcPr>
            <w:tcW w:w="24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3.44</w:t>
            </w:r>
          </w:p>
        </w:tc>
        <w:tc>
          <w:tcPr>
            <w:tcW w:w="28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111,872</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977,143</w:t>
            </w:r>
          </w:p>
        </w:tc>
        <w:tc>
          <w:tcPr>
            <w:tcW w:w="24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111,211</w:t>
            </w:r>
          </w:p>
        </w:tc>
        <w:tc>
          <w:tcPr>
            <w:tcW w:w="22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979,166</w:t>
            </w:r>
          </w:p>
        </w:tc>
        <w:tc>
          <w:tcPr>
            <w:tcW w:w="2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Pr>
          <w:p>
            <w:pPr>
              <w:spacing w:after="0"/>
              <w:rPr>
                <w:sz w:val="20"/>
                <w:szCs w:val="20"/>
                <w:color w:val="auto"/>
              </w:rPr>
            </w:pPr>
            <w:r>
              <w:rPr>
                <w:rFonts w:ascii="Arial" w:cs="Arial" w:eastAsia="Arial" w:hAnsi="Arial"/>
                <w:sz w:val="16"/>
                <w:szCs w:val="16"/>
                <w:color w:val="auto"/>
              </w:rPr>
              <w:t>Allowance for credit losses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(982)</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(976)</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(955)</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Cash and due from banks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1,281</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1,288</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11,562</w:t>
            </w:r>
          </w:p>
        </w:tc>
        <w:tc>
          <w:tcPr>
            <w:tcW w:w="24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11,567</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6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11,708</w:t>
            </w: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124,725</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123,706</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123,252</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liabilities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6"/>
                <w:szCs w:val="16"/>
                <w:color w:val="auto"/>
              </w:rPr>
              <w:t>Interest-bearing deposits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Interest-checking deposits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1,359</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60"/>
              <w:spacing w:after="0"/>
              <w:rPr>
                <w:sz w:val="20"/>
                <w:szCs w:val="20"/>
                <w:color w:val="auto"/>
              </w:rPr>
            </w:pPr>
            <w:r>
              <w:rPr>
                <w:rFonts w:ascii="Arial" w:cs="Arial" w:eastAsia="Arial" w:hAnsi="Arial"/>
                <w:sz w:val="16"/>
                <w:szCs w:val="16"/>
                <w:color w:val="auto"/>
              </w:rPr>
              <w:t>Savings deposits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51,294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23,689</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50,515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20,134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15,891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12,334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27,886</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12,999</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24,322</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Deposits at Cayman Islands office</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4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24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4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65,070</w:t>
            </w:r>
          </w:p>
        </w:tc>
        <w:tc>
          <w:tcPr>
            <w:tcW w:w="24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52,157</w:t>
            </w:r>
          </w:p>
        </w:tc>
        <w:tc>
          <w:tcPr>
            <w:tcW w:w="24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8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64,784</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47,582</w:t>
            </w:r>
          </w:p>
        </w:tc>
        <w:tc>
          <w:tcPr>
            <w:tcW w:w="24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63,521</w:t>
            </w:r>
          </w:p>
        </w:tc>
        <w:tc>
          <w:tcPr>
            <w:tcW w:w="22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40,820</w:t>
            </w:r>
          </w:p>
        </w:tc>
        <w:tc>
          <w:tcPr>
            <w:tcW w:w="2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Pr>
          <w:p>
            <w:pPr>
              <w:spacing w:after="0"/>
              <w:rPr>
                <w:sz w:val="20"/>
                <w:szCs w:val="20"/>
                <w:color w:val="auto"/>
              </w:rPr>
            </w:pPr>
            <w:r>
              <w:rPr>
                <w:rFonts w:ascii="Arial" w:cs="Arial" w:eastAsia="Arial" w:hAnsi="Arial"/>
                <w:sz w:val="16"/>
                <w:szCs w:val="16"/>
                <w:color w:val="auto"/>
              </w:rPr>
              <w:t>Short-term borrowings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169</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1,078</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1,143</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2,082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2,162</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10,287</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58,849</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10,297</w:t>
            </w: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58,077</w:t>
            </w: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10,528</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57,888</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20" w:type="dxa"/>
            <w:vAlign w:val="bottom"/>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75,588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111,175</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76,159</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106,802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76,131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100,870</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30,782</w:t>
            </w:r>
          </w:p>
        </w:tc>
        <w:tc>
          <w:tcPr>
            <w:tcW w:w="24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29,249</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28,870</w:t>
            </w: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24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6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w:t>
            </w: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108,378</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107,329</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106,973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Shareholders’ equity</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16,347</w:t>
            </w:r>
          </w:p>
        </w:tc>
        <w:tc>
          <w:tcPr>
            <w:tcW w:w="24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16,377</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60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16,279</w:t>
            </w:r>
          </w:p>
        </w:tc>
        <w:tc>
          <w:tcPr>
            <w:tcW w:w="22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equity</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124,725</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123,706</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123,252</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interest spread</w:t>
            </w: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2.85</w:t>
            </w: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2.95</w:t>
            </w: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3.01</w:t>
            </w: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20" w:type="dxa"/>
            <w:vAlign w:val="bottom"/>
          </w:tcPr>
          <w:p>
            <w:pPr>
              <w:spacing w:after="0"/>
              <w:rPr>
                <w:sz w:val="20"/>
                <w:szCs w:val="20"/>
                <w:color w:val="auto"/>
              </w:rPr>
            </w:pPr>
            <w:r>
              <w:rPr>
                <w:rFonts w:ascii="Arial" w:cs="Arial" w:eastAsia="Arial" w:hAnsi="Arial"/>
                <w:sz w:val="16"/>
                <w:szCs w:val="16"/>
                <w:color w:val="auto"/>
              </w:rPr>
              <w:t>Net interest income/margin 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earning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$ 865,065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870,341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878,296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0"/>
              </w:rPr>
              <w:t>Table 3 (continued)</w:t>
            </w:r>
          </w:p>
        </w:tc>
        <w:tc>
          <w:tcPr>
            <w:tcW w:w="0" w:type="dxa"/>
            <w:vAlign w:val="bottom"/>
          </w:tcPr>
          <w:p>
            <w:pPr>
              <w:spacing w:after="0"/>
              <w:rPr>
                <w:sz w:val="1"/>
                <w:szCs w:val="1"/>
                <w:color w:val="auto"/>
              </w:rPr>
            </w:pPr>
          </w:p>
        </w:tc>
      </w:tr>
      <w:tr>
        <w:trPr>
          <w:trHeight w:val="432"/>
        </w:trPr>
        <w:tc>
          <w:tcPr>
            <w:tcW w:w="7920" w:type="dxa"/>
            <w:vAlign w:val="bottom"/>
            <w:gridSpan w:val="10"/>
          </w:tcPr>
          <w:p>
            <w:pPr>
              <w:spacing w:after="0"/>
              <w:rPr>
                <w:sz w:val="20"/>
                <w:szCs w:val="20"/>
                <w:color w:val="auto"/>
              </w:rPr>
            </w:pPr>
            <w:r>
              <w:rPr>
                <w:rFonts w:ascii="Arial" w:cs="Arial" w:eastAsia="Arial" w:hAnsi="Arial"/>
                <w:sz w:val="18"/>
                <w:szCs w:val="18"/>
                <w:color w:val="auto"/>
              </w:rPr>
              <w:t>AVERAGE BALANCE SHEETS AND ANNUALIZED TAXABLE-EQUIVALENT RATES (continued)</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4"/>
                <w:szCs w:val="14"/>
                <w:color w:val="auto"/>
                <w:w w:val="92"/>
              </w:rPr>
              <w:t>2015 Fourth Quarter</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right"/>
              <w:ind w:right="781"/>
              <w:spacing w:after="0"/>
              <w:rPr>
                <w:sz w:val="20"/>
                <w:szCs w:val="20"/>
                <w:color w:val="auto"/>
              </w:rPr>
            </w:pPr>
            <w:r>
              <w:rPr>
                <w:rFonts w:ascii="Arial" w:cs="Arial" w:eastAsia="Arial" w:hAnsi="Arial"/>
                <w:sz w:val="14"/>
                <w:szCs w:val="14"/>
                <w:color w:val="auto"/>
                <w:w w:val="96"/>
              </w:rPr>
              <w:t>2015 Third Quarter</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8"/>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60"/>
              <w:spacing w:after="0" w:line="149" w:lineRule="exact"/>
              <w:rPr>
                <w:sz w:val="20"/>
                <w:szCs w:val="20"/>
                <w:color w:val="auto"/>
              </w:rPr>
            </w:pPr>
            <w:r>
              <w:rPr>
                <w:rFonts w:ascii="Arial" w:cs="Arial" w:eastAsia="Arial" w:hAnsi="Arial"/>
                <w:sz w:val="14"/>
                <w:szCs w:val="14"/>
                <w:color w:val="auto"/>
              </w:rPr>
              <w:t>Average</w:t>
            </w:r>
          </w:p>
        </w:tc>
        <w:tc>
          <w:tcPr>
            <w:tcW w:w="3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Average</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Balance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Interest</w:t>
            </w:r>
          </w:p>
        </w:tc>
        <w:tc>
          <w:tcPr>
            <w:tcW w:w="720" w:type="dxa"/>
            <w:vAlign w:val="bottom"/>
          </w:tcPr>
          <w:p>
            <w:pPr>
              <w:jc w:val="right"/>
              <w:ind w:right="160"/>
              <w:spacing w:after="0"/>
              <w:rPr>
                <w:sz w:val="20"/>
                <w:szCs w:val="20"/>
                <w:color w:val="auto"/>
              </w:rPr>
            </w:pPr>
            <w:r>
              <w:rPr>
                <w:rFonts w:ascii="Arial" w:cs="Arial" w:eastAsia="Arial" w:hAnsi="Arial"/>
                <w:sz w:val="14"/>
                <w:szCs w:val="14"/>
                <w:color w:val="auto"/>
              </w:rPr>
              <w:t>Rate</w:t>
            </w:r>
          </w:p>
        </w:tc>
        <w:tc>
          <w:tcPr>
            <w:tcW w:w="3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4"/>
                <w:szCs w:val="14"/>
                <w:color w:val="auto"/>
              </w:rPr>
              <w:t>Interest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7"/>
              </w:rPr>
              <w:t>Rate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Earning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Loans and leases, net of unearned</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discount*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60"/>
              <w:spacing w:after="0"/>
              <w:rPr>
                <w:sz w:val="20"/>
                <w:szCs w:val="20"/>
                <w:color w:val="auto"/>
              </w:rPr>
            </w:pPr>
            <w:r>
              <w:rPr>
                <w:rFonts w:ascii="Arial" w:cs="Arial" w:eastAsia="Arial" w:hAnsi="Arial"/>
                <w:sz w:val="16"/>
                <w:szCs w:val="16"/>
                <w:color w:val="auto"/>
              </w:rPr>
              <w:t>Commercial, financial, etc.</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20,221</w:t>
            </w:r>
          </w:p>
        </w:tc>
        <w:tc>
          <w:tcPr>
            <w:tcW w:w="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164,515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19,939</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161,709</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3.22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 commercial</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28,973</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303,960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28,309</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302,626</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60"/>
              <w:spacing w:after="0"/>
              <w:rPr>
                <w:sz w:val="20"/>
                <w:szCs w:val="20"/>
                <w:color w:val="auto"/>
              </w:rPr>
            </w:pPr>
            <w:r>
              <w:rPr>
                <w:rFonts w:ascii="Arial" w:cs="Arial" w:eastAsia="Arial" w:hAnsi="Arial"/>
                <w:sz w:val="16"/>
                <w:szCs w:val="16"/>
                <w:color w:val="auto"/>
              </w:rPr>
              <w:t>Real estate - consumer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20,369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204,420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8,348</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87,047</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4.17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Consumer</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11,547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129,103</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11,253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126,369</w:t>
            </w: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loans and leases, net</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81,110</w:t>
            </w:r>
          </w:p>
        </w:tc>
        <w:tc>
          <w:tcPr>
            <w:tcW w:w="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801,998</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67,849</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677,751</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 at banks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6,622</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4,931</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6,060</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3,852</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Federal funds sold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Trading account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Investment securities**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Treasury and federal agencies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14,778</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89,052</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13,548</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86,152</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60"/>
              <w:spacing w:after="0"/>
              <w:rPr>
                <w:sz w:val="20"/>
                <w:szCs w:val="20"/>
                <w:color w:val="auto"/>
              </w:rPr>
            </w:pPr>
            <w:r>
              <w:rPr>
                <w:rFonts w:ascii="Arial" w:cs="Arial" w:eastAsia="Arial" w:hAnsi="Arial"/>
                <w:sz w:val="16"/>
                <w:szCs w:val="16"/>
                <w:color w:val="auto"/>
              </w:rPr>
              <w:t>Obligations of states and political subdivisions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1,419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1,398</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4.03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880</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11,015</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6,996</w:t>
            </w: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investment securities</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15,786</w:t>
            </w:r>
          </w:p>
        </w:tc>
        <w:tc>
          <w:tcPr>
            <w:tcW w:w="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101,486</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14,441</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94,546</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103,587</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908,734</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88,446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776,274</w:t>
            </w: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Arial" w:cs="Arial" w:eastAsia="Arial" w:hAnsi="Arial"/>
                <w:sz w:val="16"/>
                <w:szCs w:val="16"/>
                <w:color w:val="auto"/>
              </w:rPr>
              <w:t>Allowance for credit losses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(937)</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Cash and due from banks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11,064</w:t>
            </w:r>
          </w:p>
        </w:tc>
        <w:tc>
          <w:tcPr>
            <w:tcW w:w="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9,788</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115,052</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98,515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liabilities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Interest-bearing deposits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Interest-checking deposits</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260"/>
              <w:spacing w:after="0"/>
              <w:rPr>
                <w:sz w:val="20"/>
                <w:szCs w:val="20"/>
                <w:color w:val="auto"/>
              </w:rPr>
            </w:pPr>
            <w:r>
              <w:rPr>
                <w:rFonts w:ascii="Arial" w:cs="Arial" w:eastAsia="Arial" w:hAnsi="Arial"/>
                <w:sz w:val="16"/>
                <w:szCs w:val="16"/>
                <w:color w:val="auto"/>
              </w:rPr>
              <w:t>Savings deposits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45,974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13,219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41,197</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10,937</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9,686</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2,858</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3,643</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Deposits at Cayman Islands office</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57,215</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29,756</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45,570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15,091</w:t>
            </w: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Arial" w:cs="Arial" w:eastAsia="Arial" w:hAnsi="Arial"/>
                <w:sz w:val="16"/>
                <w:szCs w:val="16"/>
                <w:color w:val="auto"/>
              </w:rPr>
              <w:t>Short-term borrowings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1,615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1,575</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10,748</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64,002</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10,114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62,076</w:t>
            </w: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69,578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95,333</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55,858</w:t>
            </w: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77,199</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.55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28,443</w:t>
            </w: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28,251</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100,045</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85,728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15,007</w:t>
            </w:r>
          </w:p>
        </w:tc>
        <w:tc>
          <w:tcPr>
            <w:tcW w:w="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12,787</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115,052</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98,515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interest spread</w:t>
            </w: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2.94</w:t>
            </w:r>
          </w:p>
        </w:tc>
        <w:tc>
          <w:tcPr>
            <w:tcW w:w="3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bottom w:val="single" w:sz="8" w:color="CFF0FC"/>
            </w:tcBorders>
            <w:gridSpan w:val="3"/>
            <w:vMerge w:val="restart"/>
          </w:tcPr>
          <w:p>
            <w:pPr>
              <w:jc w:val="right"/>
              <w:spacing w:after="0"/>
              <w:rPr>
                <w:sz w:val="20"/>
                <w:szCs w:val="20"/>
                <w:color w:val="auto"/>
              </w:rPr>
            </w:pPr>
            <w:r>
              <w:rPr>
                <w:rFonts w:ascii="Arial" w:cs="Arial" w:eastAsia="Arial" w:hAnsi="Arial"/>
                <w:sz w:val="16"/>
                <w:szCs w:val="16"/>
                <w:color w:val="auto"/>
              </w:rPr>
              <w:t>2.93</w:t>
            </w:r>
          </w:p>
        </w:tc>
        <w:tc>
          <w:tcPr>
            <w:tcW w:w="3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920" w:type="dxa"/>
            <w:vAlign w:val="bottom"/>
          </w:tcPr>
          <w:p>
            <w:pPr>
              <w:spacing w:after="0"/>
              <w:rPr>
                <w:sz w:val="20"/>
                <w:szCs w:val="20"/>
                <w:color w:val="auto"/>
              </w:rPr>
            </w:pPr>
            <w:r>
              <w:rPr>
                <w:rFonts w:ascii="Arial" w:cs="Arial" w:eastAsia="Arial" w:hAnsi="Arial"/>
                <w:sz w:val="16"/>
                <w:szCs w:val="16"/>
                <w:color w:val="auto"/>
              </w:rPr>
              <w:t>Net interest income/margin 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180"/>
              <w:spacing w:after="0"/>
              <w:rPr>
                <w:sz w:val="20"/>
                <w:szCs w:val="20"/>
                <w:color w:val="auto"/>
              </w:rPr>
            </w:pPr>
            <w:r>
              <w:rPr>
                <w:rFonts w:ascii="Arial" w:cs="Arial" w:eastAsia="Arial" w:hAnsi="Arial"/>
                <w:sz w:val="16"/>
                <w:szCs w:val="16"/>
                <w:color w:val="auto"/>
              </w:rPr>
              <w:t>earning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813,401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699,075</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3.14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Item 4.Controls and Procedures.</w:t>
      </w:r>
    </w:p>
    <w:p>
      <w:pPr>
        <w:spacing w:after="0" w:line="117" w:lineRule="exact"/>
        <w:rPr>
          <w:sz w:val="20"/>
          <w:szCs w:val="20"/>
          <w:color w:val="auto"/>
        </w:rPr>
      </w:pPr>
    </w:p>
    <w:p>
      <w:pPr>
        <w:jc w:val="both"/>
        <w:ind w:right="20" w:firstLine="526"/>
        <w:spacing w:after="0" w:line="312" w:lineRule="auto"/>
        <w:tabs>
          <w:tab w:leader="none" w:pos="7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Darren J. King, Executive Vice President and Chief Financial Officer, concluded that M&amp;T’s disclosure controls and procedures were effective as of September 30, 2016.</w:t>
      </w:r>
    </w:p>
    <w:p>
      <w:pPr>
        <w:spacing w:after="0" w:line="38" w:lineRule="exact"/>
        <w:rPr>
          <w:rFonts w:ascii="Arial" w:cs="Arial" w:eastAsia="Arial" w:hAnsi="Arial"/>
          <w:sz w:val="16"/>
          <w:szCs w:val="16"/>
          <w:color w:val="auto"/>
        </w:rPr>
      </w:pPr>
    </w:p>
    <w:p>
      <w:pPr>
        <w:jc w:val="both"/>
        <w:ind w:firstLine="526"/>
        <w:spacing w:after="0" w:line="279" w:lineRule="auto"/>
        <w:tabs>
          <w:tab w:leader="none" w:pos="798"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2016 that have materially affected, or are reasonably likely to materially affect, M&amp;T’s internal control over financial reporting.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M&amp;T’s Wilmington Trust Corporation subsidiary is the subject of certain governmental investigations arising from actions undertaken by Wilmington Trust Corporation prior to M&amp;T’s acquisition of Wilmington Trust Corporation and its subsidiaries, as set forth below.</w:t>
      </w:r>
    </w:p>
    <w:p>
      <w:pPr>
        <w:spacing w:after="0" w:line="170"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i w:val="1"/>
          <w:iCs w:val="1"/>
          <w:color w:val="auto"/>
        </w:rPr>
        <w:t xml:space="preserve">DOJ Investigation (United States v. Wilmington Trust Corp., et al, District of Delaware, Crim. No. 15-23-RGA): </w:t>
      </w:r>
      <w:r>
        <w:rPr>
          <w:rFonts w:ascii="Arial" w:cs="Arial" w:eastAsia="Arial" w:hAnsi="Arial"/>
          <w:sz w:val="18"/>
          <w:szCs w:val="18"/>
          <w:color w:val="auto"/>
        </w:rPr>
        <w:t>Prior to M&amp;T’s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Wilmington Trust Corporation, the Department of Justice (“DOJ”) commenced an investigation of Wilmington Trust Corporation, relating to Wilmington Trust Corporation’s financial reporting and securities filings, as well as certain commercial real estate lending relationships involving its subsidiary bank, Wilmington Trust Company, all of which relate to filings and activities occurring prior to the acquisition of Wilmington Trust Corporation by M&amp;T. On January 6, 2016, the U.S. Attorney for the District of Delaware obtained an indictment against Wilmington Trust Corporation relating to alleged conduct that occurred prior to M&amp;T’s acquisition of Wilmington Trust Corporation in May 2011. M&amp;T strongly believes that this unprecedented action is unjustified and Wilmington Trust Corporation will vigorously defend itself. On August 26, 2016, the Court granted defendants joint motion for a continuance of the trial date. Trial in this matter is now scheduled to begin on October 2, 2017. Wilmington Trust Corporation and its counsel are currently involved in pretrial discovery, motion practice and trial preparation.</w:t>
      </w:r>
    </w:p>
    <w:p>
      <w:pPr>
        <w:spacing w:after="0" w:line="19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indictment of Wilmington Trust Corporation could result in potential criminal remedies, or criminal or non-criminal resolutions or settlements, including, among other things, enforcement actions, potential statutory or regulatory restrictions on the ability to conduct certain businesses (for which waivers may or may not be available), fines, penalties, restitution, reputational damage or additional costs and expenses.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In Re Wilmington Trust Securities Litigation (U.S. District Court, District of Delaware, Case No. 10-CV-0990-SLR) : </w:t>
      </w:r>
      <w:r>
        <w:rPr>
          <w:rFonts w:ascii="Arial" w:cs="Arial" w:eastAsia="Arial" w:hAnsi="Arial"/>
          <w:sz w:val="18"/>
          <w:szCs w:val="18"/>
          <w:color w:val="auto"/>
        </w:rPr>
        <w:t>Beginning on November 18,</w:t>
      </w:r>
      <w:r>
        <w:rPr>
          <w:rFonts w:ascii="Arial" w:cs="Arial" w:eastAsia="Arial" w:hAnsi="Arial"/>
          <w:sz w:val="18"/>
          <w:szCs w:val="18"/>
          <w:i w:val="1"/>
          <w:iCs w:val="1"/>
          <w:color w:val="auto"/>
        </w:rPr>
        <w:t xml:space="preserve"> </w:t>
      </w:r>
      <w:r>
        <w:rPr>
          <w:rFonts w:ascii="Arial" w:cs="Arial" w:eastAsia="Arial" w:hAnsi="Arial"/>
          <w:sz w:val="18"/>
          <w:szCs w:val="18"/>
          <w:color w:val="auto"/>
        </w:rPr>
        <w:t>2010, a series of parties, purporting to be class representatives, commenced a putative class action lawsuit against Wilmington Trust Corporation, alleging that Wilmington Trust Corporation’s financial reporting and securities filings were in violation of securities laws. The cases were consolidated and Wilmington Trust Corporation moved to dismiss. The Court issued 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7"/>
          <w:szCs w:val="17"/>
          <w:color w:val="auto"/>
        </w:rPr>
        <w:t xml:space="preserve">order denying Wilmington Trust Corporation’s motion to dismiss on March 20, 2014. Fact discovery commenced. On April 13, 2016, the Court issued an order staying fact discovery in the case pending completion of the trial in </w:t>
      </w:r>
      <w:r>
        <w:rPr>
          <w:rFonts w:ascii="Arial" w:cs="Arial" w:eastAsia="Arial" w:hAnsi="Arial"/>
          <w:sz w:val="17"/>
          <w:szCs w:val="17"/>
          <w:i w:val="1"/>
          <w:iCs w:val="1"/>
          <w:color w:val="auto"/>
        </w:rPr>
        <w:t>U.S. v. Wilmington Trust Corp., et al.</w:t>
      </w:r>
      <w:r>
        <w:rPr>
          <w:rFonts w:ascii="Arial" w:cs="Arial" w:eastAsia="Arial" w:hAnsi="Arial"/>
          <w:sz w:val="17"/>
          <w:szCs w:val="17"/>
          <w:color w:val="auto"/>
        </w:rPr>
        <w:t xml:space="preserve"> On September 19, 2016, the plaintiffs filed a motion to modify the stay of discovery in this matter to allow for additional, limited discovery. The motion is currently pending before the Court.</w:t>
      </w:r>
    </w:p>
    <w:p>
      <w:pPr>
        <w:spacing w:after="0" w:line="16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Due to their complex nature, it is difficult to estimate when litigation and investigatory matters such as these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2015.</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w w:val="90"/>
              </w:rPr>
              <w:t>Item 2.</w:t>
            </w:r>
          </w:p>
        </w:tc>
        <w:tc>
          <w:tcPr>
            <w:tcW w:w="60" w:type="dxa"/>
            <w:vAlign w:val="bottom"/>
          </w:tcPr>
          <w:p>
            <w:pPr>
              <w:spacing w:after="0"/>
              <w:rPr>
                <w:sz w:val="20"/>
                <w:szCs w:val="20"/>
                <w:color w:val="auto"/>
              </w:rPr>
            </w:pPr>
          </w:p>
        </w:tc>
        <w:tc>
          <w:tcPr>
            <w:tcW w:w="5160" w:type="dxa"/>
            <w:vAlign w:val="bottom"/>
            <w:gridSpan w:val="2"/>
          </w:tcPr>
          <w:p>
            <w:pPr>
              <w:ind w:left="460"/>
              <w:spacing w:after="0"/>
              <w:rPr>
                <w:sz w:val="20"/>
                <w:szCs w:val="20"/>
                <w:color w:val="auto"/>
              </w:rPr>
            </w:pPr>
            <w:r>
              <w:rPr>
                <w:rFonts w:ascii="Arial" w:cs="Arial" w:eastAsia="Arial" w:hAnsi="Arial"/>
                <w:sz w:val="18"/>
                <w:szCs w:val="18"/>
                <w:color w:val="auto"/>
                <w:w w:val="95"/>
              </w:rPr>
              <w:t>Unregistered Sales of Equity Securities and Use of Proceeds.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(a) – (b) Not applicable.</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(c)</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2"/>
              </w:rPr>
              <w:t>Issuer Purchases of Equity Securities</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spacing w:after="0" w:line="137" w:lineRule="exact"/>
              <w:rPr>
                <w:sz w:val="20"/>
                <w:szCs w:val="20"/>
                <w:color w:val="auto"/>
              </w:rPr>
            </w:pPr>
            <w:r>
              <w:rPr>
                <w:rFonts w:ascii="Arial" w:cs="Arial" w:eastAsia="Arial" w:hAnsi="Arial"/>
                <w:sz w:val="14"/>
                <w:szCs w:val="14"/>
                <w:color w:val="auto"/>
                <w:w w:val="97"/>
              </w:rPr>
              <w:t>(d)Maximum</w:t>
            </w:r>
          </w:p>
        </w:tc>
        <w:tc>
          <w:tcPr>
            <w:tcW w:w="100" w:type="dxa"/>
            <w:vAlign w:val="bottom"/>
          </w:tcPr>
          <w:p>
            <w:pPr>
              <w:spacing w:after="0"/>
              <w:rPr>
                <w:sz w:val="11"/>
                <w:szCs w:val="11"/>
                <w:color w:val="auto"/>
              </w:rPr>
            </w:pPr>
          </w:p>
        </w:tc>
      </w:tr>
      <w:tr>
        <w:trPr>
          <w:trHeight w:val="149"/>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(c)Total</w:t>
            </w:r>
          </w:p>
        </w:tc>
        <w:tc>
          <w:tcPr>
            <w:tcW w:w="28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Number (or</w:t>
            </w:r>
          </w:p>
        </w:tc>
      </w:tr>
      <w:tr>
        <w:trPr>
          <w:trHeight w:val="149"/>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28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Shares</w:t>
            </w:r>
          </w:p>
        </w:tc>
        <w:tc>
          <w:tcPr>
            <w:tcW w:w="2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r>
      <w:tr>
        <w:trPr>
          <w:trHeight w:val="149"/>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2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r>
      <w:tr>
        <w:trPr>
          <w:trHeight w:val="149"/>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9"/>
              </w:rPr>
              <w:t>Purchased</w:t>
            </w:r>
          </w:p>
        </w:tc>
        <w:tc>
          <w:tcPr>
            <w:tcW w:w="28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(or Units)</w:t>
            </w:r>
          </w:p>
        </w:tc>
      </w:tr>
      <w:tr>
        <w:trPr>
          <w:trHeight w:val="149"/>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(a)Total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as Part of</w:t>
            </w:r>
          </w:p>
        </w:tc>
        <w:tc>
          <w:tcPr>
            <w:tcW w:w="28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that may yet</w:t>
            </w:r>
          </w:p>
        </w:tc>
      </w:tr>
      <w:tr>
        <w:trPr>
          <w:trHeight w:val="149"/>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5"/>
              </w:rPr>
              <w:t>(b)Average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28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be Purchased</w:t>
            </w:r>
          </w:p>
        </w:tc>
      </w:tr>
      <w:tr>
        <w:trPr>
          <w:trHeight w:val="149"/>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Price Paid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Announced</w:t>
            </w:r>
          </w:p>
        </w:tc>
        <w:tc>
          <w:tcPr>
            <w:tcW w:w="28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Under the</w:t>
            </w:r>
          </w:p>
        </w:tc>
      </w:tr>
      <w:tr>
        <w:trPr>
          <w:trHeight w:val="149"/>
        </w:trPr>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7"/>
              </w:rPr>
              <w:t>per Share</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Plans or</w:t>
            </w:r>
          </w:p>
        </w:tc>
        <w:tc>
          <w:tcPr>
            <w:tcW w:w="2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Plans or</w:t>
            </w:r>
          </w:p>
        </w:tc>
      </w:tr>
      <w:tr>
        <w:trPr>
          <w:trHeight w:val="167"/>
        </w:trPr>
        <w:tc>
          <w:tcPr>
            <w:tcW w:w="520" w:type="dxa"/>
            <w:vAlign w:val="bottom"/>
          </w:tcPr>
          <w:p>
            <w:pPr>
              <w:spacing w:after="0"/>
              <w:rPr>
                <w:sz w:val="14"/>
                <w:szCs w:val="14"/>
                <w:color w:val="auto"/>
              </w:rPr>
            </w:pPr>
          </w:p>
        </w:tc>
        <w:tc>
          <w:tcPr>
            <w:tcW w:w="5220" w:type="dxa"/>
            <w:vAlign w:val="bottom"/>
            <w:gridSpan w:val="3"/>
          </w:tcPr>
          <w:p>
            <w:pPr>
              <w:ind w:left="60"/>
              <w:spacing w:after="0"/>
              <w:rPr>
                <w:sz w:val="20"/>
                <w:szCs w:val="20"/>
                <w:color w:val="auto"/>
              </w:rPr>
            </w:pPr>
            <w:r>
              <w:rPr>
                <w:rFonts w:ascii="Arial" w:cs="Arial" w:eastAsia="Arial" w:hAnsi="Arial"/>
                <w:sz w:val="14"/>
                <w:szCs w:val="14"/>
                <w:color w:val="auto"/>
              </w:rPr>
              <w:t>Period</w:t>
            </w: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Purchased (1)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color w:val="auto"/>
                <w:w w:val="98"/>
              </w:rPr>
              <w:t>(or Unit)</w:t>
            </w: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Programs</w:t>
            </w:r>
          </w:p>
        </w:tc>
        <w:tc>
          <w:tcPr>
            <w:tcW w:w="28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Programs (2)</w:t>
            </w:r>
          </w:p>
        </w:tc>
      </w:tr>
      <w:tr>
        <w:trPr>
          <w:trHeight w:val="223"/>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1 – July 31, 2016</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1,150,209</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114.57</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1,150,000</w:t>
            </w: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$ 1,018,000,000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August 1 – August 31, 2016</w:t>
            </w:r>
          </w:p>
        </w:tc>
        <w:tc>
          <w:tcPr>
            <w:tcW w:w="1000" w:type="dxa"/>
            <w:vAlign w:val="bottom"/>
          </w:tcPr>
          <w:p>
            <w:pPr>
              <w:jc w:val="right"/>
              <w:spacing w:after="0"/>
              <w:rPr>
                <w:sz w:val="20"/>
                <w:szCs w:val="20"/>
                <w:color w:val="auto"/>
              </w:rPr>
            </w:pPr>
            <w:r>
              <w:rPr>
                <w:rFonts w:ascii="Arial" w:cs="Arial" w:eastAsia="Arial" w:hAnsi="Arial"/>
                <w:sz w:val="18"/>
                <w:szCs w:val="18"/>
                <w:color w:val="auto"/>
              </w:rPr>
              <w:t>1,891,783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115.50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1,889,563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800,000,000</w:t>
            </w:r>
          </w:p>
        </w:tc>
        <w:tc>
          <w:tcPr>
            <w:tcW w:w="10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1 – September 30, 2016</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800,000,000</w:t>
            </w:r>
          </w:p>
        </w:tc>
        <w:tc>
          <w:tcPr>
            <w:tcW w:w="100" w:type="dxa"/>
            <w:vAlign w:val="bottom"/>
            <w:shd w:val="clear" w:color="auto" w:fill="CFF0FC"/>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5220" w:type="dxa"/>
            <w:vAlign w:val="bottom"/>
            <w:gridSpan w:val="3"/>
          </w:tcPr>
          <w:p>
            <w:pPr>
              <w:ind w:left="6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3,047,467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115.16</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3,039,563</w:t>
            </w:r>
          </w:p>
        </w:tc>
        <w:tc>
          <w:tcPr>
            <w:tcW w:w="2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54" w:lineRule="auto"/>
        <w:tabs>
          <w:tab w:leader="none" w:pos="52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2" w:lineRule="exact"/>
        <w:rPr>
          <w:rFonts w:ascii="Arial" w:cs="Arial" w:eastAsia="Arial" w:hAnsi="Arial"/>
          <w:sz w:val="18"/>
          <w:szCs w:val="18"/>
          <w:i w:val="1"/>
          <w:iCs w:val="1"/>
          <w:color w:val="auto"/>
        </w:rPr>
      </w:pPr>
    </w:p>
    <w:p>
      <w:pPr>
        <w:ind w:left="520" w:hanging="512"/>
        <w:spacing w:after="0"/>
        <w:tabs>
          <w:tab w:leader="none" w:pos="52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On July 19, 2016, M&amp;T announced a program to purchase up to $1.15 billion of its common stock through June 30, 2017.</w:t>
      </w:r>
    </w:p>
    <w:p>
      <w:pPr>
        <w:spacing w:after="0" w:line="40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Mine Safety Disclosures.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rPr>
              <w:t>Exhibits.</w:t>
            </w:r>
          </w:p>
        </w:tc>
      </w:tr>
      <w:tr>
        <w:trPr>
          <w:trHeight w:val="324"/>
        </w:trPr>
        <w:tc>
          <w:tcPr>
            <w:tcW w:w="11220" w:type="dxa"/>
            <w:vAlign w:val="bottom"/>
            <w:gridSpan w:val="3"/>
          </w:tcPr>
          <w:p>
            <w:pPr>
              <w:ind w:left="52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346"/>
        </w:trPr>
        <w:tc>
          <w:tcPr>
            <w:tcW w:w="880" w:type="dxa"/>
            <w:vAlign w:val="bottom"/>
          </w:tcPr>
          <w:p>
            <w:pPr>
              <w:ind w:left="320"/>
              <w:spacing w:after="0"/>
              <w:rPr>
                <w:sz w:val="20"/>
                <w:szCs w:val="20"/>
                <w:color w:val="auto"/>
              </w:rPr>
            </w:pPr>
            <w:r>
              <w:rPr>
                <w:rFonts w:ascii="Arial" w:cs="Arial" w:eastAsia="Arial" w:hAnsi="Arial"/>
                <w:sz w:val="14"/>
                <w:szCs w:val="14"/>
                <w:color w:val="auto"/>
              </w:rPr>
              <w:t>Exhibit</w:t>
            </w:r>
          </w:p>
        </w:tc>
        <w:tc>
          <w:tcPr>
            <w:tcW w:w="160" w:type="dxa"/>
            <w:vAlign w:val="bottom"/>
          </w:tcPr>
          <w:p>
            <w:pPr>
              <w:spacing w:after="0"/>
              <w:rPr>
                <w:sz w:val="24"/>
                <w:szCs w:val="24"/>
                <w:color w:val="auto"/>
              </w:rPr>
            </w:pPr>
          </w:p>
        </w:tc>
        <w:tc>
          <w:tcPr>
            <w:tcW w:w="10180" w:type="dxa"/>
            <w:vAlign w:val="bottom"/>
          </w:tcPr>
          <w:p>
            <w:pPr>
              <w:spacing w:after="0"/>
              <w:rPr>
                <w:sz w:val="24"/>
                <w:szCs w:val="24"/>
                <w:color w:val="auto"/>
              </w:rPr>
            </w:pPr>
          </w:p>
        </w:tc>
      </w:tr>
      <w:tr>
        <w:trPr>
          <w:trHeight w:val="167"/>
        </w:trPr>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No.</w:t>
            </w:r>
          </w:p>
        </w:tc>
        <w:tc>
          <w:tcPr>
            <w:tcW w:w="160" w:type="dxa"/>
            <w:vAlign w:val="bottom"/>
            <w:tcBorders>
              <w:bottom w:val="single" w:sz="8" w:color="auto"/>
            </w:tcBorders>
          </w:tcPr>
          <w:p>
            <w:pPr>
              <w:spacing w:after="0"/>
              <w:rPr>
                <w:sz w:val="14"/>
                <w:szCs w:val="14"/>
                <w:color w:val="auto"/>
              </w:rPr>
            </w:pPr>
          </w:p>
        </w:tc>
        <w:tc>
          <w:tcPr>
            <w:tcW w:w="10180" w:type="dxa"/>
            <w:vAlign w:val="bottom"/>
          </w:tcPr>
          <w:p>
            <w:pPr>
              <w:spacing w:after="0"/>
              <w:rPr>
                <w:sz w:val="14"/>
                <w:szCs w:val="14"/>
                <w:color w:val="auto"/>
              </w:rPr>
            </w:pPr>
          </w:p>
        </w:tc>
      </w:tr>
      <w:tr>
        <w:trPr>
          <w:trHeight w:val="453"/>
        </w:trPr>
        <w:tc>
          <w:tcPr>
            <w:tcW w:w="880" w:type="dxa"/>
            <w:vAlign w:val="bottom"/>
          </w:tcPr>
          <w:p>
            <w:pPr>
              <w:ind w:left="1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38"/>
        </w:trPr>
        <w:tc>
          <w:tcPr>
            <w:tcW w:w="880" w:type="dxa"/>
            <w:vAlign w:val="bottom"/>
          </w:tcPr>
          <w:p>
            <w:pPr>
              <w:ind w:left="1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38"/>
        </w:trPr>
        <w:tc>
          <w:tcPr>
            <w:tcW w:w="880" w:type="dxa"/>
            <w:vAlign w:val="bottom"/>
          </w:tcPr>
          <w:p>
            <w:pPr>
              <w:ind w:left="1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38"/>
        </w:trPr>
        <w:tc>
          <w:tcPr>
            <w:tcW w:w="880" w:type="dxa"/>
            <w:vAlign w:val="bottom"/>
          </w:tcPr>
          <w:p>
            <w:pPr>
              <w:ind w:left="10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rPr>
              <w:t>XBRL Instance Document.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rPr>
              <w:t>XBRL Taxonomy Extension Schema.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rPr>
              <w:t>XBRL Taxonomy Definition Linkbase. Filed herewith.</w:t>
            </w: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3040"/>
              <w:spacing w:after="0"/>
              <w:rPr>
                <w:sz w:val="20"/>
                <w:szCs w:val="20"/>
                <w:color w:val="auto"/>
              </w:rPr>
            </w:pPr>
            <w:r>
              <w:rPr>
                <w:rFonts w:ascii="Arial" w:cs="Arial" w:eastAsia="Arial" w:hAnsi="Arial"/>
                <w:sz w:val="18"/>
                <w:szCs w:val="18"/>
                <w:color w:val="auto"/>
              </w:rPr>
              <w:t>M&amp;T BANK CORPORATION</w:t>
            </w:r>
          </w:p>
        </w:tc>
        <w:tc>
          <w:tcPr>
            <w:tcW w:w="20" w:type="dxa"/>
            <w:vAlign w:val="bottom"/>
          </w:tcPr>
          <w:p>
            <w:pPr>
              <w:spacing w:after="0"/>
              <w:rPr>
                <w:sz w:val="20"/>
                <w:szCs w:val="20"/>
                <w:color w:val="auto"/>
              </w:rPr>
            </w:pP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November 3, 2016</w:t>
            </w:r>
          </w:p>
        </w:tc>
        <w:tc>
          <w:tcPr>
            <w:tcW w:w="7760" w:type="dxa"/>
            <w:vAlign w:val="bottom"/>
            <w:gridSpan w:val="2"/>
          </w:tcPr>
          <w:p>
            <w:pPr>
              <w:ind w:left="3040"/>
              <w:spacing w:after="0"/>
              <w:rPr>
                <w:sz w:val="20"/>
                <w:szCs w:val="20"/>
                <w:color w:val="auto"/>
              </w:rPr>
            </w:pPr>
            <w:r>
              <w:rPr>
                <w:rFonts w:ascii="Arial" w:cs="Arial" w:eastAsia="Arial" w:hAnsi="Arial"/>
                <w:sz w:val="18"/>
                <w:szCs w:val="18"/>
                <w:color w:val="auto"/>
              </w:rPr>
              <w:t>By:  /s/ Darren J. King</w:t>
            </w:r>
          </w:p>
        </w:tc>
        <w:tc>
          <w:tcPr>
            <w:tcW w:w="2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Darren J. King</w:t>
            </w:r>
          </w:p>
        </w:tc>
        <w:tc>
          <w:tcPr>
            <w:tcW w:w="2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20" w:type="dxa"/>
            <w:vAlign w:val="bottom"/>
          </w:tcPr>
          <w:p>
            <w:pPr>
              <w:spacing w:after="0"/>
              <w:rPr>
                <w:sz w:val="20"/>
                <w:szCs w:val="20"/>
                <w:color w:val="auto"/>
              </w:rPr>
            </w:pPr>
          </w:p>
        </w:tc>
      </w:tr>
      <w:tr>
        <w:trPr>
          <w:trHeight w:val="864"/>
        </w:trPr>
        <w:tc>
          <w:tcPr>
            <w:tcW w:w="3660" w:type="dxa"/>
            <w:vAlign w:val="bottom"/>
          </w:tcPr>
          <w:p>
            <w:pPr>
              <w:spacing w:after="0"/>
              <w:rPr>
                <w:sz w:val="24"/>
                <w:szCs w:val="24"/>
                <w:color w:val="auto"/>
              </w:rPr>
            </w:pPr>
          </w:p>
        </w:tc>
        <w:tc>
          <w:tcPr>
            <w:tcW w:w="3500" w:type="dxa"/>
            <w:vAlign w:val="bottom"/>
          </w:tcPr>
          <w:p>
            <w:pPr>
              <w:jc w:val="right"/>
              <w:ind w:right="1170"/>
              <w:spacing w:after="0"/>
              <w:rPr>
                <w:sz w:val="20"/>
                <w:szCs w:val="20"/>
                <w:color w:val="auto"/>
              </w:rPr>
            </w:pPr>
            <w:r>
              <w:rPr>
                <w:rFonts w:ascii="Arial" w:cs="Arial" w:eastAsia="Arial" w:hAnsi="Arial"/>
                <w:sz w:val="18"/>
                <w:szCs w:val="18"/>
                <w:color w:val="auto"/>
              </w:rPr>
              <w:t>- 84 -</w:t>
            </w: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0160" w:type="dxa"/>
            <w:vAlign w:val="bottom"/>
          </w:tcPr>
          <w:p>
            <w:pPr>
              <w:ind w:left="4180"/>
              <w:spacing w:after="0"/>
              <w:rPr>
                <w:sz w:val="20"/>
                <w:szCs w:val="20"/>
                <w:color w:val="auto"/>
              </w:rPr>
            </w:pPr>
            <w:r>
              <w:rPr>
                <w:rFonts w:ascii="Arial" w:cs="Arial" w:eastAsia="Arial" w:hAnsi="Arial"/>
                <w:sz w:val="18"/>
                <w:szCs w:val="18"/>
                <w:color w:val="auto"/>
              </w:rPr>
              <w:t>EXHIBIT INDEX</w:t>
            </w:r>
          </w:p>
        </w:tc>
      </w:tr>
      <w:tr>
        <w:trPr>
          <w:trHeight w:val="346"/>
        </w:trPr>
        <w:tc>
          <w:tcPr>
            <w:tcW w:w="880" w:type="dxa"/>
            <w:vAlign w:val="bottom"/>
          </w:tcPr>
          <w:p>
            <w:pPr>
              <w:ind w:left="220"/>
              <w:spacing w:after="0"/>
              <w:rPr>
                <w:sz w:val="20"/>
                <w:szCs w:val="20"/>
                <w:color w:val="auto"/>
              </w:rPr>
            </w:pPr>
            <w:r>
              <w:rPr>
                <w:rFonts w:ascii="Arial" w:cs="Arial" w:eastAsia="Arial" w:hAnsi="Arial"/>
                <w:sz w:val="14"/>
                <w:szCs w:val="14"/>
                <w:color w:val="auto"/>
              </w:rPr>
              <w:t>Exhibit</w:t>
            </w:r>
          </w:p>
        </w:tc>
        <w:tc>
          <w:tcPr>
            <w:tcW w:w="10160" w:type="dxa"/>
            <w:vAlign w:val="bottom"/>
          </w:tcPr>
          <w:p>
            <w:pPr>
              <w:spacing w:after="0"/>
              <w:rPr>
                <w:sz w:val="24"/>
                <w:szCs w:val="24"/>
                <w:color w:val="auto"/>
              </w:rPr>
            </w:pPr>
          </w:p>
        </w:tc>
      </w:tr>
      <w:tr>
        <w:trPr>
          <w:trHeight w:val="167"/>
        </w:trPr>
        <w:tc>
          <w:tcPr>
            <w:tcW w:w="8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No.</w:t>
            </w:r>
          </w:p>
        </w:tc>
        <w:tc>
          <w:tcPr>
            <w:tcW w:w="10160" w:type="dxa"/>
            <w:vAlign w:val="bottom"/>
          </w:tcPr>
          <w:p>
            <w:pPr>
              <w:spacing w:after="0"/>
              <w:rPr>
                <w:sz w:val="14"/>
                <w:szCs w:val="14"/>
                <w:color w:val="auto"/>
              </w:rPr>
            </w:pPr>
          </w:p>
        </w:tc>
      </w:tr>
      <w:tr>
        <w:trPr>
          <w:trHeight w:val="453"/>
        </w:trPr>
        <w:tc>
          <w:tcPr>
            <w:tcW w:w="880" w:type="dxa"/>
            <w:vAlign w:val="bottom"/>
          </w:tcPr>
          <w:p>
            <w:pPr>
              <w:ind w:left="100"/>
              <w:spacing w:after="0"/>
              <w:rPr>
                <w:sz w:val="20"/>
                <w:szCs w:val="20"/>
                <w:color w:val="auto"/>
              </w:rPr>
            </w:pPr>
            <w:r>
              <w:rPr>
                <w:rFonts w:ascii="Arial" w:cs="Arial" w:eastAsia="Arial" w:hAnsi="Arial"/>
                <w:sz w:val="18"/>
                <w:szCs w:val="18"/>
                <w:color w:val="auto"/>
              </w:rPr>
              <w:t>31.1</w:t>
            </w:r>
          </w:p>
        </w:tc>
        <w:tc>
          <w:tcPr>
            <w:tcW w:w="1016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38"/>
        </w:trPr>
        <w:tc>
          <w:tcPr>
            <w:tcW w:w="880" w:type="dxa"/>
            <w:vAlign w:val="bottom"/>
          </w:tcPr>
          <w:p>
            <w:pPr>
              <w:ind w:left="100"/>
              <w:spacing w:after="0"/>
              <w:rPr>
                <w:sz w:val="20"/>
                <w:szCs w:val="20"/>
                <w:color w:val="auto"/>
              </w:rPr>
            </w:pPr>
            <w:r>
              <w:rPr>
                <w:rFonts w:ascii="Arial" w:cs="Arial" w:eastAsia="Arial" w:hAnsi="Arial"/>
                <w:sz w:val="18"/>
                <w:szCs w:val="18"/>
                <w:color w:val="auto"/>
              </w:rPr>
              <w:t>31.2</w:t>
            </w:r>
          </w:p>
        </w:tc>
        <w:tc>
          <w:tcPr>
            <w:tcW w:w="1016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38"/>
        </w:trPr>
        <w:tc>
          <w:tcPr>
            <w:tcW w:w="880" w:type="dxa"/>
            <w:vAlign w:val="bottom"/>
          </w:tcPr>
          <w:p>
            <w:pPr>
              <w:ind w:left="100"/>
              <w:spacing w:after="0"/>
              <w:rPr>
                <w:sz w:val="20"/>
                <w:szCs w:val="20"/>
                <w:color w:val="auto"/>
              </w:rPr>
            </w:pPr>
            <w:r>
              <w:rPr>
                <w:rFonts w:ascii="Arial" w:cs="Arial" w:eastAsia="Arial" w:hAnsi="Arial"/>
                <w:sz w:val="18"/>
                <w:szCs w:val="18"/>
                <w:color w:val="auto"/>
              </w:rPr>
              <w:t>32.1</w:t>
            </w:r>
          </w:p>
        </w:tc>
        <w:tc>
          <w:tcPr>
            <w:tcW w:w="10160" w:type="dxa"/>
            <w:vAlign w:val="bottom"/>
          </w:tcPr>
          <w:p>
            <w:pPr>
              <w:ind w:left="10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38"/>
        </w:trPr>
        <w:tc>
          <w:tcPr>
            <w:tcW w:w="880" w:type="dxa"/>
            <w:vAlign w:val="bottom"/>
          </w:tcPr>
          <w:p>
            <w:pPr>
              <w:ind w:left="100"/>
              <w:spacing w:after="0"/>
              <w:rPr>
                <w:sz w:val="20"/>
                <w:szCs w:val="20"/>
                <w:color w:val="auto"/>
              </w:rPr>
            </w:pPr>
            <w:r>
              <w:rPr>
                <w:rFonts w:ascii="Arial" w:cs="Arial" w:eastAsia="Arial" w:hAnsi="Arial"/>
                <w:sz w:val="18"/>
                <w:szCs w:val="18"/>
                <w:color w:val="auto"/>
              </w:rPr>
              <w:t>32.2</w:t>
            </w:r>
          </w:p>
        </w:tc>
        <w:tc>
          <w:tcPr>
            <w:tcW w:w="10160" w:type="dxa"/>
            <w:vAlign w:val="bottom"/>
          </w:tcPr>
          <w:p>
            <w:pPr>
              <w:ind w:left="10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100"/>
              <w:spacing w:after="0"/>
              <w:rPr>
                <w:sz w:val="20"/>
                <w:szCs w:val="20"/>
                <w:color w:val="auto"/>
              </w:rPr>
            </w:pPr>
            <w:r>
              <w:rPr>
                <w:rFonts w:ascii="Arial" w:cs="Arial" w:eastAsia="Arial" w:hAnsi="Arial"/>
                <w:sz w:val="18"/>
                <w:szCs w:val="18"/>
                <w:color w:val="auto"/>
              </w:rPr>
              <w:t>XBRL Instance Document.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100"/>
              <w:spacing w:after="0"/>
              <w:rPr>
                <w:sz w:val="20"/>
                <w:szCs w:val="20"/>
                <w:color w:val="auto"/>
              </w:rPr>
            </w:pPr>
            <w:r>
              <w:rPr>
                <w:rFonts w:ascii="Arial" w:cs="Arial" w:eastAsia="Arial" w:hAnsi="Arial"/>
                <w:sz w:val="18"/>
                <w:szCs w:val="18"/>
                <w:color w:val="auto"/>
              </w:rPr>
              <w:t>XBRL Taxonomy Extension Schema.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100"/>
              <w:spacing w:after="0"/>
              <w:rPr>
                <w:sz w:val="20"/>
                <w:szCs w:val="20"/>
                <w:color w:val="auto"/>
              </w:rPr>
            </w:pPr>
            <w:r>
              <w:rPr>
                <w:rFonts w:ascii="Arial" w:cs="Arial" w:eastAsia="Arial" w:hAnsi="Arial"/>
                <w:sz w:val="18"/>
                <w:szCs w:val="18"/>
                <w:color w:val="auto"/>
              </w:rPr>
              <w:t>XBRL Taxonomy Definition Linkbase. Filed herewith.</w:t>
            </w:r>
          </w:p>
        </w:tc>
      </w:tr>
      <w:tr>
        <w:trPr>
          <w:trHeight w:val="864"/>
        </w:trPr>
        <w:tc>
          <w:tcPr>
            <w:tcW w:w="880" w:type="dxa"/>
            <w:vAlign w:val="bottom"/>
          </w:tcPr>
          <w:p>
            <w:pPr>
              <w:spacing w:after="0"/>
              <w:rPr>
                <w:sz w:val="24"/>
                <w:szCs w:val="24"/>
                <w:color w:val="auto"/>
              </w:rPr>
            </w:pPr>
          </w:p>
        </w:tc>
        <w:tc>
          <w:tcPr>
            <w:tcW w:w="10160" w:type="dxa"/>
            <w:vAlign w:val="bottom"/>
          </w:tcPr>
          <w:p>
            <w:pPr>
              <w:ind w:left="4640"/>
              <w:spacing w:after="0"/>
              <w:rPr>
                <w:sz w:val="20"/>
                <w:szCs w:val="20"/>
                <w:color w:val="auto"/>
              </w:rPr>
            </w:pPr>
            <w:r>
              <w:rPr>
                <w:rFonts w:ascii="Arial" w:cs="Arial" w:eastAsia="Arial" w:hAnsi="Arial"/>
                <w:sz w:val="18"/>
                <w:szCs w:val="18"/>
                <w:color w:val="auto"/>
              </w:rPr>
              <w:t>- 85 -</w:t>
            </w:r>
          </w:p>
        </w:tc>
      </w:tr>
    </w:tbl>
    <w:p>
      <w:pPr>
        <w:sectPr>
          <w:pgSz w:w="11900" w:h="16838" w:orient="portrait"/>
          <w:cols w:equalWidth="0" w:num="1">
            <w:col w:w="11040"/>
          </w:cols>
          <w:pgMar w:left="240" w:top="341" w:right="61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jc w:val="both"/>
        <w:ind w:left="440" w:hanging="432"/>
        <w:spacing w:after="0" w:line="271"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6"/>
          <w:szCs w:val="16"/>
          <w:color w:val="auto"/>
        </w:rPr>
      </w:pPr>
    </w:p>
    <w:p>
      <w:pPr>
        <w:ind w:left="440" w:hanging="432"/>
        <w:spacing w:after="0" w:line="22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jc w:val="both"/>
        <w:ind w:left="440" w:hanging="432"/>
        <w:spacing w:after="0" w:line="214"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left="440" w:hanging="432"/>
        <w:spacing w:after="0" w:line="214"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8"/>
          <w:szCs w:val="18"/>
          <w:color w:val="auto"/>
        </w:rPr>
      </w:pPr>
    </w:p>
    <w:p>
      <w:pPr>
        <w:jc w:val="both"/>
        <w:ind w:left="440" w:hanging="432"/>
        <w:spacing w:after="0" w:line="214"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8"/>
          <w:szCs w:val="18"/>
          <w:color w:val="auto"/>
        </w:rPr>
      </w:pPr>
    </w:p>
    <w:p>
      <w:pPr>
        <w:ind w:left="440" w:right="20" w:hanging="432"/>
        <w:spacing w:after="0" w:line="22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Arial" w:cs="Arial" w:eastAsia="Arial" w:hAnsi="Arial"/>
          <w:sz w:val="18"/>
          <w:szCs w:val="18"/>
          <w:color w:val="auto"/>
        </w:rPr>
      </w:pPr>
    </w:p>
    <w:p>
      <w:pPr>
        <w:jc w:val="both"/>
        <w:ind w:left="440" w:hanging="432"/>
        <w:spacing w:after="0" w:line="214"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5" w:lineRule="exact"/>
        <w:rPr>
          <w:sz w:val="20"/>
          <w:szCs w:val="20"/>
          <w:color w:val="auto"/>
        </w:rPr>
      </w:pPr>
    </w:p>
    <w:p>
      <w:pPr>
        <w:ind w:left="440" w:hanging="432"/>
        <w:spacing w:after="0" w:line="241"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left="440" w:right="20" w:hanging="432"/>
        <w:spacing w:after="0" w:line="227"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Arial" w:cs="Arial" w:eastAsia="Arial" w:hAnsi="Arial"/>
          <w:sz w:val="18"/>
          <w:szCs w:val="18"/>
          <w:color w:val="auto"/>
        </w:rPr>
      </w:pPr>
    </w:p>
    <w:p>
      <w:pPr>
        <w:ind w:left="440" w:hanging="432"/>
        <w:spacing w:after="0" w:line="227"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00" w:lineRule="exact"/>
        <w:rPr>
          <w:sz w:val="20"/>
          <w:szCs w:val="20"/>
          <w:color w:val="auto"/>
        </w:rPr>
      </w:pPr>
    </w:p>
    <w:p>
      <w:pPr>
        <w:spacing w:after="0" w:line="2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5641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of the Board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0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31.2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Darren J. King, certify that:</w:t>
      </w:r>
    </w:p>
    <w:p>
      <w:pPr>
        <w:spacing w:after="0" w:line="117"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jc w:val="both"/>
        <w:ind w:left="440" w:hanging="432"/>
        <w:spacing w:after="0" w:line="271" w:lineRule="auto"/>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6"/>
          <w:szCs w:val="16"/>
          <w:color w:val="auto"/>
        </w:rPr>
      </w:pPr>
    </w:p>
    <w:p>
      <w:pPr>
        <w:ind w:left="440" w:hanging="432"/>
        <w:spacing w:after="0" w:line="227"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jc w:val="both"/>
        <w:ind w:left="440" w:hanging="432"/>
        <w:spacing w:after="0" w:line="214"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left="440" w:hanging="432"/>
        <w:spacing w:after="0" w:line="214"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8"/>
          <w:szCs w:val="18"/>
          <w:color w:val="auto"/>
        </w:rPr>
      </w:pPr>
    </w:p>
    <w:p>
      <w:pPr>
        <w:jc w:val="both"/>
        <w:ind w:left="440" w:hanging="432"/>
        <w:spacing w:after="0" w:line="214"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8"/>
          <w:szCs w:val="18"/>
          <w:color w:val="auto"/>
        </w:rPr>
      </w:pPr>
    </w:p>
    <w:p>
      <w:pPr>
        <w:ind w:left="440" w:right="20" w:hanging="432"/>
        <w:spacing w:after="0" w:line="22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Arial" w:cs="Arial" w:eastAsia="Arial" w:hAnsi="Arial"/>
          <w:sz w:val="18"/>
          <w:szCs w:val="18"/>
          <w:color w:val="auto"/>
        </w:rPr>
      </w:pPr>
    </w:p>
    <w:p>
      <w:pPr>
        <w:jc w:val="both"/>
        <w:ind w:left="440" w:hanging="432"/>
        <w:spacing w:after="0" w:line="214"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5" w:lineRule="exact"/>
        <w:rPr>
          <w:sz w:val="20"/>
          <w:szCs w:val="20"/>
          <w:color w:val="auto"/>
        </w:rPr>
      </w:pPr>
    </w:p>
    <w:p>
      <w:pPr>
        <w:ind w:left="440" w:hanging="432"/>
        <w:spacing w:after="0" w:line="241"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left="440" w:right="20" w:hanging="432"/>
        <w:spacing w:after="0" w:line="22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Arial" w:cs="Arial" w:eastAsia="Arial" w:hAnsi="Arial"/>
          <w:sz w:val="18"/>
          <w:szCs w:val="18"/>
          <w:color w:val="auto"/>
        </w:rPr>
      </w:pPr>
    </w:p>
    <w:p>
      <w:pPr>
        <w:ind w:left="440" w:hanging="432"/>
        <w:spacing w:after="0" w:line="22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00" w:lineRule="exact"/>
        <w:rPr>
          <w:sz w:val="20"/>
          <w:szCs w:val="20"/>
          <w:color w:val="auto"/>
        </w:rPr>
      </w:pPr>
    </w:p>
    <w:p>
      <w:pPr>
        <w:spacing w:after="0" w:line="29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25984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00" w:right="239" w:bottom="1440" w:gutter="0" w:footer="0" w:header="0"/>
        </w:sectPr>
      </w:pPr>
    </w:p>
    <w:bookmarkStart w:id="87" w:name="page88"/>
    <w:bookmarkEnd w:id="87"/>
    <w:p>
      <w:pPr>
        <w:ind w:left="10340"/>
        <w:spacing w:after="0"/>
        <w:rPr>
          <w:sz w:val="20"/>
          <w:szCs w:val="20"/>
          <w:color w:val="auto"/>
        </w:rPr>
      </w:pPr>
      <w:r>
        <w:rPr>
          <w:rFonts w:ascii="Arial" w:cs="Arial" w:eastAsia="Arial" w:hAnsi="Arial"/>
          <w:sz w:val="17"/>
          <w:szCs w:val="17"/>
          <w:color w:val="auto"/>
        </w:rPr>
        <w:t>EXHIBIT 32.1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170" w:lineRule="exact"/>
        <w:rPr>
          <w:sz w:val="20"/>
          <w:szCs w:val="20"/>
          <w:color w:val="auto"/>
        </w:rPr>
      </w:pPr>
    </w:p>
    <w:p>
      <w:pPr>
        <w:jc w:val="both"/>
        <w:ind w:left="1900" w:right="1900" w:hanging="947"/>
        <w:spacing w:after="0" w:line="264" w:lineRule="auto"/>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September 30, 2016 (the "Report") fully complies with the requirements of Section 13(a) or 15(d) of the Securities Exchange Act of 1934 (15 U.S.C. 78m or 78o(d)); and</w:t>
      </w:r>
    </w:p>
    <w:p>
      <w:pPr>
        <w:spacing w:after="0" w:line="181" w:lineRule="exact"/>
        <w:rPr>
          <w:rFonts w:ascii="Arial" w:cs="Arial" w:eastAsia="Arial" w:hAnsi="Arial"/>
          <w:sz w:val="18"/>
          <w:szCs w:val="18"/>
          <w:color w:val="auto"/>
        </w:rPr>
      </w:pPr>
    </w:p>
    <w:p>
      <w:pPr>
        <w:ind w:left="1900" w:right="1900" w:hanging="947"/>
        <w:spacing w:after="0" w:line="277" w:lineRule="auto"/>
        <w:tabs>
          <w:tab w:leader="none" w:pos="1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522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November 3, 2016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88" w:name="page89"/>
    <w:bookmarkEnd w:id="88"/>
    <w:p>
      <w:pPr>
        <w:ind w:left="10340"/>
        <w:spacing w:after="0"/>
        <w:rPr>
          <w:sz w:val="20"/>
          <w:szCs w:val="20"/>
          <w:color w:val="auto"/>
        </w:rPr>
      </w:pPr>
      <w:r>
        <w:rPr>
          <w:rFonts w:ascii="Arial" w:cs="Arial" w:eastAsia="Arial" w:hAnsi="Arial"/>
          <w:sz w:val="17"/>
          <w:szCs w:val="17"/>
          <w:color w:val="auto"/>
        </w:rPr>
        <w:t>EXHIBIT 32.2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Darren J. King, Executive Vice President and Chief Financial Officer of M&amp;T Bank Corporation, certify, pursuant to Section 906 of the Sarbanes-Oxley Act of 2002, 18 U.S.C. Section 1350, that:</w:t>
      </w:r>
    </w:p>
    <w:p>
      <w:pPr>
        <w:spacing w:after="0" w:line="170" w:lineRule="exact"/>
        <w:rPr>
          <w:sz w:val="20"/>
          <w:szCs w:val="20"/>
          <w:color w:val="auto"/>
        </w:rPr>
      </w:pPr>
    </w:p>
    <w:p>
      <w:pPr>
        <w:jc w:val="both"/>
        <w:ind w:left="1900" w:right="1900" w:hanging="947"/>
        <w:spacing w:after="0" w:line="264" w:lineRule="auto"/>
        <w:tabs>
          <w:tab w:leader="none" w:pos="1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September 30, 2016 (the "Report") fully complies with the requirements of Section 13(a) or 15(d) of the Securities Exchange Act of 1934 (15 U.S.C. 78m or 78o(d)); and</w:t>
      </w:r>
    </w:p>
    <w:p>
      <w:pPr>
        <w:spacing w:after="0" w:line="181" w:lineRule="exact"/>
        <w:rPr>
          <w:rFonts w:ascii="Arial" w:cs="Arial" w:eastAsia="Arial" w:hAnsi="Arial"/>
          <w:sz w:val="18"/>
          <w:szCs w:val="18"/>
          <w:color w:val="auto"/>
        </w:rPr>
      </w:pPr>
    </w:p>
    <w:p>
      <w:pPr>
        <w:ind w:left="1900" w:right="1900" w:hanging="947"/>
        <w:spacing w:after="0" w:line="277" w:lineRule="auto"/>
        <w:tabs>
          <w:tab w:leader="none" w:pos="1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Darren J.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522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November 3, 2016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1"/>
    </w:lvl>
    <w:lvl w:ilvl="1">
      <w:lvlJc w:val="left"/>
      <w:lvlText w:val="-"/>
      <w:numFmt w:val="bullet"/>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1"/>
    </w:lvl>
    <w:lvl w:ilvl="1">
      <w:lvlJc w:val="left"/>
      <w:lvlText w:val="-"/>
      <w:numFmt w:val="bullet"/>
      <w:start w:val="1"/>
    </w:lvl>
  </w:abstractNum>
  <w:abstractNum w:abstractNumId="6">
    <w:nsid w:val="4353D0CD"/>
    <w:multiLevelType w:val="hybridMultilevel"/>
    <w:lvl w:ilvl="0">
      <w:lvlJc w:val="left"/>
      <w:lvlText w:val="(%1)"/>
      <w:numFmt w:val="lowerLetter"/>
      <w:start w:val="1"/>
    </w:lvl>
    <w:lvl w:ilvl="1">
      <w:lvlJc w:val="left"/>
      <w:lvlText w:val="-"/>
      <w:numFmt w:val="bullet"/>
      <w:start w:val="1"/>
    </w:lvl>
  </w:abstractNum>
  <w:abstractNum w:abstractNumId="7">
    <w:nsid w:val="B03E0C6"/>
    <w:multiLevelType w:val="hybridMultilevel"/>
    <w:lvl w:ilvl="0">
      <w:lvlJc w:val="left"/>
      <w:lvlText w:val="(%1)"/>
      <w:numFmt w:val="lowerLetter"/>
      <w:start w:val="1"/>
    </w:lvl>
    <w:lvl w:ilvl="1">
      <w:lvlJc w:val="left"/>
      <w:lvlText w:val="-"/>
      <w:numFmt w:val="bullet"/>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
      <w:numFmt w:val="bullet"/>
      <w:start w:val="1"/>
    </w:lvl>
    <w:lvl w:ilvl="1">
      <w:lvlJc w:val="left"/>
      <w:lvlText w:val="-"/>
      <w:numFmt w:val="bullet"/>
      <w:start w:val="1"/>
    </w:lvl>
  </w:abstractNum>
  <w:abstractNum w:abstractNumId="16">
    <w:nsid w:val="1E7FF521"/>
    <w:multiLevelType w:val="hybridMultilevel"/>
    <w:lvl w:ilvl="0">
      <w:lvlJc w:val="left"/>
      <w:lvlText w:val="%1."/>
      <w:numFmt w:val="decimal"/>
      <w:start w:val="12"/>
    </w:lvl>
    <w:lvl w:ilvl="1">
      <w:lvlJc w:val="left"/>
      <w:lvlText w:val="•"/>
      <w:numFmt w:val="bullet"/>
      <w:start w:val="1"/>
    </w:lvl>
  </w:abstractNum>
  <w:abstractNum w:abstractNumId="17">
    <w:nsid w:val="7C3DBD3D"/>
    <w:multiLevelType w:val="hybridMultilevel"/>
    <w:lvl w:ilvl="0">
      <w:lvlJc w:val="left"/>
      <w:lvlText w:val="(%1)"/>
      <w:numFmt w:val="lowerLetter"/>
      <w:start w:val="1"/>
    </w:lvl>
    <w:lvl w:ilvl="1">
      <w:lvlJc w:val="left"/>
      <w:lvlText w:val="-"/>
      <w:numFmt w:val="bullet"/>
      <w:start w:val="1"/>
    </w:lvl>
  </w:abstractNum>
  <w:abstractNum w:abstractNumId="18">
    <w:nsid w:val="737B8DDC"/>
    <w:multiLevelType w:val="hybridMultilevel"/>
    <w:lvl w:ilvl="0">
      <w:lvlJc w:val="left"/>
      <w:lvlText w:val="(%1)"/>
      <w:numFmt w:val="lowerLetter"/>
      <w:start w:val="1"/>
    </w:lvl>
    <w:lvl w:ilvl="1">
      <w:lvlJc w:val="left"/>
      <w:lvlText w:val="-"/>
      <w:numFmt w:val="bullet"/>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1"/>
    </w:lvl>
    <w:lvl w:ilvl="1">
      <w:lvlJc w:val="left"/>
      <w:lvlText w:val="-"/>
      <w:numFmt w:val="bullet"/>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Roman"/>
      <w:start w:val="2"/>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Letter"/>
      <w:start w:val="1"/>
    </w:lvl>
    <w:lvl w:ilvl="1">
      <w:lvlJc w:val="left"/>
      <w:lvlText w:val="-"/>
      <w:numFmt w:val="bullet"/>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2019-12-29T10:16:24Z</dcterms:created>
  <dcterms:modified xsi:type="dcterms:W3CDTF">2019-12-29T10:16:24Z</dcterms:modified>
</cp:coreProperties>
</file>