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left="520" w:right="40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M&amp;T BANK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592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149"/>
        </w:trPr>
        <w:tc>
          <w:tcPr>
            <w:tcW w:w="26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920" w:type="dxa"/>
            <w:vAlign w:val="bottom"/>
          </w:tcPr>
          <w:p>
            <w:pPr>
              <w:jc w:val="center"/>
              <w:ind w:left="47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920" w:type="dxa"/>
            <w:vAlign w:val="bottom"/>
          </w:tcPr>
          <w:p>
            <w:pPr>
              <w:jc w:val="center"/>
              <w:ind w:left="47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One M &amp; T Plaza</w:t>
            </w:r>
          </w:p>
        </w:tc>
        <w:tc>
          <w:tcPr>
            <w:tcW w:w="5920" w:type="dxa"/>
            <w:vAlign w:val="bottom"/>
          </w:tcPr>
          <w:p>
            <w:pPr>
              <w:spacing w:after="0"/>
              <w:rPr>
                <w:sz w:val="24"/>
                <w:szCs w:val="24"/>
                <w:color w:val="auto"/>
              </w:rPr>
            </w:pPr>
          </w:p>
        </w:tc>
      </w:tr>
      <w:tr>
        <w:trPr>
          <w:trHeight w:val="214"/>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92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190"/>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920" w:type="dxa"/>
            <w:vAlign w:val="bottom"/>
          </w:tcPr>
          <w:p>
            <w:pPr>
              <w:jc w:val="center"/>
              <w:ind w:left="47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2680" w:type="dxa"/>
            <w:vAlign w:val="bottom"/>
          </w:tcPr>
          <w:p>
            <w:pPr>
              <w:spacing w:after="0"/>
              <w:rPr>
                <w:sz w:val="24"/>
                <w:szCs w:val="24"/>
                <w:color w:val="auto"/>
              </w:rPr>
            </w:pPr>
          </w:p>
        </w:tc>
        <w:tc>
          <w:tcPr>
            <w:tcW w:w="5920" w:type="dxa"/>
            <w:vAlign w:val="bottom"/>
          </w:tcPr>
          <w:p>
            <w:pPr>
              <w:jc w:val="right"/>
              <w:ind w:right="3340"/>
              <w:spacing w:after="0"/>
              <w:rPr>
                <w:sz w:val="20"/>
                <w:szCs w:val="20"/>
                <w:color w:val="auto"/>
              </w:rPr>
            </w:pPr>
            <w:r>
              <w:rPr>
                <w:rFonts w:ascii="Times New Roman" w:cs="Times New Roman" w:eastAsia="Times New Roman" w:hAnsi="Times New Roman"/>
                <w:sz w:val="18"/>
                <w:szCs w:val="18"/>
                <w:b w:val="1"/>
                <w:bCs w:val="1"/>
                <w:color w:val="auto"/>
              </w:rPr>
              <w:t>(716) 635-4000</w:t>
            </w:r>
          </w:p>
        </w:tc>
      </w:tr>
      <w:tr>
        <w:trPr>
          <w:trHeight w:val="190"/>
        </w:trPr>
        <w:tc>
          <w:tcPr>
            <w:tcW w:w="2680" w:type="dxa"/>
            <w:vAlign w:val="bottom"/>
          </w:tcPr>
          <w:p>
            <w:pPr>
              <w:spacing w:after="0"/>
              <w:rPr>
                <w:sz w:val="16"/>
                <w:szCs w:val="16"/>
                <w:color w:val="auto"/>
              </w:rPr>
            </w:pPr>
          </w:p>
        </w:tc>
        <w:tc>
          <w:tcPr>
            <w:tcW w:w="5920" w:type="dxa"/>
            <w:vAlign w:val="bottom"/>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92075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10"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73" w:lineRule="exact"/>
        <w:tabs>
          <w:tab w:leader="none" w:pos="540" w:val="left"/>
        </w:tabs>
        <w:rPr>
          <w:sz w:val="20"/>
          <w:szCs w:val="20"/>
          <w:color w:val="auto"/>
        </w:rPr>
      </w:pPr>
      <w:r>
        <w:rPr>
          <w:rFonts w:ascii="Times New Roman" w:cs="Times New Roman" w:eastAsia="Times New Roman" w:hAnsi="Times New Roman"/>
          <w:sz w:val="15"/>
          <w:szCs w:val="15"/>
          <w:color w:val="auto"/>
        </w:rPr>
        <w:t>files).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Yes</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w:t>
      </w:r>
    </w:p>
    <w:p>
      <w:pPr>
        <w:spacing w:after="0" w:line="12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Accelerated filer</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4880" w:type="dxa"/>
            <w:vAlign w:val="bottom"/>
          </w:tcPr>
          <w:p>
            <w:pPr>
              <w:ind w:left="68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(Do not check if a smaller reporting company)</w:t>
            </w:r>
          </w:p>
        </w:tc>
        <w:tc>
          <w:tcPr>
            <w:tcW w:w="340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10"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8" w:lineRule="exact"/>
        <w:rPr>
          <w:sz w:val="24"/>
          <w:szCs w:val="24"/>
          <w:color w:val="auto"/>
        </w:rPr>
      </w:pPr>
    </w:p>
    <w:p>
      <w:pPr>
        <w:spacing w:after="0" w:line="173" w:lineRule="exact"/>
        <w:tabs>
          <w:tab w:leader="none" w:pos="71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Yes</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July 31, 2017: 151,931,921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Times New Roman" w:cs="Times New Roman" w:eastAsia="Times New Roman" w:hAnsi="Times New Roman"/>
                <w:sz w:val="18"/>
                <w:szCs w:val="18"/>
                <w:color w:val="auto"/>
                <w:w w:val="98"/>
              </w:rPr>
              <w:t>M&amp;T BANK CORPORATION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660" w:type="dxa"/>
            <w:vAlign w:val="bottom"/>
            <w:tcBorders>
              <w:top w:val="single" w:sz="8" w:color="auto"/>
            </w:tcBorders>
          </w:tcPr>
          <w:p>
            <w:pPr>
              <w:spacing w:after="0"/>
              <w:rPr>
                <w:sz w:val="24"/>
                <w:szCs w:val="24"/>
                <w:color w:val="auto"/>
              </w:rPr>
            </w:pPr>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w w:val="99"/>
              </w:rPr>
              <w:t>For the Quarterly Period Ended June 30, 2017</w:t>
            </w:r>
          </w:p>
        </w:tc>
        <w:tc>
          <w:tcPr>
            <w:tcW w:w="366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8"/>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00" w:type="dxa"/>
            <w:vAlign w:val="bottom"/>
            <w:tcBorders>
              <w:bottom w:val="single" w:sz="8" w:color="0000EE"/>
            </w:tcBorders>
            <w:gridSpan w:val="8"/>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 - June 30, 2017 and December 31, 2016</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CONSOLIDATED STATEMENT OF INCOME - Three and six months ended June 30, 2017 and 2016</w:t>
              </w:r>
            </w:hyperlink>
          </w:p>
        </w:tc>
        <w:tc>
          <w:tcPr>
            <w:tcW w:w="232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 OF COMPREHENSIVE INCOME - Three and six months ended June 30, 2017 and 2016</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2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 OF CASH FLOWS - Six months ended June 30, 2017 and 201</w:t>
              </w:r>
            </w:hyperlink>
            <w:r>
              <w:rPr>
                <w:rFonts w:ascii="Times New Roman" w:cs="Times New Roman" w:eastAsia="Times New Roman" w:hAnsi="Times New Roman"/>
                <w:sz w:val="18"/>
                <w:szCs w:val="18"/>
                <w:color w:val="000000"/>
              </w:rPr>
              <w:t>6</w:t>
            </w:r>
          </w:p>
        </w:tc>
        <w:tc>
          <w:tcPr>
            <w:tcW w:w="78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 OF CHANGES IN SHAREHOLDERS' EQUITY - Six months ended June 30, 2017 and 201</w:t>
              </w:r>
            </w:hyperlink>
            <w:r>
              <w:rPr>
                <w:rFonts w:ascii="Times New Roman" w:cs="Times New Roman" w:eastAsia="Times New Roman" w:hAnsi="Times New Roman"/>
                <w:sz w:val="18"/>
                <w:szCs w:val="18"/>
                <w:color w:val="000000"/>
              </w:rPr>
              <w:t>6</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2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FINANCIAL STATEMENTS</w:t>
              </w:r>
            </w:hyperlink>
          </w:p>
        </w:tc>
        <w:tc>
          <w:tcPr>
            <w:tcW w:w="5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326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w:anchor="page89">
              <w:r>
                <w:rPr>
                  <w:rFonts w:ascii="Times New Roman" w:cs="Times New Roman" w:eastAsia="Times New Roman" w:hAnsi="Times New Roman"/>
                  <w:sz w:val="18"/>
                  <w:szCs w:val="18"/>
                  <w:color w:val="0000EE"/>
                  <w:w w:val="98"/>
                </w:rPr>
                <w:t>Quantitative and Qualitative Disclosures About Market Risk.</w:t>
              </w:r>
            </w:hyperlink>
          </w:p>
        </w:tc>
        <w:tc>
          <w:tcPr>
            <w:tcW w:w="5340" w:type="dxa"/>
            <w:vAlign w:val="bottom"/>
            <w:gridSpan w:val="10"/>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Controls and Procedures.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89">
              <w:r>
                <w:rPr>
                  <w:rFonts w:ascii="Times New Roman" w:cs="Times New Roman" w:eastAsia="Times New Roman" w:hAnsi="Times New Roman"/>
                  <w:sz w:val="18"/>
                  <w:szCs w:val="18"/>
                  <w:color w:val="0000EE"/>
                  <w:w w:val="98"/>
                </w:rPr>
                <w:t>Part II. OTHER INFORMATION</w:t>
              </w:r>
            </w:hyperlink>
          </w:p>
        </w:tc>
        <w:tc>
          <w:tcPr>
            <w:tcW w:w="860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89">
              <w:r>
                <w:rPr>
                  <w:rFonts w:ascii="Times New Roman" w:cs="Times New Roman" w:eastAsia="Times New Roman" w:hAnsi="Times New Roman"/>
                  <w:sz w:val="18"/>
                  <w:szCs w:val="18"/>
                  <w:color w:val="0000EE"/>
                  <w:w w:val="95"/>
                </w:rPr>
                <w:t>Legal Proceedings.</w:t>
              </w:r>
            </w:hyperlink>
          </w:p>
        </w:tc>
        <w:tc>
          <w:tcPr>
            <w:tcW w:w="8360" w:type="dxa"/>
            <w:vAlign w:val="bottom"/>
            <w:gridSpan w:val="2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Risk Factors.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Defaults Upon Senior Securities.</w:t>
              </w:r>
            </w:hyperlink>
          </w:p>
        </w:tc>
        <w:tc>
          <w:tcPr>
            <w:tcW w:w="536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Mine Safety Disclosures.</w:t>
              </w:r>
            </w:hyperlink>
          </w:p>
        </w:tc>
        <w:tc>
          <w:tcPr>
            <w:tcW w:w="7380" w:type="dxa"/>
            <w:vAlign w:val="bottom"/>
            <w:gridSpan w:val="1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91">
              <w:r>
                <w:rPr>
                  <w:rFonts w:ascii="Times New Roman" w:cs="Times New Roman" w:eastAsia="Times New Roman" w:hAnsi="Times New Roman"/>
                  <w:sz w:val="18"/>
                  <w:szCs w:val="18"/>
                  <w:color w:val="0000EE"/>
                  <w:w w:val="95"/>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940" w:type="dxa"/>
            <w:vAlign w:val="bottom"/>
            <w:gridSpan w:val="1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26"/>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Exhibits.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8"/>
        </w:trPr>
        <w:tc>
          <w:tcPr>
            <w:tcW w:w="1340" w:type="dxa"/>
            <w:vAlign w:val="bottom"/>
            <w:gridSpan w:val="2"/>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00" w:type="dxa"/>
            <w:vAlign w:val="bottom"/>
            <w:gridSpan w:val="2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92">
              <w:r>
                <w:rPr>
                  <w:rFonts w:ascii="Times New Roman" w:cs="Times New Roman" w:eastAsia="Times New Roman" w:hAnsi="Times New Roman"/>
                  <w:sz w:val="18"/>
                  <w:szCs w:val="18"/>
                  <w:color w:val="0000EE"/>
                  <w:w w:val="98"/>
                </w:rPr>
                <w:t>EXHIBIT INDEX</w:t>
              </w:r>
            </w:hyperlink>
          </w:p>
        </w:tc>
        <w:tc>
          <w:tcPr>
            <w:tcW w:w="9700" w:type="dxa"/>
            <w:vAlign w:val="bottom"/>
            <w:gridSpan w:val="2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17"/>
          </w:tcPr>
          <w:p>
            <w:pPr>
              <w:jc w:val="center"/>
              <w:ind w:left="3810"/>
              <w:spacing w:after="0"/>
              <w:rPr>
                <w:sz w:val="20"/>
                <w:szCs w:val="20"/>
                <w:color w:val="auto"/>
              </w:rPr>
            </w:pPr>
            <w:r>
              <w:rPr>
                <w:rFonts w:ascii="Times New Roman" w:cs="Times New Roman" w:eastAsia="Times New Roman" w:hAnsi="Times New Roman"/>
                <w:sz w:val="18"/>
                <w:szCs w:val="18"/>
                <w:color w:val="auto"/>
                <w:w w:val="99"/>
              </w:rPr>
              <w:t>- 2 -</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w:t>
            </w:r>
          </w:p>
        </w:tc>
        <w:tc>
          <w:tcPr>
            <w:tcW w:w="20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June 30,</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65"/>
        </w:trPr>
        <w:tc>
          <w:tcPr>
            <w:tcW w:w="86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65"/>
              <w:spacing w:after="0" w:line="158" w:lineRule="exact"/>
              <w:rPr>
                <w:sz w:val="20"/>
                <w:szCs w:val="20"/>
                <w:color w:val="auto"/>
              </w:rPr>
            </w:pPr>
            <w:r>
              <w:rPr>
                <w:rFonts w:ascii="Times New Roman" w:cs="Times New Roman" w:eastAsia="Times New Roman" w:hAnsi="Times New Roman"/>
                <w:sz w:val="14"/>
                <w:szCs w:val="14"/>
                <w:color w:val="auto"/>
              </w:rPr>
              <w:t>2017</w:t>
            </w:r>
          </w:p>
        </w:tc>
        <w:tc>
          <w:tcPr>
            <w:tcW w:w="400" w:type="dxa"/>
            <w:vAlign w:val="bottom"/>
          </w:tcPr>
          <w:p>
            <w:pPr>
              <w:spacing w:after="0"/>
              <w:rPr>
                <w:sz w:val="14"/>
                <w:szCs w:val="14"/>
                <w:color w:val="auto"/>
              </w:rPr>
            </w:pPr>
          </w:p>
        </w:tc>
        <w:tc>
          <w:tcPr>
            <w:tcW w:w="1140" w:type="dxa"/>
            <w:vAlign w:val="bottom"/>
          </w:tcPr>
          <w:p>
            <w:pPr>
              <w:jc w:val="right"/>
              <w:ind w:right="365"/>
              <w:spacing w:after="0" w:line="158"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Assets</w:t>
            </w:r>
          </w:p>
        </w:tc>
        <w:tc>
          <w:tcPr>
            <w:tcW w:w="744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5"/>
                <w:szCs w:val="15"/>
                <w:color w:val="auto"/>
              </w:rPr>
              <w:t>Cash and due from banks</w:t>
            </w: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1,344,478</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1,320,549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Interest-bearing deposits at banks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5,023,829</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5,000,638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744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5"/>
                <w:szCs w:val="15"/>
                <w:color w:val="auto"/>
              </w:rPr>
              <w:t>Federal funds sold</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4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4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Trading Account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174,646</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323,867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Investment securities (includes pledged securities that can be sold or repledged of</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20" w:type="dxa"/>
            <w:vAlign w:val="bottom"/>
          </w:tcPr>
          <w:p>
            <w:pPr>
              <w:ind w:left="500"/>
              <w:spacing w:after="0" w:line="160" w:lineRule="exact"/>
              <w:rPr>
                <w:sz w:val="20"/>
                <w:szCs w:val="20"/>
                <w:color w:val="auto"/>
              </w:rPr>
            </w:pPr>
            <w:r>
              <w:rPr>
                <w:rFonts w:ascii="Times New Roman" w:cs="Times New Roman" w:eastAsia="Times New Roman" w:hAnsi="Times New Roman"/>
                <w:sz w:val="15"/>
                <w:szCs w:val="15"/>
                <w:color w:val="auto"/>
              </w:rPr>
              <w:t>$504,827 at June 30, 2017; $1,203,473 at December 31, 2016)</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2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Available for sale (cost: $11,911,151 at June 30, 2017;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2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$13,338,301 at December 31, 2016)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11,928,865</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13,332,072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7020" w:type="dxa"/>
            <w:vAlign w:val="bottom"/>
            <w:shd w:val="clear" w:color="auto" w:fill="CFF0FC"/>
          </w:tcPr>
          <w:p>
            <w:pPr>
              <w:ind w:left="600"/>
              <w:spacing w:after="0" w:line="159" w:lineRule="exact"/>
              <w:rPr>
                <w:sz w:val="20"/>
                <w:szCs w:val="20"/>
                <w:color w:val="auto"/>
              </w:rPr>
            </w:pPr>
            <w:r>
              <w:rPr>
                <w:rFonts w:ascii="Times New Roman" w:cs="Times New Roman" w:eastAsia="Times New Roman" w:hAnsi="Times New Roman"/>
                <w:sz w:val="15"/>
                <w:szCs w:val="15"/>
                <w:color w:val="auto"/>
              </w:rPr>
              <w:t>Held to maturity (fair value: $3,380,532 at June 30, 2017;</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5"/>
                <w:szCs w:val="15"/>
                <w:color w:val="auto"/>
              </w:rPr>
              <w:t>$2,451,222 at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3,388,268</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2,457,278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2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Other (fair value: $498,927 at June 30, 2017;</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tcBorders>
              <w:bottom w:val="single" w:sz="8" w:color="CFF0FC"/>
            </w:tcBorders>
          </w:tcPr>
          <w:p>
            <w:pPr>
              <w:spacing w:after="0"/>
              <w:rPr>
                <w:sz w:val="15"/>
                <w:szCs w:val="15"/>
                <w:color w:val="auto"/>
              </w:rPr>
            </w:pPr>
          </w:p>
        </w:tc>
        <w:tc>
          <w:tcPr>
            <w:tcW w:w="702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5"/>
                <w:szCs w:val="15"/>
                <w:color w:val="auto"/>
              </w:rPr>
              <w:t>$461,118 at December 31, 2016)</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498,927</w:t>
            </w:r>
          </w:p>
        </w:tc>
        <w:tc>
          <w:tcPr>
            <w:tcW w:w="4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461,118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7020" w:type="dxa"/>
            <w:vAlign w:val="bottom"/>
            <w:shd w:val="clear" w:color="auto" w:fill="CFF0FC"/>
          </w:tcPr>
          <w:p>
            <w:pPr>
              <w:ind w:left="840"/>
              <w:spacing w:after="0" w:line="169" w:lineRule="exact"/>
              <w:rPr>
                <w:sz w:val="20"/>
                <w:szCs w:val="20"/>
                <w:color w:val="auto"/>
              </w:rPr>
            </w:pPr>
            <w:r>
              <w:rPr>
                <w:rFonts w:ascii="Times New Roman" w:cs="Times New Roman" w:eastAsia="Times New Roman" w:hAnsi="Times New Roman"/>
                <w:sz w:val="15"/>
                <w:szCs w:val="15"/>
                <w:color w:val="auto"/>
              </w:rPr>
              <w:t>Total investment securities</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15,816,060</w:t>
            </w:r>
          </w:p>
        </w:tc>
        <w:tc>
          <w:tcPr>
            <w:tcW w:w="400" w:type="dxa"/>
            <w:vAlign w:val="bottom"/>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16,250,468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20" w:type="dxa"/>
            <w:vAlign w:val="bottom"/>
          </w:tcPr>
          <w:p>
            <w:pPr>
              <w:ind w:left="360"/>
              <w:spacing w:after="0" w:line="169" w:lineRule="exact"/>
              <w:rPr>
                <w:sz w:val="20"/>
                <w:szCs w:val="20"/>
                <w:color w:val="auto"/>
              </w:rPr>
            </w:pPr>
            <w:r>
              <w:rPr>
                <w:rFonts w:ascii="Times New Roman" w:cs="Times New Roman" w:eastAsia="Times New Roman" w:hAnsi="Times New Roman"/>
                <w:sz w:val="15"/>
                <w:szCs w:val="15"/>
                <w:color w:val="auto"/>
              </w:rPr>
              <w:t>Loans and leases</w:t>
            </w: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89,322,293</w:t>
            </w:r>
          </w:p>
        </w:tc>
        <w:tc>
          <w:tcPr>
            <w:tcW w:w="4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91,101,677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rPr>
              <w:t>Unearned discount</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5"/>
                <w:szCs w:val="15"/>
                <w:color w:val="auto"/>
              </w:rPr>
              <w:t>(241,738)</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(248,261)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20" w:type="dxa"/>
            <w:vAlign w:val="bottom"/>
          </w:tcPr>
          <w:p>
            <w:pPr>
              <w:ind w:left="720"/>
              <w:spacing w:after="0" w:line="169" w:lineRule="exact"/>
              <w:rPr>
                <w:sz w:val="20"/>
                <w:szCs w:val="20"/>
                <w:color w:val="auto"/>
              </w:rPr>
            </w:pPr>
            <w:r>
              <w:rPr>
                <w:rFonts w:ascii="Times New Roman" w:cs="Times New Roman" w:eastAsia="Times New Roman" w:hAnsi="Times New Roman"/>
                <w:sz w:val="15"/>
                <w:szCs w:val="15"/>
                <w:color w:val="auto"/>
              </w:rPr>
              <w:t>Loans and leases, net of unearned discount</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89,080,555</w:t>
            </w:r>
          </w:p>
        </w:tc>
        <w:tc>
          <w:tcPr>
            <w:tcW w:w="400" w:type="dxa"/>
            <w:vAlign w:val="bottom"/>
          </w:tcPr>
          <w:p>
            <w:pPr>
              <w:spacing w:after="0"/>
              <w:rPr>
                <w:sz w:val="14"/>
                <w:szCs w:val="14"/>
                <w:color w:val="auto"/>
              </w:rPr>
            </w:pPr>
          </w:p>
        </w:tc>
        <w:tc>
          <w:tcPr>
            <w:tcW w:w="1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90,853,416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5"/>
                <w:szCs w:val="15"/>
                <w:color w:val="auto"/>
              </w:rPr>
              <w:t>(1,008,225)</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(988,997)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720"/>
              <w:spacing w:after="0" w:line="169" w:lineRule="exact"/>
              <w:rPr>
                <w:sz w:val="20"/>
                <w:szCs w:val="20"/>
                <w:color w:val="auto"/>
              </w:rPr>
            </w:pPr>
            <w:r>
              <w:rPr>
                <w:rFonts w:ascii="Times New Roman" w:cs="Times New Roman" w:eastAsia="Times New Roman" w:hAnsi="Times New Roman"/>
                <w:sz w:val="15"/>
                <w:szCs w:val="15"/>
                <w:color w:val="auto"/>
              </w:rPr>
              <w:t>Loans and leases, net</w:t>
            </w: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88,072,330</w:t>
            </w:r>
          </w:p>
        </w:tc>
        <w:tc>
          <w:tcPr>
            <w:tcW w:w="400" w:type="dxa"/>
            <w:vAlign w:val="bottom"/>
            <w:tcBorders>
              <w:bottom w:val="single" w:sz="8" w:color="CFF0FC"/>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89,864,419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9" w:lineRule="exact"/>
              <w:rPr>
                <w:sz w:val="20"/>
                <w:szCs w:val="20"/>
                <w:color w:val="auto"/>
              </w:rPr>
            </w:pPr>
            <w:r>
              <w:rPr>
                <w:rFonts w:ascii="Times New Roman" w:cs="Times New Roman" w:eastAsia="Times New Roman" w:hAnsi="Times New Roman"/>
                <w:sz w:val="15"/>
                <w:szCs w:val="15"/>
                <w:color w:val="auto"/>
              </w:rPr>
              <w:t>Premises and equipment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673,552</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675,263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Core deposit and other intangible assets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86,422</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97,655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Borders>
              <w:bottom w:val="single" w:sz="8" w:color="CFF0FC"/>
            </w:tcBorders>
          </w:tcPr>
          <w:p>
            <w:pPr>
              <w:spacing w:after="0"/>
              <w:rPr>
                <w:sz w:val="15"/>
                <w:szCs w:val="15"/>
                <w:color w:val="auto"/>
              </w:rPr>
            </w:pPr>
          </w:p>
        </w:tc>
        <w:tc>
          <w:tcPr>
            <w:tcW w:w="70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5"/>
                <w:szCs w:val="15"/>
                <w:color w:val="auto"/>
              </w:rPr>
              <w:t>Accrued interest and other assets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5,111,138</w:t>
            </w:r>
          </w:p>
        </w:tc>
        <w:tc>
          <w:tcPr>
            <w:tcW w:w="4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5,323,235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Borders>
              <w:bottom w:val="single" w:sz="8" w:color="CFF0FC"/>
            </w:tcBorders>
            <w:shd w:val="clear" w:color="auto" w:fill="CFF0FC"/>
          </w:tcPr>
          <w:p>
            <w:pPr>
              <w:spacing w:after="0"/>
              <w:rPr>
                <w:sz w:val="14"/>
                <w:szCs w:val="14"/>
                <w:color w:val="auto"/>
              </w:rPr>
            </w:pPr>
          </w:p>
        </w:tc>
        <w:tc>
          <w:tcPr>
            <w:tcW w:w="7020" w:type="dxa"/>
            <w:vAlign w:val="bottom"/>
            <w:tcBorders>
              <w:bottom w:val="single" w:sz="8" w:color="CFF0FC"/>
            </w:tcBorders>
            <w:shd w:val="clear" w:color="auto" w:fill="CFF0FC"/>
          </w:tcPr>
          <w:p>
            <w:pPr>
              <w:ind w:left="84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120,896,567</w:t>
            </w:r>
          </w:p>
        </w:tc>
        <w:tc>
          <w:tcPr>
            <w:tcW w:w="40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123,449,206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158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Liabilities</w:t>
            </w:r>
          </w:p>
        </w:tc>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32,366,426</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32,813,896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Savings and interest-checking deposits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52,871,146</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52,346,207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Time deposits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8,107,749</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10,131,846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Borders>
              <w:bottom w:val="single" w:sz="8" w:color="CFF0FC"/>
            </w:tcBorders>
          </w:tcPr>
          <w:p>
            <w:pPr>
              <w:spacing w:after="0"/>
              <w:rPr>
                <w:sz w:val="15"/>
                <w:szCs w:val="15"/>
                <w:color w:val="auto"/>
              </w:rPr>
            </w:pPr>
          </w:p>
        </w:tc>
        <w:tc>
          <w:tcPr>
            <w:tcW w:w="70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5"/>
                <w:szCs w:val="15"/>
                <w:color w:val="auto"/>
              </w:rPr>
              <w:t>Deposits at Cayman Islands office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195,617</w:t>
            </w:r>
          </w:p>
        </w:tc>
        <w:tc>
          <w:tcPr>
            <w:tcW w:w="4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201,927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7020" w:type="dxa"/>
            <w:vAlign w:val="bottom"/>
            <w:shd w:val="clear" w:color="auto" w:fill="CFF0FC"/>
          </w:tcPr>
          <w:p>
            <w:pPr>
              <w:ind w:left="840"/>
              <w:spacing w:after="0" w:line="169" w:lineRule="exact"/>
              <w:rPr>
                <w:sz w:val="20"/>
                <w:szCs w:val="20"/>
                <w:color w:val="auto"/>
              </w:rPr>
            </w:pPr>
            <w:r>
              <w:rPr>
                <w:rFonts w:ascii="Times New Roman" w:cs="Times New Roman" w:eastAsia="Times New Roman" w:hAnsi="Times New Roman"/>
                <w:sz w:val="15"/>
                <w:szCs w:val="15"/>
                <w:color w:val="auto"/>
              </w:rPr>
              <w:t>Total deposits</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93,540,938</w:t>
            </w:r>
          </w:p>
        </w:tc>
        <w:tc>
          <w:tcPr>
            <w:tcW w:w="400" w:type="dxa"/>
            <w:vAlign w:val="bottom"/>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95,493,876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20" w:type="dxa"/>
            <w:vAlign w:val="bottom"/>
          </w:tcPr>
          <w:p>
            <w:pPr>
              <w:ind w:left="360"/>
              <w:spacing w:after="0" w:line="169" w:lineRule="exact"/>
              <w:rPr>
                <w:sz w:val="20"/>
                <w:szCs w:val="20"/>
                <w:color w:val="auto"/>
              </w:rPr>
            </w:pPr>
            <w:r>
              <w:rPr>
                <w:rFonts w:ascii="Times New Roman" w:cs="Times New Roman" w:eastAsia="Times New Roman" w:hAnsi="Times New Roman"/>
                <w:sz w:val="15"/>
                <w:szCs w:val="15"/>
                <w:color w:val="auto"/>
              </w:rPr>
              <w:t>Federal funds purchased and agreements to repurchase securities</w:t>
            </w: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195,453</w:t>
            </w:r>
          </w:p>
        </w:tc>
        <w:tc>
          <w:tcPr>
            <w:tcW w:w="4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163,442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Other short-term borrowings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1,500,000</w:t>
            </w:r>
          </w:p>
        </w:tc>
        <w:tc>
          <w:tcPr>
            <w:tcW w:w="4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interest and other liabilities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1,727,059</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1,811,431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Long-term borrowings</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7,649,580</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9,493,835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104,613,030</w:t>
            </w:r>
          </w:p>
        </w:tc>
        <w:tc>
          <w:tcPr>
            <w:tcW w:w="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106,962,584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8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Shareholders' equity</w:t>
            </w:r>
          </w:p>
        </w:tc>
        <w:tc>
          <w:tcPr>
            <w:tcW w:w="7020" w:type="dxa"/>
            <w:vAlign w:val="bottom"/>
            <w:shd w:val="clear" w:color="auto" w:fill="CFF0FC"/>
          </w:tcPr>
          <w:p>
            <w:pPr>
              <w:ind w:left="360"/>
              <w:spacing w:after="0" w:line="152" w:lineRule="exact"/>
              <w:rPr>
                <w:sz w:val="20"/>
                <w:szCs w:val="20"/>
                <w:color w:val="auto"/>
              </w:rPr>
            </w:pPr>
            <w:r>
              <w:rPr>
                <w:rFonts w:ascii="Times New Roman" w:cs="Times New Roman" w:eastAsia="Times New Roman" w:hAnsi="Times New Roman"/>
                <w:sz w:val="15"/>
                <w:szCs w:val="15"/>
                <w:color w:val="auto"/>
              </w:rPr>
              <w:t>Preferred stock, $1.00 par, 1,000,000 shares authorized;</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Issued and outstanding: Liquidation preference of $1,000 per</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share: 731,500 shares at June 30, 2017 and December 31,</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2016; Liquidation preference of $10,000 per share: 50,000</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shares at June 30, 2017 and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1,231,500</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1,231,500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2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Common stock, $.50 par, 250,000,000 shares authorized,</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2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159,821,693 shares issued at June 30, 2017;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2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159,945,678 shares issued at December 31, 2016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79,911</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7020" w:type="dxa"/>
            <w:vAlign w:val="bottom"/>
            <w:shd w:val="clear" w:color="auto" w:fill="CFF0FC"/>
          </w:tcPr>
          <w:p>
            <w:pPr>
              <w:ind w:left="360"/>
              <w:spacing w:after="0" w:line="159" w:lineRule="exact"/>
              <w:rPr>
                <w:sz w:val="20"/>
                <w:szCs w:val="20"/>
                <w:color w:val="auto"/>
              </w:rPr>
            </w:pPr>
            <w:r>
              <w:rPr>
                <w:rFonts w:ascii="Times New Roman" w:cs="Times New Roman" w:eastAsia="Times New Roman" w:hAnsi="Times New Roman"/>
                <w:sz w:val="15"/>
                <w:szCs w:val="15"/>
                <w:color w:val="auto"/>
              </w:rPr>
              <w:t>Common stock issuable, 28,835 shares at June 30, 2017;</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32,403 shares at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1,940</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6,604,930</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6,676,948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Retained earnings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9,685,478</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9,222,488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tc>
        <w:tc>
          <w:tcPr>
            <w:tcW w:w="2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(270,081)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(294,636)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7020" w:type="dxa"/>
            <w:vAlign w:val="bottom"/>
            <w:shd w:val="clear" w:color="auto" w:fill="CFF0FC"/>
          </w:tcPr>
          <w:p>
            <w:pPr>
              <w:ind w:left="360"/>
              <w:spacing w:after="0" w:line="159" w:lineRule="exact"/>
              <w:rPr>
                <w:sz w:val="20"/>
                <w:szCs w:val="20"/>
                <w:color w:val="auto"/>
              </w:rPr>
            </w:pPr>
            <w:r>
              <w:rPr>
                <w:rFonts w:ascii="Times New Roman" w:cs="Times New Roman" w:eastAsia="Times New Roman" w:hAnsi="Times New Roman"/>
                <w:sz w:val="15"/>
                <w:szCs w:val="15"/>
                <w:color w:val="auto"/>
              </w:rPr>
              <w:t>Treasury stock - common, at cost - 7,311,105 shares at June 30, 2017;</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3,764,742 shares at December 31, 2016</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5"/>
                <w:szCs w:val="15"/>
                <w:color w:val="auto"/>
              </w:rPr>
              <w:t>(1,050,141)</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(431,796)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36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16,283,537</w:t>
            </w:r>
          </w:p>
        </w:tc>
        <w:tc>
          <w:tcPr>
            <w:tcW w:w="400" w:type="dxa"/>
            <w:vAlign w:val="bottom"/>
            <w:tcBorders>
              <w:bottom w:val="single" w:sz="8" w:color="CFF0FC"/>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16,486,622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Borders>
              <w:bottom w:val="single" w:sz="8" w:color="CFF0FC"/>
            </w:tcBorders>
            <w:shd w:val="clear" w:color="auto" w:fill="CFF0FC"/>
          </w:tcPr>
          <w:p>
            <w:pPr>
              <w:spacing w:after="0"/>
              <w:rPr>
                <w:sz w:val="14"/>
                <w:szCs w:val="14"/>
                <w:color w:val="auto"/>
              </w:rPr>
            </w:pPr>
          </w:p>
        </w:tc>
        <w:tc>
          <w:tcPr>
            <w:tcW w:w="7020" w:type="dxa"/>
            <w:vAlign w:val="bottom"/>
            <w:tcBorders>
              <w:bottom w:val="single" w:sz="8" w:color="CFF0FC"/>
            </w:tcBorders>
            <w:shd w:val="clear" w:color="auto" w:fill="CFF0FC"/>
          </w:tcPr>
          <w:p>
            <w:pPr>
              <w:ind w:left="36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2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120,896,567</w:t>
            </w:r>
          </w:p>
        </w:tc>
        <w:tc>
          <w:tcPr>
            <w:tcW w:w="40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123,449,206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60" w:type="dxa"/>
            <w:vAlign w:val="bottom"/>
            <w:gridSpan w:val="3"/>
            <w:vMerge w:val="continue"/>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51"/>
              <w:spacing w:after="0" w:line="158" w:lineRule="exact"/>
              <w:rPr>
                <w:sz w:val="20"/>
                <w:szCs w:val="20"/>
                <w:color w:val="auto"/>
              </w:rPr>
            </w:pPr>
            <w:r>
              <w:rPr>
                <w:rFonts w:ascii="Times New Roman" w:cs="Times New Roman" w:eastAsia="Times New Roman" w:hAnsi="Times New Roman"/>
                <w:sz w:val="14"/>
                <w:szCs w:val="14"/>
                <w:color w:val="auto"/>
              </w:rPr>
              <w:t>2017</w:t>
            </w:r>
          </w:p>
        </w:tc>
        <w:tc>
          <w:tcPr>
            <w:tcW w:w="280" w:type="dxa"/>
            <w:vAlign w:val="bottom"/>
          </w:tcPr>
          <w:p>
            <w:pPr>
              <w:spacing w:after="0"/>
              <w:rPr>
                <w:sz w:val="14"/>
                <w:szCs w:val="14"/>
                <w:color w:val="auto"/>
              </w:rPr>
            </w:pPr>
          </w:p>
        </w:tc>
        <w:tc>
          <w:tcPr>
            <w:tcW w:w="960" w:type="dxa"/>
            <w:vAlign w:val="bottom"/>
          </w:tcPr>
          <w:p>
            <w:pPr>
              <w:jc w:val="right"/>
              <w:ind w:right="250"/>
              <w:spacing w:after="0" w:line="158" w:lineRule="exact"/>
              <w:rPr>
                <w:sz w:val="20"/>
                <w:szCs w:val="20"/>
                <w:color w:val="auto"/>
              </w:rPr>
            </w:pPr>
            <w:r>
              <w:rPr>
                <w:rFonts w:ascii="Times New Roman" w:cs="Times New Roman" w:eastAsia="Times New Roman" w:hAnsi="Times New Roman"/>
                <w:sz w:val="14"/>
                <w:szCs w:val="14"/>
                <w:color w:val="auto"/>
              </w:rPr>
              <w:t>2016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4"/>
                <w:szCs w:val="14"/>
                <w:color w:val="auto"/>
              </w:rPr>
              <w:t>2017</w:t>
            </w:r>
          </w:p>
        </w:tc>
        <w:tc>
          <w:tcPr>
            <w:tcW w:w="280" w:type="dxa"/>
            <w:vAlign w:val="bottom"/>
          </w:tcPr>
          <w:p>
            <w:pPr>
              <w:spacing w:after="0"/>
              <w:rPr>
                <w:sz w:val="14"/>
                <w:szCs w:val="14"/>
                <w:color w:val="auto"/>
              </w:rPr>
            </w:pPr>
          </w:p>
        </w:tc>
        <w:tc>
          <w:tcPr>
            <w:tcW w:w="860" w:type="dxa"/>
            <w:vAlign w:val="bottom"/>
          </w:tcPr>
          <w:p>
            <w:pPr>
              <w:jc w:val="right"/>
              <w:ind w:right="210"/>
              <w:spacing w:after="0" w:line="158"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Loans and leases, including fees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924,640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867,478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1,822,678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1,730,863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Fully taxable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91,184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188,120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Exempt from federal taxes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Deposits at banks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Total interest income</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1,030,413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970,621</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2,036,446</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1,943,455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Time deposits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Short-term borrowings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Long-term borrowings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58,077</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91,368</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Total interest expense</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183,986</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Net interest income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938,200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1,852,460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886,200</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831,819</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1,745,460</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1,654,783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 banking revenues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89,383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170,855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Trust income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246,812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Brokerage services income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Trading account and foreign exchange gains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(loss) on bank investment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117,115</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104,791</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228,002</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580"/>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460,816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448,254</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907,661</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869,187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398,900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398,675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848,762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830,460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Outside data processing and software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FDIC assessments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core deposit and other intangible assets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174,616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166,679</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330,874</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322,812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750,635</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749,895</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1,538,487</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1,525,990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before taxes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596,381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530,178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1,114,634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215,328</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194,147</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384,654</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5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4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381,053</w:t>
            </w:r>
          </w:p>
        </w:tc>
        <w:tc>
          <w:tcPr>
            <w:tcW w:w="2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336,031</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729,980</w:t>
            </w:r>
          </w:p>
        </w:tc>
        <w:tc>
          <w:tcPr>
            <w:tcW w:w="2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634,559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360,658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312,968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689,208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360,662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312,974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689,217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153,638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153,276</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154,108</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- 4 -</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140" w:type="dxa"/>
            <w:vAlign w:val="bottom"/>
          </w:tcPr>
          <w:p>
            <w:pPr>
              <w:spacing w:after="0"/>
              <w:rPr>
                <w:sz w:val="14"/>
                <w:szCs w:val="14"/>
                <w:color w:val="auto"/>
              </w:rPr>
            </w:pPr>
          </w:p>
        </w:tc>
        <w:tc>
          <w:tcPr>
            <w:tcW w:w="19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34"/>
              <w:spacing w:after="0" w:line="158" w:lineRule="exact"/>
              <w:rPr>
                <w:sz w:val="20"/>
                <w:szCs w:val="20"/>
                <w:color w:val="auto"/>
              </w:rPr>
            </w:pPr>
            <w:r>
              <w:rPr>
                <w:rFonts w:ascii="Times New Roman" w:cs="Times New Roman" w:eastAsia="Times New Roman" w:hAnsi="Times New Roman"/>
                <w:sz w:val="14"/>
                <w:szCs w:val="14"/>
                <w:color w:val="auto"/>
              </w:rPr>
              <w:t>2017</w:t>
            </w:r>
          </w:p>
        </w:tc>
        <w:tc>
          <w:tcPr>
            <w:tcW w:w="320" w:type="dxa"/>
            <w:vAlign w:val="bottom"/>
          </w:tcPr>
          <w:p>
            <w:pPr>
              <w:spacing w:after="0"/>
              <w:rPr>
                <w:sz w:val="14"/>
                <w:szCs w:val="14"/>
                <w:color w:val="auto"/>
              </w:rPr>
            </w:pPr>
          </w:p>
        </w:tc>
        <w:tc>
          <w:tcPr>
            <w:tcW w:w="960" w:type="dxa"/>
            <w:vAlign w:val="bottom"/>
          </w:tcPr>
          <w:p>
            <w:pPr>
              <w:jc w:val="right"/>
              <w:ind w:right="252"/>
              <w:spacing w:after="0" w:line="158" w:lineRule="exact"/>
              <w:rPr>
                <w:sz w:val="20"/>
                <w:szCs w:val="20"/>
                <w:color w:val="auto"/>
              </w:rPr>
            </w:pPr>
            <w:r>
              <w:rPr>
                <w:rFonts w:ascii="Times New Roman" w:cs="Times New Roman" w:eastAsia="Times New Roman" w:hAnsi="Times New Roman"/>
                <w:sz w:val="14"/>
                <w:szCs w:val="14"/>
                <w:color w:val="auto"/>
              </w:rPr>
              <w:t>2016</w:t>
            </w:r>
          </w:p>
        </w:tc>
        <w:tc>
          <w:tcPr>
            <w:tcW w:w="180" w:type="dxa"/>
            <w:vAlign w:val="bottom"/>
          </w:tcPr>
          <w:p>
            <w:pPr>
              <w:spacing w:after="0"/>
              <w:rPr>
                <w:sz w:val="14"/>
                <w:szCs w:val="14"/>
                <w:color w:val="auto"/>
              </w:rPr>
            </w:pPr>
          </w:p>
        </w:tc>
        <w:tc>
          <w:tcPr>
            <w:tcW w:w="900" w:type="dxa"/>
            <w:vAlign w:val="bottom"/>
            <w:gridSpan w:val="2"/>
          </w:tcPr>
          <w:p>
            <w:pPr>
              <w:jc w:val="right"/>
              <w:ind w:right="156"/>
              <w:spacing w:after="0" w:line="158" w:lineRule="exact"/>
              <w:rPr>
                <w:sz w:val="20"/>
                <w:szCs w:val="20"/>
                <w:color w:val="auto"/>
              </w:rPr>
            </w:pPr>
            <w:r>
              <w:rPr>
                <w:rFonts w:ascii="Times New Roman" w:cs="Times New Roman" w:eastAsia="Times New Roman" w:hAnsi="Times New Roman"/>
                <w:sz w:val="14"/>
                <w:szCs w:val="14"/>
                <w:color w:val="auto"/>
              </w:rPr>
              <w:t>2017</w:t>
            </w:r>
          </w:p>
        </w:tc>
        <w:tc>
          <w:tcPr>
            <w:tcW w:w="320" w:type="dxa"/>
            <w:vAlign w:val="bottom"/>
          </w:tcPr>
          <w:p>
            <w:pPr>
              <w:spacing w:after="0"/>
              <w:rPr>
                <w:sz w:val="14"/>
                <w:szCs w:val="14"/>
                <w:color w:val="auto"/>
              </w:rPr>
            </w:pPr>
          </w:p>
        </w:tc>
        <w:tc>
          <w:tcPr>
            <w:tcW w:w="780" w:type="dxa"/>
            <w:vAlign w:val="bottom"/>
          </w:tcPr>
          <w:p>
            <w:pPr>
              <w:jc w:val="right"/>
              <w:ind w:right="152"/>
              <w:spacing w:after="0" w:line="158"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381,053</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336,031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$ 729,980</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 and reclassification adjustments: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unrealized gains on investment securities</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47,270</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flow hedges adjustments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(978)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Defined benefit plans liability adjustments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4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480"/>
              <w:spacing w:after="0"/>
              <w:rPr>
                <w:sz w:val="20"/>
                <w:szCs w:val="20"/>
                <w:color w:val="auto"/>
              </w:rPr>
            </w:pPr>
            <w:r>
              <w:rPr>
                <w:rFonts w:ascii="Times New Roman" w:cs="Times New Roman" w:eastAsia="Times New Roman" w:hAnsi="Times New Roman"/>
                <w:sz w:val="18"/>
                <w:szCs w:val="18"/>
                <w:i w:val="1"/>
                <w:iCs w:val="1"/>
                <w:color w:val="auto"/>
              </w:rPr>
              <w:t>Total comprehensive income</w:t>
            </w:r>
          </w:p>
        </w:tc>
        <w:tc>
          <w:tcPr>
            <w:tcW w:w="1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402,539</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$ 754,535</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- 5 -</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58"/>
        </w:trPr>
        <w:tc>
          <w:tcPr>
            <w:tcW w:w="2280" w:type="dxa"/>
            <w:vAlign w:val="bottom"/>
            <w:gridSpan w:val="2"/>
            <w:vMerge w:val="continue"/>
          </w:tcPr>
          <w:p>
            <w:pPr>
              <w:spacing w:after="0"/>
              <w:rPr>
                <w:sz w:val="13"/>
                <w:szCs w:val="13"/>
                <w:color w:val="auto"/>
              </w:rPr>
            </w:pPr>
          </w:p>
        </w:tc>
        <w:tc>
          <w:tcPr>
            <w:tcW w:w="6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28"/>
              <w:spacing w:after="0" w:line="158" w:lineRule="exact"/>
              <w:rPr>
                <w:sz w:val="20"/>
                <w:szCs w:val="20"/>
                <w:color w:val="auto"/>
              </w:rPr>
            </w:pPr>
            <w:r>
              <w:rPr>
                <w:rFonts w:ascii="Times New Roman" w:cs="Times New Roman" w:eastAsia="Times New Roman" w:hAnsi="Times New Roman"/>
                <w:sz w:val="14"/>
                <w:szCs w:val="14"/>
                <w:color w:val="auto"/>
              </w:rPr>
              <w:t>2017</w:t>
            </w:r>
          </w:p>
        </w:tc>
        <w:tc>
          <w:tcPr>
            <w:tcW w:w="340" w:type="dxa"/>
            <w:vAlign w:val="bottom"/>
          </w:tcPr>
          <w:p>
            <w:pPr>
              <w:spacing w:after="0"/>
              <w:rPr>
                <w:sz w:val="13"/>
                <w:szCs w:val="13"/>
                <w:color w:val="auto"/>
              </w:rPr>
            </w:pPr>
          </w:p>
        </w:tc>
        <w:tc>
          <w:tcPr>
            <w:tcW w:w="900" w:type="dxa"/>
            <w:vAlign w:val="bottom"/>
          </w:tcPr>
          <w:p>
            <w:pPr>
              <w:jc w:val="right"/>
              <w:ind w:right="248"/>
              <w:spacing w:after="0" w:line="158"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flows from operating</w:t>
            </w:r>
          </w:p>
        </w:tc>
        <w:tc>
          <w:tcPr>
            <w:tcW w:w="6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729,980</w:t>
            </w:r>
          </w:p>
        </w:tc>
        <w:tc>
          <w:tcPr>
            <w:tcW w:w="3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634,559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69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Depreciation and amortization of premises and equipment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54,901</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Amortization of capitalized servicing rights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27,984</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Amortization of core deposit and other intangible assets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16,533</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Provision for deferred income taxes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17,136</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Asset write-downs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8,797</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gain on sales of assets</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(21,272)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(10,477)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Net change in accrued interest receivable, payable</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(6,350)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change in other accrued income and expense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50,660</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(32,180)</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Net change in loans originated for sale</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545,864</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(188,771)</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change in trading account assets and liabilities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92,054</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(40,552)</w:t>
            </w:r>
          </w:p>
        </w:tc>
        <w:tc>
          <w:tcPr>
            <w:tcW w:w="0" w:type="dxa"/>
            <w:vAlign w:val="bottom"/>
          </w:tcPr>
          <w:p>
            <w:pPr>
              <w:spacing w:after="0"/>
              <w:rPr>
                <w:sz w:val="1"/>
                <w:szCs w:val="1"/>
                <w:color w:val="auto"/>
              </w:rPr>
            </w:pPr>
          </w:p>
        </w:tc>
      </w:tr>
      <w:tr>
        <w:trPr>
          <w:trHeight w:val="156"/>
        </w:trPr>
        <w:tc>
          <w:tcPr>
            <w:tcW w:w="74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CFF0FC"/>
            </w:tcBorders>
            <w:shd w:val="clear" w:color="auto" w:fill="CFF0FC"/>
          </w:tcPr>
          <w:p>
            <w:pPr>
              <w:spacing w:after="0"/>
              <w:rPr>
                <w:sz w:val="13"/>
                <w:szCs w:val="13"/>
                <w:color w:val="auto"/>
              </w:rPr>
            </w:pPr>
          </w:p>
        </w:tc>
        <w:tc>
          <w:tcPr>
            <w:tcW w:w="6920" w:type="dxa"/>
            <w:vAlign w:val="bottom"/>
            <w:tcBorders>
              <w:top w:val="single" w:sz="8" w:color="CFF0FC"/>
            </w:tcBorders>
            <w:shd w:val="clear" w:color="auto" w:fill="CFF0FC"/>
          </w:tcPr>
          <w:p>
            <w:pPr>
              <w:ind w:left="5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1,623,287</w:t>
            </w:r>
          </w:p>
        </w:tc>
        <w:tc>
          <w:tcPr>
            <w:tcW w:w="3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650,031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Cash flows from investing</w:t>
            </w:r>
          </w:p>
        </w:tc>
        <w:tc>
          <w:tcPr>
            <w:tcW w:w="6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Proceeds from sales of investment securities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6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Available for sale</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512,129</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31,016</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Proceeds from maturities of investment securities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Available for sale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1,151,982</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Held to maturity</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245,105</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291,917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Available for sale</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(244,449)</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(518,203)</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Held to maturity</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(1,175,608)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(10,456)</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(68,825)</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decrease (increase) in loans and leases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1,134,470</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(930,426)</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increase in interest-bearing deposits at banks</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(23,191)</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(880,489)</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Capital expenditures, net</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(49,862)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(36,619)</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decrease in loan servicing advances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104,289</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119,190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47,742</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(98,452)</w:t>
            </w:r>
          </w:p>
        </w:tc>
        <w:tc>
          <w:tcPr>
            <w:tcW w:w="0" w:type="dxa"/>
            <w:vAlign w:val="bottom"/>
          </w:tcPr>
          <w:p>
            <w:pPr>
              <w:spacing w:after="0"/>
              <w:rPr>
                <w:sz w:val="1"/>
                <w:szCs w:val="1"/>
                <w:color w:val="auto"/>
              </w:rPr>
            </w:pPr>
          </w:p>
        </w:tc>
      </w:tr>
      <w:tr>
        <w:trPr>
          <w:trHeight w:val="156"/>
        </w:trPr>
        <w:tc>
          <w:tcPr>
            <w:tcW w:w="74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CFF0FC"/>
            </w:tcBorders>
            <w:shd w:val="clear" w:color="auto" w:fill="CFF0FC"/>
          </w:tcPr>
          <w:p>
            <w:pPr>
              <w:spacing w:after="0"/>
              <w:rPr>
                <w:sz w:val="13"/>
                <w:szCs w:val="13"/>
                <w:color w:val="auto"/>
              </w:rPr>
            </w:pPr>
          </w:p>
        </w:tc>
        <w:tc>
          <w:tcPr>
            <w:tcW w:w="6920" w:type="dxa"/>
            <w:vAlign w:val="bottom"/>
            <w:tcBorders>
              <w:top w:val="single" w:sz="8" w:color="CFF0FC"/>
            </w:tcBorders>
            <w:shd w:val="clear" w:color="auto" w:fill="CFF0FC"/>
          </w:tcPr>
          <w:p>
            <w:pPr>
              <w:ind w:left="540"/>
              <w:spacing w:after="0" w:line="155" w:lineRule="exact"/>
              <w:rPr>
                <w:sz w:val="20"/>
                <w:szCs w:val="20"/>
                <w:color w:val="auto"/>
              </w:rPr>
            </w:pPr>
            <w:r>
              <w:rPr>
                <w:rFonts w:ascii="Times New Roman" w:cs="Times New Roman" w:eastAsia="Times New Roman" w:hAnsi="Times New Roman"/>
                <w:sz w:val="14"/>
                <w:szCs w:val="14"/>
                <w:color w:val="auto"/>
              </w:rPr>
              <w:t>Net cash provided (used) by investing activities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1,664,798</w:t>
            </w:r>
          </w:p>
        </w:tc>
        <w:tc>
          <w:tcPr>
            <w:tcW w:w="3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(907,098)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Cash flows from financing</w:t>
            </w:r>
          </w:p>
        </w:tc>
        <w:tc>
          <w:tcPr>
            <w:tcW w:w="6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Net increase (decrease) in deposits</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(1,949,877)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2,705,332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6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increase (decrease) in short-term borrowings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1,532,011</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(1,693,603)</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898,200</w:t>
            </w:r>
          </w:p>
        </w:tc>
        <w:tc>
          <w:tcPr>
            <w:tcW w:w="3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Payments on long-term borrowings</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(2,728,059)</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(322,591)</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(756,967)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(254,000)</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Dividends paid — common</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(230,652)</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(223,179)</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Dividends paid — preferred</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(36,474)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(40,635)</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8,662</w:t>
            </w:r>
          </w:p>
        </w:tc>
        <w:tc>
          <w:tcPr>
            <w:tcW w:w="3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6920" w:type="dxa"/>
            <w:vAlign w:val="bottom"/>
            <w:tcBorders>
              <w:bottom w:val="single" w:sz="8" w:color="CFF0FC"/>
            </w:tcBorders>
          </w:tcPr>
          <w:p>
            <w:pPr>
              <w:ind w:left="540"/>
              <w:spacing w:after="0" w:line="155" w:lineRule="exact"/>
              <w:rPr>
                <w:sz w:val="20"/>
                <w:szCs w:val="20"/>
                <w:color w:val="auto"/>
              </w:rPr>
            </w:pPr>
            <w:r>
              <w:rPr>
                <w:rFonts w:ascii="Times New Roman" w:cs="Times New Roman" w:eastAsia="Times New Roman" w:hAnsi="Times New Roman"/>
                <w:sz w:val="14"/>
                <w:szCs w:val="14"/>
                <w:color w:val="auto"/>
              </w:rPr>
              <w:t>Net cash provided (used) by financing activities</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(3,263,156)</w:t>
            </w:r>
          </w:p>
        </w:tc>
        <w:tc>
          <w:tcPr>
            <w:tcW w:w="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173,469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920" w:type="dxa"/>
            <w:vAlign w:val="bottom"/>
            <w:shd w:val="clear" w:color="auto" w:fill="CFF0FC"/>
          </w:tcPr>
          <w:p>
            <w:pPr>
              <w:ind w:left="300"/>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24,929</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(83,598)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692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1,320,549</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1,368,040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shd w:val="clear" w:color="auto" w:fill="CFF0FC"/>
          </w:tcPr>
          <w:p>
            <w:pPr>
              <w:spacing w:after="0"/>
              <w:rPr>
                <w:sz w:val="13"/>
                <w:szCs w:val="13"/>
                <w:color w:val="auto"/>
              </w:rPr>
            </w:pPr>
          </w:p>
        </w:tc>
        <w:tc>
          <w:tcPr>
            <w:tcW w:w="1540" w:type="dxa"/>
            <w:vAlign w:val="bottom"/>
            <w:tcBorders>
              <w:bottom w:val="single" w:sz="8" w:color="CFF0FC"/>
            </w:tcBorders>
            <w:shd w:val="clear" w:color="auto" w:fill="CFF0FC"/>
          </w:tcPr>
          <w:p>
            <w:pPr>
              <w:spacing w:after="0"/>
              <w:rPr>
                <w:sz w:val="13"/>
                <w:szCs w:val="13"/>
                <w:color w:val="auto"/>
              </w:rPr>
            </w:pPr>
          </w:p>
        </w:tc>
        <w:tc>
          <w:tcPr>
            <w:tcW w:w="6920" w:type="dxa"/>
            <w:vAlign w:val="bottom"/>
            <w:tcBorders>
              <w:bottom w:val="single" w:sz="8" w:color="CFF0FC"/>
            </w:tcBorders>
            <w:shd w:val="clear" w:color="auto" w:fill="CFF0FC"/>
          </w:tcPr>
          <w:p>
            <w:pPr>
              <w:ind w:left="300"/>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1,345,478</w:t>
            </w:r>
          </w:p>
        </w:tc>
        <w:tc>
          <w:tcPr>
            <w:tcW w:w="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1,284,442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Supplemental disclosure of cash</w:t>
            </w: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6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Interest received during the period</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2,038,009</w:t>
            </w:r>
          </w:p>
        </w:tc>
        <w:tc>
          <w:tcPr>
            <w:tcW w:w="3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1,947,027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flow information</w:t>
            </w:r>
          </w:p>
        </w:tc>
        <w:tc>
          <w:tcPr>
            <w:tcW w:w="69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Interest paid during the period</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199,621</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257,222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spacing w:after="0"/>
              <w:rPr>
                <w:sz w:val="17"/>
                <w:szCs w:val="17"/>
                <w:color w:val="auto"/>
              </w:rPr>
            </w:pPr>
          </w:p>
        </w:tc>
        <w:tc>
          <w:tcPr>
            <w:tcW w:w="692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4"/>
                <w:szCs w:val="14"/>
                <w:color w:val="auto"/>
              </w:rPr>
              <w:t>Income taxes paid during the period</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321,106</w:t>
            </w:r>
          </w:p>
        </w:tc>
        <w:tc>
          <w:tcPr>
            <w:tcW w:w="3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105,361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280" w:type="dxa"/>
            <w:vAlign w:val="bottom"/>
            <w:gridSpan w:val="2"/>
            <w:shd w:val="clear" w:color="auto" w:fill="CFF0FC"/>
          </w:tcPr>
          <w:p>
            <w:pPr>
              <w:spacing w:after="0" w:line="120" w:lineRule="exact"/>
              <w:rPr>
                <w:sz w:val="20"/>
                <w:szCs w:val="20"/>
                <w:color w:val="auto"/>
              </w:rPr>
            </w:pPr>
            <w:r>
              <w:rPr>
                <w:rFonts w:ascii="Times New Roman" w:cs="Times New Roman" w:eastAsia="Times New Roman" w:hAnsi="Times New Roman"/>
                <w:sz w:val="13"/>
                <w:szCs w:val="13"/>
                <w:color w:val="auto"/>
              </w:rPr>
              <w:t>Supplemental schedule of</w:t>
            </w:r>
          </w:p>
        </w:tc>
        <w:tc>
          <w:tcPr>
            <w:tcW w:w="69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investing and financing</w:t>
            </w:r>
          </w:p>
        </w:tc>
        <w:tc>
          <w:tcPr>
            <w:tcW w:w="692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Real estate acquired in settlement of loans</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57,202</w:t>
            </w:r>
          </w:p>
        </w:tc>
        <w:tc>
          <w:tcPr>
            <w:tcW w:w="34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692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Securitization of residential mortgage loans allocated to</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Available-for-sale investment securities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10,025</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Capitalized servicing rights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Additional</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Preferred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Paid-in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Retained</w:t>
            </w: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Treasury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00" w:type="dxa"/>
            <w:vAlign w:val="bottom"/>
            <w:gridSpan w:val="2"/>
            <w:vMerge w:val="continue"/>
          </w:tcPr>
          <w:p>
            <w:pPr>
              <w:spacing w:after="0"/>
              <w:rPr>
                <w:sz w:val="15"/>
                <w:szCs w:val="15"/>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tcPr>
          <w:p>
            <w:pPr>
              <w:jc w:val="right"/>
              <w:ind w:right="340"/>
              <w:spacing w:after="0" w:line="158" w:lineRule="exact"/>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Issuable</w:t>
            </w:r>
          </w:p>
        </w:tc>
        <w:tc>
          <w:tcPr>
            <w:tcW w:w="104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960" w:type="dxa"/>
            <w:vAlign w:val="bottom"/>
            <w:gridSpan w:val="2"/>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5"/>
                <w:szCs w:val="15"/>
                <w:color w:val="auto"/>
              </w:rPr>
            </w:pPr>
          </w:p>
        </w:tc>
        <w:tc>
          <w:tcPr>
            <w:tcW w:w="11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(Loss), Net</w:t>
            </w:r>
          </w:p>
        </w:tc>
        <w:tc>
          <w:tcPr>
            <w:tcW w:w="110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color w:val="auto"/>
              </w:rPr>
              <w:t>Stock</w:t>
            </w:r>
          </w:p>
        </w:tc>
        <w:tc>
          <w:tcPr>
            <w:tcW w:w="100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January 1, 2016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$ 1,231,500</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6,680,768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8,430,502</w:t>
            </w: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(251,627)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16,173,289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634,559</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150,606</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785,165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cash dividends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(40,635)</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5,320 Series A stock</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warrants into 1,983 shares of</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(254,000)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Compensation expense, net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Exercises of stock options, net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 purchase plan</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Directors’ stock plan</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compensation plans,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including dividend equivalents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cash dividends —</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$1.40 per share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(223,074)</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(223,074)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2016</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$ 1,231,500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6,690,671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8,801,305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16,471,514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January 1, 2017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$ 1,231,500</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79,973</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6,676,948</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9,222,488</w:t>
            </w:r>
          </w:p>
        </w:tc>
        <w:tc>
          <w:tcPr>
            <w:tcW w:w="1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(294,636)</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(431,796)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16,486,622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729,980</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cash dividends</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(36,474)</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146,157 Series A stock</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warrants into 79,470 shares of</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(10,443)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(756,967)</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(756,967)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 expense, net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(58,749)</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56,290</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Exercises of stock options, net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 purchase plan</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Directors’ stock plan</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compensation plans, net,</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including dividend equivalents</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cash dividends —</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$1.50 per share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(230,473)</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(230,473)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2017</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$ 1,231,500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6,604,930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9,685,478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(1,050,141</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16,283,537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- 7 -</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NOTES TO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2016 (“2016 Annual Report”), except that effective January 2017 the Company adopted amended accounting guidance that is discussed in note 16 herein. The most significant of those changes related to the accounting for excess tax benefits or deficiencies associated with share-based compensation whereby beginning in 2017 those amounts are recognized in income tax expense. Previously, tax effects resulting from changes in M&amp;T’s share price subsequent to the grant date were recorded through shareholders’ equity. The adoption of this new accounting guidance resulted in a reduction of income tax expense for the three months ended March 31, 2017 of $18 million, or $.12 of diluted earnings per common share. The impact on income tax expense and diluted earnings per common share in the second quarter of 2017 was not significant. In the opinion of management, all adjustments necessary for a fair presentation have been made and were all of a normal recurring nature.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2. Acquisitions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connection with the acquisition of Hudson City Bancorp, Inc. (“Hudson City”) on November 1, 2015 the Company incurred merger-related expenses related to systems conversions and other costs of integrating and conforming acquired operations with and into the Company. Those expenses consisted largely of professional services and other temporary help fees associated with systems conversions and/or integration of operations; costs related to termination of existing contractual arrangements for various services; initial marketing and promotion expenses designed to introduce the Company to its new customers; severance (for former Hudson City employees); travel costs; and other costs of completing the transaction and commencing operations in new markets and offices.</w:t>
      </w:r>
    </w:p>
    <w:p>
      <w:pPr>
        <w:spacing w:after="0" w:line="183"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A summary of merger-related expenses included in the consolidated statement of income for the three-month and six-month periods ended June 30, 2016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June 30, 2016</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June 30, 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data processing and software</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cost of operations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There were no merger-related expenses during the three-month or six-month periods ended June 30, 2017.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3. Investment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Amortized</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Gross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Gross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Estimated</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Cost</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Gains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Losses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3"/>
          </w:tcPr>
          <w:p>
            <w:pPr>
              <w:jc w:val="right"/>
              <w:ind w:right="632"/>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2,118,665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2,107,866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9,601,810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9,608,182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11,911,151</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118,505</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100,791</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11,928,865</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3,196,908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3,220,652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147,189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115,623</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3,388,268</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37,547</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45,283</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3,380,532</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498,927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498,927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15,798,346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146,074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15,808,324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1,912,110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1,902,544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10,980,507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10,954,861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307,964</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45,073</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352,466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13,338,301</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135,286</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141,515</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13,332,072</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2,233,173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2,263,297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157,704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121,481</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2,457,278</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2,451,222</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461,118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461,118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16,256,697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16,244,412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- 9 -</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ind w:right="20" w:firstLine="518"/>
        <w:spacing w:after="0" w:line="270"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and six-month periods ended June 30, 2017 and 2016, respectively.</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June 30, 2017, the amortized cost and estimated fair value of debt securities by contractual maturity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Amortized</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Estimated</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Cost</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Fair Value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3"/>
          </w:tcPr>
          <w:p>
            <w:pPr>
              <w:jc w:val="right"/>
              <w:ind w:right="652"/>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393,523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392,835</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1,730,289</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1,720,332</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72,728</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59,287</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2,255,473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2,236,602</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 available for sale</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9,601,846</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9,608,217</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2"/>
                <w:szCs w:val="22"/>
                <w:color w:val="auto"/>
              </w:rPr>
            </w:pPr>
          </w:p>
        </w:tc>
        <w:tc>
          <w:tcPr>
            <w:tcW w:w="23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11,857,319</w:t>
            </w:r>
          </w:p>
        </w:tc>
        <w:tc>
          <w:tcPr>
            <w:tcW w:w="3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11,844,819</w:t>
            </w:r>
          </w:p>
        </w:tc>
        <w:tc>
          <w:tcPr>
            <w:tcW w:w="80" w:type="dxa"/>
            <w:vAlign w:val="bottom"/>
            <w:tcBorders>
              <w:bottom w:val="single" w:sz="8" w:color="CFF0FC"/>
            </w:tcBorders>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 held to maturity</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3,344,097</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3,336,275</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3,388,268</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3,380,532</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- 10 -</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A summary of investment securities that as of June 30, 2017 and December 31, 2016 had been in a continuous unrealized loss position for less than twelve months and those that had been in a continuous unrealized loss position for twelve months or longer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Less Than 12 Months</w:t>
            </w:r>
          </w:p>
        </w:tc>
        <w:tc>
          <w:tcPr>
            <w:tcW w:w="20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color w:val="auto"/>
              </w:rPr>
              <w:t>12 Months or More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80"/>
              <w:spacing w:after="0" w:line="133" w:lineRule="exact"/>
              <w:rPr>
                <w:sz w:val="20"/>
                <w:szCs w:val="20"/>
                <w:color w:val="auto"/>
              </w:rPr>
            </w:pPr>
            <w:r>
              <w:rPr>
                <w:rFonts w:ascii="Times New Roman" w:cs="Times New Roman" w:eastAsia="Times New Roman" w:hAnsi="Times New Roman"/>
                <w:sz w:val="14"/>
                <w:szCs w:val="14"/>
                <w:color w:val="auto"/>
              </w:rPr>
              <w:t>Fair</w:t>
            </w:r>
          </w:p>
        </w:tc>
        <w:tc>
          <w:tcPr>
            <w:tcW w:w="9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Unrealized</w:t>
            </w:r>
          </w:p>
        </w:tc>
        <w:tc>
          <w:tcPr>
            <w:tcW w:w="3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620"/>
              <w:spacing w:after="0" w:line="133" w:lineRule="exact"/>
              <w:rPr>
                <w:sz w:val="20"/>
                <w:szCs w:val="20"/>
                <w:color w:val="auto"/>
              </w:rPr>
            </w:pPr>
            <w:r>
              <w:rPr>
                <w:rFonts w:ascii="Times New Roman" w:cs="Times New Roman" w:eastAsia="Times New Roman" w:hAnsi="Times New Roman"/>
                <w:sz w:val="14"/>
                <w:szCs w:val="14"/>
                <w:color w:val="auto"/>
              </w:rPr>
              <w:t>Fair</w:t>
            </w:r>
          </w:p>
        </w:tc>
        <w:tc>
          <w:tcPr>
            <w:tcW w:w="960" w:type="dxa"/>
            <w:vAlign w:val="bottom"/>
            <w:tcBorders>
              <w:top w:val="single" w:sz="8" w:color="auto"/>
            </w:tcBorders>
          </w:tcPr>
          <w:p>
            <w:pPr>
              <w:jc w:val="right"/>
              <w:ind w:right="91"/>
              <w:spacing w:after="0" w:line="133" w:lineRule="exact"/>
              <w:rPr>
                <w:sz w:val="20"/>
                <w:szCs w:val="20"/>
                <w:color w:val="auto"/>
              </w:rPr>
            </w:pPr>
            <w:r>
              <w:rPr>
                <w:rFonts w:ascii="Times New Roman" w:cs="Times New Roman" w:eastAsia="Times New Roman" w:hAnsi="Times New Roman"/>
                <w:sz w:val="14"/>
                <w:szCs w:val="14"/>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5"/>
              </w:rPr>
              <w:t>Value</w:t>
            </w: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w w:val="99"/>
              </w:rPr>
              <w:t>Losses</w:t>
            </w:r>
          </w:p>
        </w:tc>
        <w:tc>
          <w:tcPr>
            <w:tcW w:w="9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w w:val="95"/>
              </w:rPr>
              <w:t>Value</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68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1,952,450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(10,838)</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4,560,342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(77,584)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6,531,856</w:t>
            </w:r>
          </w:p>
        </w:tc>
        <w:tc>
          <w:tcPr>
            <w:tcW w:w="3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(88,744)</w:t>
            </w:r>
          </w:p>
        </w:tc>
        <w:tc>
          <w:tcPr>
            <w:tcW w:w="3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150,376</w:t>
            </w:r>
          </w:p>
        </w:tc>
        <w:tc>
          <w:tcPr>
            <w:tcW w:w="3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1,046,740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(11,324)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58,671</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1,055,438</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85,587</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7,587,294</w:t>
            </w:r>
          </w:p>
        </w:tc>
        <w:tc>
          <w:tcPr>
            <w:tcW w:w="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(100,136)</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235,963</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1,710,241</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(9,950)</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6,730,829</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(113,374)</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81,003</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85,400</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(16,995)</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8,458,946</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(123,747)</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169,469</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618,832</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(6,842)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Privately issued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17,911</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(1,222)</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57,016</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654,731</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(8,190)</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86,388</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9,113,677</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(131,937)</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255,857</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Company owned 1,038 individual investment securities with aggregate gross unrealized losses of $146 million at June 30, 2017. Based on a review of each of the securities in the investment securities portfolio at June 30, 2017, the Company concluded that it expected to recover the amortized cost basis of its investment. As of June 30, 2017, the Company does not intend to sell nor is it anticipated that it would be required to sell any of its impaired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investment securities at a loss. At June 30, 2017, the Company has not identified events or changes in circumstances which may have a significant adverse effect on the carrying value of the $499 million of cost method investment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June 30, 2017 and December 31, 2016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Accruing</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Accruing</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Acquired at</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Past</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a Discount</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30-89 Days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Due 90</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Past Due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Purchased</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1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Days or</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90 days</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Nonaccrual</w:t>
            </w:r>
          </w:p>
        </w:tc>
        <w:tc>
          <w:tcPr>
            <w:tcW w:w="280" w:type="dxa"/>
            <w:vAlign w:val="bottom"/>
          </w:tcPr>
          <w:p>
            <w:pPr>
              <w:spacing w:after="0"/>
              <w:rPr>
                <w:sz w:val="12"/>
                <w:szCs w:val="12"/>
                <w:color w:val="auto"/>
              </w:rPr>
            </w:pPr>
          </w:p>
        </w:tc>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Past Due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More (a)</w:t>
            </w:r>
          </w:p>
        </w:tc>
        <w:tc>
          <w:tcPr>
            <w:tcW w:w="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More (b)</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Impaired (c)</w:t>
            </w: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$21,936,863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$22,191,051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25,237,177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256,218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201,518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25,750,262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1,639,210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5,808,838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5,928,193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16,438,548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424,098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336,177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236,813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17,676,687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2,968,241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126,222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3,283,484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5,337,934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5,460,188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3,166,912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3,814,045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24,052</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3,876,844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86,347,768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512,393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89,080,555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$22,287,857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$22,610,047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25,076,684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183,531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31,404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25,487,744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1,884,989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5,985,118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6,096,324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17,631,377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485,468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281,298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378,549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229,242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19,017,471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3,239,344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5,502,091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5,641,149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2,869,232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3,491,629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87,968,321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90,853,416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loans acquired at a discount.</w:t>
      </w:r>
    </w:p>
    <w:p>
      <w:pPr>
        <w:spacing w:after="0" w:line="9" w:lineRule="exact"/>
        <w:rPr>
          <w:rFonts w:ascii="Times New Roman" w:cs="Times New Roman" w:eastAsia="Times New Roman" w:hAnsi="Times New Roman"/>
          <w:sz w:val="18"/>
          <w:szCs w:val="18"/>
          <w:i w:val="1"/>
          <w:iCs w:val="1"/>
          <w:color w:val="auto"/>
        </w:rPr>
      </w:pPr>
    </w:p>
    <w:p>
      <w:pPr>
        <w:ind w:left="460" w:right="20" w:hanging="452"/>
        <w:spacing w:after="0" w:line="250" w:lineRule="auto"/>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Loans acquired at a discount that were recorded at fair value at acquisition date. This category does not include purchased impaired loans that are presented separately.</w:t>
      </w:r>
    </w:p>
    <w:p>
      <w:pPr>
        <w:ind w:left="460" w:hanging="452"/>
        <w:spacing w:after="0"/>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Accruing loans acquired at a discount that were impaired at acquisition date and recorded at fair value.</w:t>
      </w:r>
    </w:p>
    <w:p>
      <w:pPr>
        <w:spacing w:after="0" w:line="200" w:lineRule="exact"/>
        <w:rPr>
          <w:rFonts w:ascii="Times New Roman" w:cs="Times New Roman" w:eastAsia="Times New Roman" w:hAnsi="Times New Roman"/>
          <w:sz w:val="18"/>
          <w:szCs w:val="18"/>
          <w:i w:val="1"/>
          <w:iCs w:val="1"/>
          <w:color w:val="auto"/>
        </w:rPr>
      </w:pPr>
    </w:p>
    <w:p>
      <w:pPr>
        <w:spacing w:after="0" w:line="222"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One-to-four family residential mortgage loans held for sale were $340 million and $414 million at June 30, 2017 and December 31, 2016, respectively. Commercial real estate loans held for sale were $208 million at June 30, 2017 and $643 million at December 31, 2016.</w:t>
      </w:r>
    </w:p>
    <w:p>
      <w:pPr>
        <w:spacing w:after="0" w:line="65"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r>
      <w:tr>
        <w:trPr>
          <w:trHeight w:val="182"/>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r>
      <w:tr>
        <w:trPr>
          <w:trHeight w:val="43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1,842,739</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2,311,699</w:t>
            </w:r>
          </w:p>
        </w:tc>
        <w:tc>
          <w:tcPr>
            <w:tcW w:w="80" w:type="dxa"/>
            <w:vAlign w:val="bottom"/>
          </w:tcPr>
          <w:p>
            <w:pPr>
              <w:spacing w:after="0"/>
              <w:rPr>
                <w:sz w:val="24"/>
                <w:szCs w:val="24"/>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59,928</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368,661</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456,820</w:t>
            </w: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717,139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799,802</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240,640</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487,721</w:t>
            </w:r>
          </w:p>
        </w:tc>
        <w:tc>
          <w:tcPr>
            <w:tcW w:w="8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1,378,168</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1,804,271</w:t>
            </w: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Purchased impaired loans included in the table above totaled $512 million at June 30, 2017 and $578 million at December 31, 2016, representing less than 1% of the Company’s assets as of each date. A summary of changes in the accretable yield for loans acquired at a discount for the three months and six months ended June 30, 2017 and 2016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color w:val="auto"/>
              </w:rPr>
              <w:t>Purchased</w:t>
            </w: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color w:val="auto"/>
              </w:rPr>
              <w:t>Purchased</w:t>
            </w: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Impaired</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Acquired</w:t>
            </w: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Impaired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Acquired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143,454</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181,310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171,185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(10,806)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(20,923)</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 from nonaccretable balance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(a)</w:t>
            </w:r>
          </w:p>
        </w:tc>
        <w:tc>
          <w:tcPr>
            <w:tcW w:w="1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133,532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163,099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Six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color w:val="auto"/>
              </w:rPr>
              <w:t>Purchased</w:t>
            </w: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color w:val="auto"/>
              </w:rPr>
              <w:t>Purchased</w:t>
            </w: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Impaired</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Acquired</w:t>
            </w: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Impaired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Acquired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154,233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184,618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(21,731)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(46,441)</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(28,122)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 from nonaccretable balance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(a)</w:t>
            </w:r>
          </w:p>
        </w:tc>
        <w:tc>
          <w:tcPr>
            <w:tcW w:w="1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133,532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163,099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changes in expected cash flows including changes in interest rates and prepayment assumptions.</w:t>
      </w:r>
    </w:p>
    <w:p>
      <w:pPr>
        <w:spacing w:after="0" w:line="200" w:lineRule="exact"/>
        <w:rPr>
          <w:rFonts w:ascii="Times New Roman" w:cs="Times New Roman" w:eastAsia="Times New Roman" w:hAnsi="Times New Roman"/>
          <w:sz w:val="18"/>
          <w:szCs w:val="18"/>
          <w:i w:val="1"/>
          <w:iCs w:val="1"/>
          <w:color w:val="auto"/>
        </w:rPr>
      </w:pPr>
    </w:p>
    <w:p>
      <w:pPr>
        <w:spacing w:after="0" w:line="243"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June 30, 2017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Commercial,</w:t>
            </w:r>
          </w:p>
        </w:tc>
        <w:tc>
          <w:tcPr>
            <w:tcW w:w="212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Financial,</w:t>
            </w:r>
          </w:p>
        </w:tc>
        <w:tc>
          <w:tcPr>
            <w:tcW w:w="21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08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color w:val="auto"/>
              </w:rPr>
              <w:t>Unallocated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$ 347,760</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360,010</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62,012</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153,172</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78,476</w:t>
            </w:r>
          </w:p>
        </w:tc>
        <w:tc>
          <w:tcPr>
            <w:tcW w:w="320" w:type="dxa"/>
            <w:vAlign w:val="bottom"/>
          </w:tcPr>
          <w:p>
            <w:pPr>
              <w:spacing w:after="0"/>
              <w:rPr>
                <w:sz w:val="24"/>
                <w:szCs w:val="24"/>
                <w:color w:val="auto"/>
              </w:rPr>
            </w:pP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(25,247)</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(1,853)</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(5,899)</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(28,683)</w:t>
            </w: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(61,682)</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3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$ 339,314</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366,229</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66,006</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158,559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June 30, 2016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Commercial,</w:t>
            </w:r>
          </w:p>
        </w:tc>
        <w:tc>
          <w:tcPr>
            <w:tcW w:w="212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Financial,</w:t>
            </w:r>
          </w:p>
        </w:tc>
        <w:tc>
          <w:tcPr>
            <w:tcW w:w="21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0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Unallocated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$ 323,866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331,985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68,371</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160,819</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77,711</w:t>
            </w:r>
          </w:p>
        </w:tc>
        <w:tc>
          <w:tcPr>
            <w:tcW w:w="320" w:type="dxa"/>
            <w:vAlign w:val="bottom"/>
          </w:tcPr>
          <w:p>
            <w:pPr>
              <w:spacing w:after="0"/>
              <w:rPr>
                <w:sz w:val="24"/>
                <w:szCs w:val="24"/>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(10,919)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(7,487)</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(733)</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(5,090)</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(33,560)</w:t>
            </w: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(46,870)</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3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$ 316,079</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349,674</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157,361</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six months ended June 30, 2017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Commercial,</w:t>
            </w:r>
          </w:p>
        </w:tc>
        <w:tc>
          <w:tcPr>
            <w:tcW w:w="212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Financial,</w:t>
            </w:r>
          </w:p>
        </w:tc>
        <w:tc>
          <w:tcPr>
            <w:tcW w:w="21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Unallocated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6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$ 330,833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362,719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78,030</w:t>
            </w: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42,191</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Charge-offs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(41,604)</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(7,298)</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(12,158)</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(63,186)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3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3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$ 339,314</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366,229</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66,006</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158,559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78,117</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- 14 -</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six months ended June 30, 2016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Commercial,</w:t>
            </w:r>
          </w:p>
        </w:tc>
        <w:tc>
          <w:tcPr>
            <w:tcW w:w="212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Financial,</w:t>
            </w:r>
          </w:p>
        </w:tc>
        <w:tc>
          <w:tcPr>
            <w:tcW w:w="21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0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Unallocated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7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$ 300,404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326,831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178,320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78,199</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42,574</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Charge-offs</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(13,636)</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(2,005)</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(12,062)</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(77,879)</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320" w:type="dxa"/>
            <w:vAlign w:val="bottom"/>
            <w:tcBorders>
              <w:top w:val="single" w:sz="8" w:color="CFF0FC"/>
            </w:tcBorders>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300" w:type="dxa"/>
            <w:vAlign w:val="bottom"/>
            <w:tcBorders>
              <w:top w:val="single" w:sz="8" w:color="CFF0FC"/>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(66,496</w:t>
            </w: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$ 316,079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349,674</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157,361</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w:t>
      </w:r>
    </w:p>
    <w:p>
      <w:pPr>
        <w:spacing w:after="0" w:line="159"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credit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loans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right="20" w:firstLine="518"/>
        <w:spacing w:after="0" w:line="270" w:lineRule="auto"/>
        <w:rPr>
          <w:sz w:val="20"/>
          <w:szCs w:val="20"/>
          <w:color w:val="auto"/>
        </w:rPr>
      </w:pPr>
      <w:r>
        <w:rPr>
          <w:rFonts w:ascii="Times New Roman" w:cs="Times New Roman" w:eastAsia="Times New Roman" w:hAnsi="Times New Roman"/>
          <w:sz w:val="21"/>
          <w:szCs w:val="21"/>
          <w:color w:val="auto"/>
        </w:rPr>
        <w:t>The following tables provide information with respect to loans and leases that were considered impaired as of June 30, 2017 and December 31, 2016 and for the three-month and six-month periods ended June 30, 2017 and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June 30, 2017</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December 31, 2016</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Recorded</w:t>
            </w: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Unpaid</w:t>
            </w: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Related</w:t>
            </w: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Recorded</w:t>
            </w:r>
          </w:p>
        </w:tc>
        <w:tc>
          <w:tcPr>
            <w:tcW w:w="30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Unpaid</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Related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0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Investment</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Balance</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Allowance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Balance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Allowance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51"/>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$ 162,881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186,158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184,432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107,191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86,666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117,969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97,879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52,611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506,873</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592,553</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484,498</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558,385</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85,046</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141,025</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121,846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21,124</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35,281</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239,690</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309,408</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276,634</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351,788</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226,765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271,204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309,218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223,685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248,216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208,512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109,310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136,125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116,192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122,308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52,611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$ 746,563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901,961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182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- 16 -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 Ended June 30, 2017</w:t>
            </w:r>
          </w:p>
        </w:tc>
        <w:tc>
          <w:tcPr>
            <w:tcW w:w="29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 June 30,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center"/>
              <w:spacing w:after="0" w:line="133" w:lineRule="exact"/>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center"/>
              <w:spacing w:after="0" w:line="133"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Average</w:t>
            </w:r>
          </w:p>
        </w:tc>
        <w:tc>
          <w:tcPr>
            <w:tcW w:w="1220" w:type="dxa"/>
            <w:vAlign w:val="bottom"/>
            <w:tcBorders>
              <w:bottom w:val="single" w:sz="8" w:color="auto"/>
            </w:tcBorders>
            <w:gridSpan w:val="3"/>
          </w:tcPr>
          <w:p>
            <w:pPr>
              <w:jc w:val="center"/>
              <w:ind w:left="414"/>
              <w:spacing w:after="0"/>
              <w:rPr>
                <w:sz w:val="20"/>
                <w:szCs w:val="20"/>
                <w:color w:val="auto"/>
              </w:rPr>
            </w:pPr>
            <w:r>
              <w:rPr>
                <w:rFonts w:ascii="Times New Roman" w:cs="Times New Roman" w:eastAsia="Times New Roman" w:hAnsi="Times New Roman"/>
                <w:sz w:val="14"/>
                <w:szCs w:val="14"/>
                <w:color w:val="auto"/>
              </w:rPr>
              <w:t>Recognized</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Average</w:t>
            </w:r>
          </w:p>
        </w:tc>
        <w:tc>
          <w:tcPr>
            <w:tcW w:w="124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color w:val="auto"/>
              </w:rPr>
              <w:t>Recognized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0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Recorded</w:t>
            </w:r>
          </w:p>
        </w:tc>
        <w:tc>
          <w:tcPr>
            <w:tcW w:w="122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gridSpan w:val="2"/>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Recorded</w:t>
            </w:r>
          </w:p>
        </w:tc>
        <w:tc>
          <w:tcPr>
            <w:tcW w:w="124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w w:val="94"/>
              </w:rPr>
              <w:t>Total</w:t>
            </w: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Investment</w:t>
            </w:r>
          </w:p>
        </w:tc>
        <w:tc>
          <w:tcPr>
            <w:tcW w:w="1220" w:type="dxa"/>
            <w:vAlign w:val="bottom"/>
            <w:gridSpan w:val="3"/>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Basis</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Investment</w:t>
            </w:r>
          </w:p>
        </w:tc>
        <w:tc>
          <w:tcPr>
            <w:tcW w:w="1240" w:type="dxa"/>
            <w:vAlign w:val="bottom"/>
            <w:gridSpan w:val="3"/>
            <w:vMerge w:val="continue"/>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$ 230,767</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291,970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108,036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95,208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$ 729,652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787,380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color w:val="auto"/>
              </w:rPr>
              <w:t>Six Months Ended June 30, 2017</w:t>
            </w:r>
          </w:p>
        </w:tc>
        <w:tc>
          <w:tcPr>
            <w:tcW w:w="29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color w:val="auto"/>
              </w:rPr>
              <w:t>Six Months Ended June 30,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center"/>
              <w:spacing w:after="0" w:line="133" w:lineRule="exact"/>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center"/>
              <w:spacing w:after="0" w:line="133"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Average</w:t>
            </w:r>
          </w:p>
        </w:tc>
        <w:tc>
          <w:tcPr>
            <w:tcW w:w="1220" w:type="dxa"/>
            <w:vAlign w:val="bottom"/>
            <w:tcBorders>
              <w:bottom w:val="single" w:sz="8" w:color="auto"/>
            </w:tcBorders>
            <w:gridSpan w:val="3"/>
          </w:tcPr>
          <w:p>
            <w:pPr>
              <w:jc w:val="center"/>
              <w:ind w:left="414"/>
              <w:spacing w:after="0"/>
              <w:rPr>
                <w:sz w:val="20"/>
                <w:szCs w:val="20"/>
                <w:color w:val="auto"/>
              </w:rPr>
            </w:pPr>
            <w:r>
              <w:rPr>
                <w:rFonts w:ascii="Times New Roman" w:cs="Times New Roman" w:eastAsia="Times New Roman" w:hAnsi="Times New Roman"/>
                <w:sz w:val="14"/>
                <w:szCs w:val="14"/>
                <w:color w:val="auto"/>
              </w:rPr>
              <w:t>Recognized</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Average</w:t>
            </w:r>
          </w:p>
        </w:tc>
        <w:tc>
          <w:tcPr>
            <w:tcW w:w="124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color w:val="auto"/>
              </w:rPr>
              <w:t>Recognized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0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Recorded</w:t>
            </w:r>
          </w:p>
        </w:tc>
        <w:tc>
          <w:tcPr>
            <w:tcW w:w="122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gridSpan w:val="2"/>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Recorded</w:t>
            </w:r>
          </w:p>
        </w:tc>
        <w:tc>
          <w:tcPr>
            <w:tcW w:w="124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w w:val="94"/>
              </w:rPr>
              <w:t>Total</w:t>
            </w: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Investment</w:t>
            </w:r>
          </w:p>
        </w:tc>
        <w:tc>
          <w:tcPr>
            <w:tcW w:w="1220" w:type="dxa"/>
            <w:vAlign w:val="bottom"/>
            <w:gridSpan w:val="3"/>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Basis</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Investment</w:t>
            </w:r>
          </w:p>
        </w:tc>
        <w:tc>
          <w:tcPr>
            <w:tcW w:w="1240" w:type="dxa"/>
            <w:vAlign w:val="bottom"/>
            <w:gridSpan w:val="3"/>
            <w:vMerge w:val="continue"/>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$ 251,352</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294,277</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191,935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106,166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97,362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Residential-limited documentation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96,033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$ 743,728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200" w:type="dxa"/>
            <w:vAlign w:val="bottom"/>
          </w:tcPr>
          <w:p>
            <w:pPr>
              <w:spacing w:after="0"/>
              <w:rPr>
                <w:sz w:val="24"/>
                <w:szCs w:val="24"/>
                <w:color w:val="auto"/>
              </w:rPr>
            </w:pPr>
          </w:p>
        </w:tc>
        <w:tc>
          <w:tcPr>
            <w:tcW w:w="194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- 17 -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right="20" w:firstLine="518"/>
        <w:spacing w:after="0" w:line="257" w:lineRule="auto"/>
        <w:rPr>
          <w:sz w:val="20"/>
          <w:szCs w:val="20"/>
          <w:color w:val="auto"/>
        </w:rPr>
      </w:pPr>
      <w:r>
        <w:rPr>
          <w:rFonts w:ascii="Times New Roman" w:cs="Times New Roman" w:eastAsia="Times New Roman" w:hAnsi="Times New Roman"/>
          <w:sz w:val="20"/>
          <w:szCs w:val="20"/>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 real estate loans are individually reviewed by centralized credit personnel each quarter to determine the appropriateness of the assigned loan grade, including whether the loan should be reported as accruing or nonaccruing. Smaller-balance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70" w:lineRule="exact"/>
        <w:rPr>
          <w:sz w:val="20"/>
          <w:szCs w:val="20"/>
          <w:color w:val="auto"/>
        </w:rPr>
      </w:pPr>
    </w:p>
    <w:p>
      <w:pPr>
        <w:jc w:val="both"/>
        <w:ind w:right="20" w:firstLine="518"/>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to the various classes of the Company’s commercial loans and commercial real estate loans.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Commercial,</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Real Estate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color w:val="auto"/>
              </w:rPr>
              <w:t>Residential</w:t>
            </w: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Financial,</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Builder and</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Commercial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Leasing, etc.</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Commercial</w:t>
            </w: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Developer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Construction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4"/>
          </w:tcPr>
          <w:p>
            <w:pPr>
              <w:ind w:left="68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3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$21,096,685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24,830,082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1,592,047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Criticized accrual</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893,071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718,662</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Criticized nonaccrual</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201,295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201,518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22,191,051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25,750,262</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1,670,536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5,928,193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Pass</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$21,398,581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24,570,269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1,789,071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5,912,351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Criticized accrual</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741,274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Criticized nonaccrual</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261,434</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176,201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22,610,047</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25,487,744</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1,922,326</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6,096,324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4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- 18 -</w:t>
            </w: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collectability on a loan-by-loan basis giving consideration to estimated collateral values. The carrying value of residential real estate loans and home equity loans and lines of credit for which a partial charge-off has been recognized totaled $42 million and $26 million, respectively, at June 30, 2017 and $44 million and $32 million, respectively, at December 31, 2016. Residential real estate loans and home equity loans and lines of credit that were more than 150 days past due but did not require a partial charge-off because the net realizable value of the collateral exceeded the outstanding customer balance were $18 million and $37 million, respectively, at June 30, 2017 and $16 million and $39 million, respectively, at December 31, 2016.</w:t>
      </w:r>
    </w:p>
    <w:p>
      <w:pPr>
        <w:spacing w:after="0" w:line="195"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The allocation of the allowance for credit losses summarized on the basis of the Company’s impairment methodology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Commercial,</w:t>
            </w:r>
          </w:p>
        </w:tc>
        <w:tc>
          <w:tcPr>
            <w:tcW w:w="22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4"/>
                <w:szCs w:val="14"/>
                <w:color w:val="auto"/>
              </w:rPr>
              <w:t>Real Estate</w:t>
            </w: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Financial,</w:t>
            </w:r>
          </w:p>
        </w:tc>
        <w:tc>
          <w:tcPr>
            <w:tcW w:w="226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120" w:type="dxa"/>
            <w:vAlign w:val="bottom"/>
            <w:gridSpan w:val="3"/>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14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820" w:type="dxa"/>
            <w:vAlign w:val="bottom"/>
            <w:tcBorders>
              <w:top w:val="single" w:sz="8" w:color="auto"/>
            </w:tcBorders>
          </w:tcPr>
          <w:p>
            <w:pPr>
              <w:jc w:val="right"/>
              <w:ind w:right="14"/>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tcPr>
          <w:p>
            <w:pPr>
              <w:spacing w:after="0"/>
              <w:rPr>
                <w:sz w:val="13"/>
                <w:szCs w:val="13"/>
                <w:color w:val="auto"/>
              </w:rPr>
            </w:pPr>
          </w:p>
        </w:tc>
        <w:tc>
          <w:tcPr>
            <w:tcW w:w="114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Pr>
          <w:p>
            <w:pPr>
              <w:spacing w:after="0"/>
              <w:rPr>
                <w:sz w:val="13"/>
                <w:szCs w:val="13"/>
                <w:color w:val="auto"/>
              </w:rPr>
            </w:pPr>
          </w:p>
        </w:tc>
        <w:tc>
          <w:tcPr>
            <w:tcW w:w="88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288,937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352,539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339,314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366,229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158,559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930,108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78,117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Borders>
              <w:bottom w:val="single" w:sz="8" w:color="CFF0FC"/>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1,008,225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282,353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348,301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Allocated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330,833</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362,719</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61,127</w:t>
            </w:r>
          </w:p>
        </w:tc>
        <w:tc>
          <w:tcPr>
            <w:tcW w:w="3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156,288</w:t>
            </w:r>
          </w:p>
        </w:tc>
        <w:tc>
          <w:tcPr>
            <w:tcW w:w="3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CFF0FC"/>
            </w:tcBorders>
          </w:tcPr>
          <w:p>
            <w:pPr>
              <w:spacing w:after="0"/>
              <w:rPr>
                <w:sz w:val="22"/>
                <w:szCs w:val="22"/>
                <w:color w:val="auto"/>
              </w:rPr>
            </w:pPr>
          </w:p>
        </w:tc>
        <w:tc>
          <w:tcPr>
            <w:tcW w:w="76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910,967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recorded investment in loans and leases summarized on the basis of the Company’s impairment methodology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Commercial,</w:t>
            </w:r>
          </w:p>
        </w:tc>
        <w:tc>
          <w:tcPr>
            <w:tcW w:w="248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color w:val="auto"/>
              </w:rPr>
              <w:t>Real Estate</w:t>
            </w: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Financial,</w:t>
            </w:r>
          </w:p>
        </w:tc>
        <w:tc>
          <w:tcPr>
            <w:tcW w:w="248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24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226,765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66,163</w:t>
            </w:r>
          </w:p>
        </w:tc>
        <w:tc>
          <w:tcPr>
            <w:tcW w:w="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21,961,979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33,049,965</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20,295,476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12,514,179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87,821,599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462,399</w:t>
            </w:r>
          </w:p>
        </w:tc>
        <w:tc>
          <w:tcPr>
            <w:tcW w:w="3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22,191,051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33,348,991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20,960,171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12,580,342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89,080,555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268,877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224,630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201,479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3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22,340,529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33,222,080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21,871,726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12,080,597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89,514,932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59,684</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517,707</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22,610,047</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33,506,394</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22,590,912</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12,146,063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90,853,416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right="20" w:firstLine="518"/>
        <w:spacing w:after="0" w:line="270" w:lineRule="auto"/>
        <w:rPr>
          <w:sz w:val="20"/>
          <w:szCs w:val="20"/>
          <w:color w:val="auto"/>
        </w:rPr>
      </w:pPr>
      <w:r>
        <w:rPr>
          <w:rFonts w:ascii="Times New Roman" w:cs="Times New Roman" w:eastAsia="Times New Roman" w:hAnsi="Times New Roman"/>
          <w:sz w:val="21"/>
          <w:szCs w:val="21"/>
          <w:color w:val="auto"/>
        </w:rPr>
        <w:t>The tables that follow summarize the Company’s loan modification activities that were considered troubled debt restructurings for the three-month and six-month periods ended June 30, 2017 and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Pre-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color w:val="auto"/>
              </w:rPr>
              <w:t>Post-modification (a)</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color w:val="auto"/>
              </w:rPr>
              <w:t>Combination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modification</w:t>
            </w:r>
          </w:p>
        </w:tc>
        <w:tc>
          <w:tcPr>
            <w:tcW w:w="100" w:type="dxa"/>
            <w:vAlign w:val="bottom"/>
          </w:tcPr>
          <w:p>
            <w:pPr>
              <w:spacing w:after="0"/>
              <w:rPr>
                <w:sz w:val="12"/>
                <w:szCs w:val="12"/>
                <w:color w:val="auto"/>
              </w:rPr>
            </w:pP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w w:val="98"/>
              </w:rPr>
              <w:t>Principal</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recorded</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Concession</w:t>
            </w:r>
          </w:p>
        </w:tc>
        <w:tc>
          <w:tcPr>
            <w:tcW w:w="12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Three Months Ended June 30, 2017</w:t>
            </w:r>
          </w:p>
        </w:tc>
        <w:tc>
          <w:tcPr>
            <w:tcW w:w="1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investment</w:t>
            </w:r>
          </w:p>
        </w:tc>
        <w:tc>
          <w:tcPr>
            <w:tcW w:w="10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Deferral</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Types</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65,613</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Automobile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105,222</w:t>
            </w:r>
          </w:p>
        </w:tc>
        <w:tc>
          <w:tcPr>
            <w:tcW w:w="3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3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59,520</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Three Months Ended June 30, 2016</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1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23,905</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Automobile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73,588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- 21 -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color w:val="auto"/>
              </w:rPr>
              <w:t>Pre-</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color w:val="auto"/>
              </w:rPr>
              <w:t>Post-modification (a)</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Combination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modification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Principal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rPr>
              <w:t>recorded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of Concession</w:t>
            </w:r>
          </w:p>
        </w:tc>
        <w:tc>
          <w:tcPr>
            <w:tcW w:w="12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Six Months Ended June 30, 2017</w:t>
            </w:r>
          </w:p>
        </w:tc>
        <w:tc>
          <w:tcPr>
            <w:tcW w:w="800" w:type="dxa"/>
            <w:vAlign w:val="bottom"/>
            <w:gridSpan w:val="2"/>
            <w:vMerge w:val="continue"/>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investment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Deferral</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9"/>
              </w:rPr>
              <w:t>Types</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5"/>
          </w:tcPr>
          <w:p>
            <w:pPr>
              <w:ind w:left="4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3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340" w:type="dxa"/>
            <w:vAlign w:val="bottom"/>
          </w:tcPr>
          <w:p>
            <w:pPr>
              <w:spacing w:after="0"/>
              <w:rPr>
                <w:sz w:val="24"/>
                <w:szCs w:val="24"/>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37,960</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Automobile</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149,914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84,468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Six Months Ended June 30, 2016</w:t>
            </w:r>
          </w:p>
        </w:tc>
        <w:tc>
          <w:tcPr>
            <w:tcW w:w="4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00" w:type="dxa"/>
            <w:vAlign w:val="bottom"/>
            <w:tcBorders>
              <w:top w:val="single" w:sz="8" w:color="auto"/>
            </w:tcBorders>
            <w:shd w:val="clear" w:color="auto" w:fill="CFF0FC"/>
          </w:tcPr>
          <w:p>
            <w:pPr>
              <w:spacing w:after="0"/>
              <w:rPr>
                <w:sz w:val="5"/>
                <w:szCs w:val="5"/>
                <w:color w:val="auto"/>
              </w:rPr>
            </w:pPr>
          </w:p>
        </w:tc>
        <w:tc>
          <w:tcPr>
            <w:tcW w:w="3240" w:type="dxa"/>
            <w:vAlign w:val="bottom"/>
            <w:tcBorders>
              <w:top w:val="single" w:sz="8" w:color="CFF0FC"/>
            </w:tcBorders>
            <w:shd w:val="clear" w:color="auto" w:fill="CFF0FC"/>
          </w:tcPr>
          <w:p>
            <w:pPr>
              <w:spacing w:after="0"/>
              <w:rPr>
                <w:sz w:val="5"/>
                <w:szCs w:val="5"/>
                <w:color w:val="auto"/>
              </w:rPr>
            </w:pPr>
          </w:p>
        </w:tc>
        <w:tc>
          <w:tcPr>
            <w:tcW w:w="46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72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9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58,378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Automobile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93,316</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42,609</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80" w:right="20" w:hanging="472"/>
        <w:spacing w:after="0" w:line="284" w:lineRule="auto"/>
        <w:tabs>
          <w:tab w:leader="none" w:pos="4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5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2017 and 2016 and for which there was a subsequent payment default during the six-month periods ended June 30, 2017 and 2016, respectively, were not material.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amount of foreclosed residential real estate property held by the Company totaled $100 million and $129 million at June 30, 2017 and December 31, 2016, respectively. There were $576 million and $506 million at June 30, 2017 and December 31, 2016, respectively, in loans secured by residential real estate that were in the process of foreclosure. Of all loans in the process of foreclosure at June 30, 2017, approximately 51% were classified as purchased impaired and 18% were government guaranteed.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During May 2017, M&amp;T Bank, the principal bank subsidiary of M&amp;T, issued $900 million of senior notes that mature in May 2022 pursuant to a Bank Note Program, of which $650 million have a 2.50% fixed interest rate and $250 million have a variable rate paid quarterly at rates that are indexed to the three-month London Interbank Offered Rate (“LIBOR”). During June 2017, M&amp;T Bank redeemed $750 million of 1.40% fixed rate senior notes. The notes had a maturity date of July 25, 2017 and were redeemable on or after the 30</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day prior to the maturity date.</w:t>
      </w:r>
    </w:p>
    <w:p>
      <w:pPr>
        <w:spacing w:after="0" w:line="76"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M&amp;T had $518 million of fixed and variable rate junior subordinated deferrable interest debentures ("Junior Subordinated Debentures") outstanding at June 30, 2017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185"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85"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20"/>
          <w:szCs w:val="20"/>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 continued</w:t>
      </w:r>
    </w:p>
    <w:p>
      <w:pPr>
        <w:spacing w:after="0" w:line="112"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Also included in long-term borrowings are agreements to repurchase securities of $428 million and $1.1 billion at June 30, 2017 and December 31, 2016,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$448 million and $1.1 billion at June 30, 2017 and December 31, 2016, respectively</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6. Shareholders' equity</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Issued and outstanding preferred stock of M&amp;T as of June 30, 2017 and December 31, 2016 is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4"/>
                <w:szCs w:val="14"/>
                <w:color w:val="auto"/>
              </w:rPr>
              <w:t>Shares</w:t>
            </w:r>
          </w:p>
        </w:tc>
        <w:tc>
          <w:tcPr>
            <w:tcW w:w="2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color w:val="auto"/>
              </w:rPr>
              <w:t>Issued and</w:t>
            </w: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4"/>
                <w:szCs w:val="14"/>
                <w:color w:val="auto"/>
              </w:rPr>
              <w:t>Outstanding</w:t>
            </w:r>
          </w:p>
        </w:tc>
        <w:tc>
          <w:tcPr>
            <w:tcW w:w="28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56"/>
        </w:trPr>
        <w:tc>
          <w:tcPr>
            <w:tcW w:w="7040" w:type="dxa"/>
            <w:vAlign w:val="bottom"/>
          </w:tcPr>
          <w:p>
            <w:pPr>
              <w:spacing w:after="0"/>
              <w:rPr>
                <w:sz w:val="13"/>
                <w:szCs w:val="13"/>
                <w:color w:val="auto"/>
              </w:rPr>
            </w:pPr>
          </w:p>
        </w:tc>
        <w:tc>
          <w:tcPr>
            <w:tcW w:w="2000" w:type="dxa"/>
            <w:vAlign w:val="bottom"/>
            <w:tcBorders>
              <w:top w:val="single" w:sz="8" w:color="auto"/>
            </w:tcBorders>
            <w:gridSpan w:val="3"/>
          </w:tcPr>
          <w:p>
            <w:pPr>
              <w:ind w:left="360"/>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Fixed Rate Cumulative Perpetual Preferred Stock, $1,000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per share</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230,000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Fixed Rate Cumulative Perpetual Preferred Stock, $1,000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per share</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151,500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151,500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(b)</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350,000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F (c)</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 liquidation preference per share</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20" w:hanging="512"/>
        <w:spacing w:after="0" w:line="262" w:lineRule="auto"/>
        <w:tabs>
          <w:tab w:leader="none" w:pos="5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 if declared, are paid at 6.375%. Warrants to purchase M&amp;T common stock at $73.82 per share issued in connection with the Series A preferred stock expire in 2018 and totaled 485,637 at June 30, 2017.</w:t>
      </w:r>
    </w:p>
    <w:p>
      <w:pPr>
        <w:jc w:val="both"/>
        <w:ind w:left="520" w:hanging="512"/>
        <w:spacing w:after="0" w:line="254" w:lineRule="auto"/>
        <w:tabs>
          <w:tab w:leader="none" w:pos="5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 if declared, are paid semi-annually at a rate of 6.45% through February 14, 2024 and thereafter will be paid quarterly at a rate of the three-month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 w:lineRule="exact"/>
        <w:rPr>
          <w:rFonts w:ascii="Times New Roman" w:cs="Times New Roman" w:eastAsia="Times New Roman" w:hAnsi="Times New Roman"/>
          <w:sz w:val="18"/>
          <w:szCs w:val="18"/>
          <w:i w:val="1"/>
          <w:iCs w:val="1"/>
          <w:color w:val="auto"/>
        </w:rPr>
      </w:pPr>
    </w:p>
    <w:p>
      <w:pPr>
        <w:jc w:val="both"/>
        <w:ind w:left="520" w:hanging="512"/>
        <w:spacing w:after="0" w:line="254" w:lineRule="auto"/>
        <w:tabs>
          <w:tab w:leader="none" w:pos="5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85"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In addition to the Series A warrants mentioned in (a) above, a warrant to purchase 95,440 shares of M&amp;T common stock at $518.65 per share was outstanding at June 30, 2017. The obligation under that warrant was assumed by M&amp;T in an acquisition and expires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7. Pension plans and other postretirement benefits</w:t>
      </w:r>
    </w:p>
    <w:p>
      <w:pPr>
        <w:spacing w:after="0" w:line="11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Pension</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color w:val="auto"/>
              </w:rPr>
              <w:t>Other</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4"/>
                <w:szCs w:val="14"/>
                <w:color w:val="auto"/>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5"/>
          </w:tcPr>
          <w:p>
            <w:pPr>
              <w:jc w:val="center"/>
              <w:ind w:right="560"/>
              <w:spacing w:after="0" w:line="147" w:lineRule="exact"/>
              <w:rPr>
                <w:sz w:val="20"/>
                <w:szCs w:val="20"/>
                <w:color w:val="auto"/>
              </w:rPr>
            </w:pPr>
            <w:r>
              <w:rPr>
                <w:rFonts w:ascii="Times New Roman" w:cs="Times New Roman" w:eastAsia="Times New Roman" w:hAnsi="Times New Roman"/>
                <w:sz w:val="14"/>
                <w:szCs w:val="14"/>
                <w:color w:val="auto"/>
              </w:rPr>
              <w:t>Three Months Ended June 30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(27,062)</w:t>
            </w:r>
          </w:p>
        </w:tc>
        <w:tc>
          <w:tcPr>
            <w:tcW w:w="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(26,423)</w:t>
            </w:r>
          </w:p>
        </w:tc>
        <w:tc>
          <w:tcPr>
            <w:tcW w:w="12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(789)</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Pension</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color w:val="auto"/>
              </w:rPr>
              <w:t>Other</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4"/>
                <w:szCs w:val="14"/>
                <w:color w:val="auto"/>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5"/>
          </w:tcPr>
          <w:p>
            <w:pPr>
              <w:jc w:val="center"/>
              <w:ind w:right="580"/>
              <w:spacing w:after="0" w:line="147" w:lineRule="exact"/>
              <w:rPr>
                <w:sz w:val="20"/>
                <w:szCs w:val="20"/>
                <w:color w:val="auto"/>
              </w:rPr>
            </w:pPr>
            <w:r>
              <w:rPr>
                <w:rFonts w:ascii="Times New Roman" w:cs="Times New Roman" w:eastAsia="Times New Roman" w:hAnsi="Times New Roman"/>
                <w:sz w:val="14"/>
                <w:szCs w:val="14"/>
                <w:color w:val="auto"/>
              </w:rPr>
              <w:t>Six Months Ended June 30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(54,262)</w:t>
            </w:r>
          </w:p>
        </w:tc>
        <w:tc>
          <w:tcPr>
            <w:tcW w:w="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(54,237)</w:t>
            </w:r>
          </w:p>
        </w:tc>
        <w:tc>
          <w:tcPr>
            <w:tcW w:w="12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(1,614)</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Expense incurred in connection with the Company's defined contribution pension and retirement savings plans totaled $17,623,000 and $15,274,000 for the three months ended June 30, 2017 and 2016, respectively, and $37,042,000 and $32,964,000 for the six months ended June 30, 2017 and 2016,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8. Earnings per common share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2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2017</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2016</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gridSpan w:val="4"/>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(In thousands, except per share)</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381,053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729,980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Preferred stock dividends (a)</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(18,237)</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(20,317)</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(36,474)</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362,816</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315,714</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693,506</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compensation awards</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(2,158)</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(2,746)</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(4,298)</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360,658</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312,968</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689,208</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shares outstanding (including common stock</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issuable) and unvested stock-based compensation awards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153,770</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159,164</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154,612</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(913)</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(1,362)</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(974)</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152,857</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157,802</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153,638</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20" w:hanging="867"/>
        <w:spacing w:after="0"/>
        <w:tabs>
          <w:tab w:leader="none" w:pos="9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Including impact of not as yet declared cumulative dividends.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2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2017</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2016</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(In thousands, except per share)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362,816</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315,714</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693,506</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compensation awards</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(2,154)</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(2,740)</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(4,289)</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360,662</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312,974</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689,217</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and unvested stock-based compensation awards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154,612</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(913)</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(1,362)</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(974)</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Plus: Incremental shares from assumed conversion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awards and warrants to</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purchase common stock</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4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6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153,276</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158,341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154,108</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78"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Stock-based compensation awards and warrants to purchase common stock of M&amp;T representing 412,826 and 2,688,886 common shares during the three-month periods ended June 30, 2017 and 2016, respectively, and 402,367 and 2,764,731 common shares during the six-month periods ended June 30, 2017 and 2016, respectively, were not included in the computations of diluted earnings per common share because the effect on those periods would have been antidilutive.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Comprehensive income</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Defined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color w:val="auto"/>
                <w:w w:val="94"/>
              </w:rPr>
              <w:t>Total</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Investment Securities</w:t>
            </w:r>
          </w:p>
        </w:tc>
        <w:tc>
          <w:tcPr>
            <w:tcW w:w="240" w:type="dxa"/>
            <w:vAlign w:val="bottom"/>
            <w:gridSpan w:val="2"/>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Benefit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color w:val="auto"/>
                <w:w w:val="95"/>
              </w:rPr>
              <w:t>Amount</w:t>
            </w:r>
          </w:p>
        </w:tc>
        <w:tc>
          <w:tcPr>
            <w:tcW w:w="32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w w:val="95"/>
              </w:rPr>
              <w:t>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w w:val="94"/>
              </w:rPr>
              <w:t>With OTTI (a)</w:t>
            </w:r>
          </w:p>
        </w:tc>
        <w:tc>
          <w:tcPr>
            <w:tcW w:w="90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color w:val="auto"/>
              </w:rPr>
              <w:t>All Other</w:t>
            </w:r>
          </w:p>
        </w:tc>
        <w:tc>
          <w:tcPr>
            <w:tcW w:w="7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color w:val="auto"/>
                <w:w w:val="92"/>
              </w:rPr>
              <w:t>Plans</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3"/>
                <w:szCs w:val="13"/>
                <w:color w:val="auto"/>
              </w:rPr>
            </w:pPr>
          </w:p>
        </w:tc>
        <w:tc>
          <w:tcPr>
            <w:tcW w:w="860" w:type="dxa"/>
            <w:vAlign w:val="bottom"/>
            <w:gridSpan w:val="3"/>
          </w:tcPr>
          <w:p>
            <w:pPr>
              <w:jc w:val="center"/>
              <w:ind w:right="59"/>
              <w:spacing w:after="0" w:line="155" w:lineRule="exact"/>
              <w:rPr>
                <w:sz w:val="20"/>
                <w:szCs w:val="20"/>
                <w:color w:val="auto"/>
              </w:rPr>
            </w:pPr>
            <w:r>
              <w:rPr>
                <w:rFonts w:ascii="Times New Roman" w:cs="Times New Roman" w:eastAsia="Times New Roman" w:hAnsi="Times New Roman"/>
                <w:sz w:val="14"/>
                <w:szCs w:val="14"/>
                <w:color w:val="auto"/>
                <w:w w:val="94"/>
              </w:rPr>
              <w:t>Before Tax</w:t>
            </w:r>
          </w:p>
        </w:tc>
        <w:tc>
          <w:tcPr>
            <w:tcW w:w="320" w:type="dxa"/>
            <w:vAlign w:val="bottom"/>
          </w:tcPr>
          <w:p>
            <w:pPr>
              <w:spacing w:after="0"/>
              <w:rPr>
                <w:sz w:val="13"/>
                <w:szCs w:val="13"/>
                <w:color w:val="auto"/>
              </w:rPr>
            </w:pPr>
          </w:p>
        </w:tc>
        <w:tc>
          <w:tcPr>
            <w:tcW w:w="90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3"/>
                <w:szCs w:val="13"/>
                <w:color w:val="auto"/>
              </w:rPr>
            </w:pPr>
          </w:p>
        </w:tc>
        <w:tc>
          <w:tcPr>
            <w:tcW w:w="700" w:type="dxa"/>
            <w:vAlign w:val="bottom"/>
            <w:gridSpan w:val="2"/>
          </w:tcPr>
          <w:p>
            <w:pPr>
              <w:jc w:val="right"/>
              <w:ind w:right="339"/>
              <w:spacing w:after="0" w:line="155"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 January 1, 2017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46,725</w:t>
            </w:r>
          </w:p>
        </w:tc>
        <w:tc>
          <w:tcPr>
            <w:tcW w:w="2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(73,785)</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(449,917)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(8,268)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(485,245)</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(294,636)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holding gains (losses), net</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(13,802)</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(441)</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(13,802)</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37,728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25,987</w:t>
            </w:r>
          </w:p>
        </w:tc>
        <w:tc>
          <w:tcPr>
            <w:tcW w:w="100" w:type="dxa"/>
            <w:vAlign w:val="bottom"/>
            <w:tcBorders>
              <w:righ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 that (increase) decrease</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Borders>
              <w:right w:val="single" w:sz="8" w:color="CFF0FC"/>
            </w:tcBorders>
            <w:shd w:val="clear" w:color="auto" w:fill="CFF0FC"/>
          </w:tcPr>
          <w:p>
            <w:pPr>
              <w:spacing w:after="0"/>
              <w:rPr>
                <w:sz w:val="12"/>
                <w:szCs w:val="12"/>
                <w:color w:val="auto"/>
              </w:rPr>
            </w:pPr>
          </w:p>
        </w:tc>
        <w:tc>
          <w:tcPr>
            <w:tcW w:w="3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7"/>
              </w:rPr>
              <w:t>(b)</w:t>
            </w: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held-to-maturity (“HTM”) securities</w:t>
            </w: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(Gains) losses realized in net income</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Accretion of net gain on terminated cash flow</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(78) (d)</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hedges</w:t>
            </w: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Net yield adjustment from cash flow hedges currently in</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(1,094) (b)</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w:t>
            </w: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(400)</w:t>
            </w:r>
          </w:p>
        </w:tc>
        <w:tc>
          <w:tcPr>
            <w:tcW w:w="3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14,137</w:t>
            </w:r>
          </w:p>
        </w:tc>
        <w:tc>
          <w:tcPr>
            <w:tcW w:w="10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reclassifications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1,788</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13,737</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(1,172)</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14,303</w:t>
            </w:r>
          </w:p>
        </w:tc>
        <w:tc>
          <w:tcPr>
            <w:tcW w:w="100" w:type="dxa"/>
            <w:vAlign w:val="bottom"/>
            <w:tcBorders>
              <w:top w:val="single" w:sz="8" w:color="CFF0FC"/>
              <w:right w:val="single" w:sz="8" w:color="CFF0FC"/>
            </w:tcBorders>
            <w:shd w:val="clear" w:color="auto" w:fill="CFF0FC"/>
          </w:tcPr>
          <w:p>
            <w:pPr>
              <w:spacing w:after="0"/>
              <w:rPr>
                <w:sz w:val="13"/>
                <w:szCs w:val="13"/>
                <w:color w:val="auto"/>
              </w:rPr>
            </w:pPr>
          </w:p>
        </w:tc>
        <w:tc>
          <w:tcPr>
            <w:tcW w:w="32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(5,629)</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8,674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gain (loss) during the period</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(13,852)</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39,516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13,737</w:t>
            </w:r>
          </w:p>
        </w:tc>
        <w:tc>
          <w:tcPr>
            <w:tcW w:w="10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40,290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(15,735</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24,555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June 30, 2017</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32,873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(34,269)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(436,180)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(7,379)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(444,955</w:t>
            </w:r>
          </w:p>
        </w:tc>
        <w:tc>
          <w:tcPr>
            <w:tcW w:w="100" w:type="dxa"/>
            <w:vAlign w:val="bottom"/>
            <w:tcBorders>
              <w:top w:val="single" w:sz="8" w:color="CFF0FC"/>
              <w:bottom w:val="single" w:sz="8" w:color="CFF0FC"/>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174,874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(270,081</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January 1, 2016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16,359</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62,849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(489,660)</w:t>
            </w: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(4,093)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(414,545)</w:t>
            </w:r>
          </w:p>
        </w:tc>
        <w:tc>
          <w:tcPr>
            <w:tcW w:w="3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162,918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(251,627)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227,118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236,378</w:t>
            </w: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(93,010)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(2,489)</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2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227,118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(2,489)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233,889</w:t>
            </w:r>
          </w:p>
        </w:tc>
        <w:tc>
          <w:tcPr>
            <w:tcW w:w="10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(92,139)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8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 that (increase) decrease</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Accretion of unrealized holding losses on</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tcBorders>
              <w:right w:val="single" w:sz="8" w:color="CFF0FC"/>
            </w:tcBorders>
            <w:shd w:val="clear" w:color="auto" w:fill="CFF0FC"/>
          </w:tcPr>
          <w:p>
            <w:pPr>
              <w:spacing w:after="0"/>
              <w:rPr>
                <w:sz w:val="12"/>
                <w:szCs w:val="12"/>
                <w:color w:val="auto"/>
              </w:rPr>
            </w:pPr>
          </w:p>
        </w:tc>
        <w:tc>
          <w:tcPr>
            <w:tcW w:w="3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(b)</w:t>
            </w: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HTM securities</w:t>
            </w: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Gains realized in net income</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(268) (c)</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Accretion of net gain on terminated cash flow</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(77) (d)</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hedges</w:t>
            </w: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(2,294)</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(2,294) (e)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15,103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15,103</w:t>
            </w: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9"/>
              </w:rPr>
              <w:t>(e)</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reclassifications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(5,689)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gain (loss) during the period</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9,260</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228,931</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12,809</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(2,566)</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248,434</w:t>
            </w:r>
          </w:p>
        </w:tc>
        <w:tc>
          <w:tcPr>
            <w:tcW w:w="100" w:type="dxa"/>
            <w:vAlign w:val="bottom"/>
            <w:tcBorders>
              <w:top w:val="single" w:sz="8" w:color="CFF0FC"/>
              <w:right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(97,828)</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150,606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 June 30, 2016</w:t>
            </w: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25,619</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291,780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(476,851)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(166,111</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65,090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(101,021</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Other-than-temporary impairment</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interest income</w:t>
      </w:r>
    </w:p>
    <w:p>
      <w:pPr>
        <w:spacing w:after="0" w:line="22"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gain (loss) on bank investment securities</w:t>
      </w:r>
    </w:p>
    <w:p>
      <w:pPr>
        <w:spacing w:after="0" w:line="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interest expense</w:t>
      </w:r>
    </w:p>
    <w:p>
      <w:pPr>
        <w:spacing w:after="0" w:line="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salaries and employee benefits expense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Comprehensive income,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3"/>
              </w:rPr>
              <w:t>Defined</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color w:val="auto"/>
              </w:rPr>
              <w:t>Investment Securities</w:t>
            </w:r>
          </w:p>
        </w:tc>
        <w:tc>
          <w:tcPr>
            <w:tcW w:w="3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2"/>
              </w:rPr>
              <w:t>Benefit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w w:val="94"/>
              </w:rPr>
              <w:t>With OTTI</w:t>
            </w:r>
          </w:p>
        </w:tc>
        <w:tc>
          <w:tcPr>
            <w:tcW w:w="118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All Other</w:t>
            </w:r>
          </w:p>
        </w:tc>
        <w:tc>
          <w:tcPr>
            <w:tcW w:w="11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color w:val="auto"/>
                <w:w w:val="98"/>
              </w:rPr>
              <w:t>Plans</w:t>
            </w:r>
          </w:p>
        </w:tc>
        <w:tc>
          <w:tcPr>
            <w:tcW w:w="118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3"/>
                <w:szCs w:val="13"/>
                <w:color w:val="auto"/>
              </w:rPr>
            </w:pPr>
          </w:p>
        </w:tc>
        <w:tc>
          <w:tcPr>
            <w:tcW w:w="8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6"/>
              </w:rPr>
              <w:t>(In thousands)</w:t>
            </w: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2016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28,338</w:t>
            </w:r>
          </w:p>
        </w:tc>
        <w:tc>
          <w:tcPr>
            <w:tcW w:w="3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(44,657)</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(272,874)</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(5,443)</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(294,636)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 (loss) during period</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(8,400)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 June 30, 2017</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19,938</w:t>
            </w:r>
          </w:p>
        </w:tc>
        <w:tc>
          <w:tcPr>
            <w:tcW w:w="3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(20,681)</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(264,543)</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(4,795)</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(270,081)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significant as of June 30, 2017.</w:t>
      </w:r>
    </w:p>
    <w:p>
      <w:pPr>
        <w:spacing w:after="0" w:line="77"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The net effect of interest rate swap agreements was to increase net interest income by $7 million and $10 million for the three-month periods ended June 30, 2017 and 2016, respectively, and $11 million and $20 million for the six-month periods ended June 30, 2017 and 2016, respectively.</w:t>
      </w:r>
    </w:p>
    <w:p>
      <w:pPr>
        <w:spacing w:after="0" w:line="65" w:lineRule="exact"/>
        <w:rPr>
          <w:sz w:val="20"/>
          <w:szCs w:val="20"/>
          <w:color w:val="auto"/>
        </w:rPr>
      </w:pPr>
    </w:p>
    <w:p>
      <w:pPr>
        <w:jc w:val="both"/>
        <w:ind w:right="20" w:firstLine="518"/>
        <w:spacing w:after="0" w:line="270"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color w:val="auto"/>
                <w:w w:val="98"/>
              </w:rPr>
              <w:t>Weighted-</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Notional</w:t>
            </w: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Average</w:t>
            </w: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Average Rate</w:t>
            </w:r>
          </w:p>
        </w:tc>
        <w:tc>
          <w:tcPr>
            <w:tcW w:w="360" w:type="dxa"/>
            <w:vAlign w:val="bottom"/>
          </w:tcPr>
          <w:p>
            <w:pPr>
              <w:spacing w:after="0"/>
              <w:rPr>
                <w:sz w:val="14"/>
                <w:szCs w:val="14"/>
                <w:color w:val="auto"/>
              </w:rPr>
            </w:pPr>
          </w:p>
        </w:tc>
        <w:tc>
          <w:tcPr>
            <w:tcW w:w="14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Estimated Fair Value</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Fixed</w:t>
            </w:r>
          </w:p>
        </w:tc>
        <w:tc>
          <w:tcPr>
            <w:tcW w:w="3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Variable</w:t>
            </w:r>
          </w:p>
        </w:tc>
        <w:tc>
          <w:tcPr>
            <w:tcW w:w="360" w:type="dxa"/>
            <w:vAlign w:val="bottom"/>
            <w:vMerge w:val="restart"/>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Amount</w:t>
            </w:r>
          </w:p>
        </w:tc>
        <w:tc>
          <w:tcPr>
            <w:tcW w:w="3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Maturity</w:t>
            </w:r>
          </w:p>
        </w:tc>
        <w:tc>
          <w:tcPr>
            <w:tcW w:w="2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color w:val="auto"/>
              </w:rPr>
              <w:t>Gain (a)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 years)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3,700,000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Variable rate commercial real estate loans (b)</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2,000,000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5,700,000</w:t>
            </w:r>
          </w:p>
        </w:tc>
        <w:tc>
          <w:tcPr>
            <w:tcW w:w="30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jc w:val="both"/>
        <w:ind w:left="520" w:hanging="512"/>
        <w:spacing w:after="0" w:line="261" w:lineRule="auto"/>
        <w:tabs>
          <w:tab w:leader="none" w:pos="5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January 2017 certain clearinghouse exchanges revised their rules such that certain required payments by counterparties for variation margin on derivative instruments that had been treated as collateral are now treated as settlements of those positions. The impact of such rule changes at June 30, 2017 was a reduction of the estimated fair value losses on interest rate swaps designated as fair value hedges of $2.9 million and of estimated fair value losses on interest rate swaps designated as cash flow hedges of $1.5 million.</w:t>
      </w:r>
    </w:p>
    <w:p>
      <w:pPr>
        <w:spacing w:after="0" w:line="4"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the terms of these agreements, the Company receives settlement amounts at a fixed rate and pays at a variable rate.</w:t>
      </w:r>
    </w:p>
    <w:p>
      <w:pPr>
        <w:spacing w:after="0" w:line="227"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2"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78"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$22.8 billion and $21.6 billion at June 30, 2017 and December 31, 2016, respectively. The notional amounts of foreign currency and other option and futures contracts entered into for trading account purposes aggregated $530 million and $471 million at June 30, 2017 and December 31, 2016, respectively.</w:t>
      </w:r>
    </w:p>
    <w:p>
      <w:pPr>
        <w:spacing w:after="0" w:line="76"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color w:val="auto"/>
              </w:rPr>
              <w:t>Asset Derivatives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Liability Derivatives</w:t>
            </w: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Fair Value</w:t>
            </w: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Fair Value</w:t>
            </w: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June 30, 2017</w:t>
            </w:r>
          </w:p>
        </w:tc>
        <w:tc>
          <w:tcPr>
            <w:tcW w:w="2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24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June 30, 2017</w:t>
            </w:r>
          </w:p>
        </w:tc>
        <w:tc>
          <w:tcPr>
            <w:tcW w:w="22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and qualifying as hedging instruments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hedges: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rate swap agreements (a)</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56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rate swap agreements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and qualifying as hedging instruments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Mortgage-related commitments to originate real estate loans for sale (a)</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Trading:</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rate contracts (b)</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111,819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exchange and other option and futures contracts (b)</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136,496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118,463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derivatives</w:t>
            </w: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142,627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295,069</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119,456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Asset derivatives are reported in other assets and liability derivatives are reported in other liabilities.</w:t>
      </w:r>
    </w:p>
    <w:p>
      <w:pPr>
        <w:spacing w:after="0" w:line="29" w:lineRule="exact"/>
        <w:rPr>
          <w:rFonts w:ascii="Times New Roman" w:cs="Times New Roman" w:eastAsia="Times New Roman" w:hAnsi="Times New Roman"/>
          <w:sz w:val="18"/>
          <w:szCs w:val="18"/>
          <w:i w:val="1"/>
          <w:iCs w:val="1"/>
          <w:color w:val="auto"/>
        </w:rPr>
      </w:pPr>
    </w:p>
    <w:p>
      <w:pPr>
        <w:jc w:val="both"/>
        <w:ind w:left="520" w:hanging="512"/>
        <w:spacing w:after="0" w:line="255" w:lineRule="auto"/>
        <w:tabs>
          <w:tab w:leader="none" w:pos="5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Asset derivatives are reported in trading account assets and liability derivatives are reported in other liabilities. The impact of the variation margin rule change at June 30, 2017 was a reduction of the estimated fair value of interest rate swaps in an asset position of $91.7 million and of those in a liability position of $32.0 million.</w:t>
      </w:r>
    </w:p>
    <w:p>
      <w:pPr>
        <w:spacing w:after="0" w:line="18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297"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4"/>
          <w:szCs w:val="14"/>
          <w:color w:val="auto"/>
        </w:rPr>
        <w:t>Amount of Gain (Loss) Recognized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51764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 agreements: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51764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gridSpan w:val="4"/>
          </w:tcPr>
          <w:p>
            <w:pPr>
              <w:ind w:left="20"/>
              <w:spacing w:after="0" w:line="133" w:lineRule="exact"/>
              <w:rPr>
                <w:sz w:val="20"/>
                <w:szCs w:val="20"/>
                <w:color w:val="auto"/>
              </w:rPr>
            </w:pPr>
            <w:r>
              <w:rPr>
                <w:rFonts w:ascii="Times New Roman" w:cs="Times New Roman" w:eastAsia="Times New Roman" w:hAnsi="Times New Roman"/>
                <w:sz w:val="14"/>
                <w:szCs w:val="14"/>
                <w:color w:val="auto"/>
              </w:rPr>
              <w:t>Three Months Ended June 30,</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3"/>
          </w:tcPr>
          <w:p>
            <w:pPr>
              <w:jc w:val="right"/>
              <w:ind w:right="59"/>
              <w:spacing w:after="0" w:line="133" w:lineRule="exact"/>
              <w:rPr>
                <w:sz w:val="20"/>
                <w:szCs w:val="20"/>
                <w:color w:val="auto"/>
              </w:rPr>
            </w:pPr>
            <w:r>
              <w:rPr>
                <w:rFonts w:ascii="Times New Roman" w:cs="Times New Roman" w:eastAsia="Times New Roman" w:hAnsi="Times New Roman"/>
                <w:sz w:val="14"/>
                <w:szCs w:val="14"/>
                <w:color w:val="auto"/>
              </w:rPr>
              <w:t>Three Months Ended June 30,</w:t>
            </w: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2017</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2016</w:t>
            </w:r>
          </w:p>
        </w:tc>
        <w:tc>
          <w:tcPr>
            <w:tcW w:w="8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color w:val="auto"/>
                <w:w w:val="98"/>
              </w:rPr>
              <w:t>Derivative</w:t>
            </w: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Hedged Item</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color w:val="auto"/>
                <w:w w:val="98"/>
              </w:rPr>
              <w:t>Derivative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Hedged Item</w:t>
            </w: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5"/>
                <w:szCs w:val="15"/>
                <w:color w:val="auto"/>
              </w:rPr>
            </w:pPr>
          </w:p>
        </w:tc>
      </w:tr>
      <w:tr>
        <w:trPr>
          <w:trHeight w:val="663"/>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3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664"/>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4"/>
          <w:szCs w:val="14"/>
          <w:color w:val="auto"/>
        </w:rPr>
        <w:t>Amount of Gain (Loss) Recognized</w:t>
      </w:r>
    </w:p>
    <w:p>
      <w:pPr>
        <w:spacing w:after="0" w:line="10" w:lineRule="exact"/>
        <w:rPr>
          <w:sz w:val="20"/>
          <w:szCs w:val="20"/>
          <w:color w:val="auto"/>
        </w:rPr>
      </w:pPr>
    </w:p>
    <w:p>
      <w:pPr>
        <w:sectPr>
          <w:pgSz w:w="11900" w:h="16838" w:orient="portrait"/>
          <w:cols w:equalWidth="0" w:num="2">
            <w:col w:w="5100" w:space="720"/>
            <w:col w:w="56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5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gridSpan w:val="4"/>
          </w:tcPr>
          <w:p>
            <w:pPr>
              <w:jc w:val="center"/>
              <w:ind w:right="460"/>
              <w:spacing w:after="0" w:line="133" w:lineRule="exact"/>
              <w:rPr>
                <w:sz w:val="20"/>
                <w:szCs w:val="20"/>
                <w:color w:val="auto"/>
              </w:rPr>
            </w:pPr>
            <w:r>
              <w:rPr>
                <w:rFonts w:ascii="Times New Roman" w:cs="Times New Roman" w:eastAsia="Times New Roman" w:hAnsi="Times New Roman"/>
                <w:sz w:val="14"/>
                <w:szCs w:val="14"/>
                <w:color w:val="auto"/>
              </w:rPr>
              <w:t>Six Months Ended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3"/>
          </w:tcPr>
          <w:p>
            <w:pPr>
              <w:jc w:val="center"/>
              <w:ind w:right="39"/>
              <w:spacing w:after="0" w:line="133" w:lineRule="exact"/>
              <w:rPr>
                <w:sz w:val="20"/>
                <w:szCs w:val="20"/>
                <w:color w:val="auto"/>
              </w:rPr>
            </w:pPr>
            <w:r>
              <w:rPr>
                <w:rFonts w:ascii="Times New Roman" w:cs="Times New Roman" w:eastAsia="Times New Roman" w:hAnsi="Times New Roman"/>
                <w:sz w:val="14"/>
                <w:szCs w:val="14"/>
                <w:color w:val="auto"/>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color w:val="auto"/>
              </w:rPr>
              <w:t>June 30,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June 30, 2016</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w w:val="98"/>
              </w:rPr>
              <w:t>Derivative</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Hedged Item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w w:val="98"/>
              </w:rPr>
              <w:t>Derivative</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Hedged Item</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gridSpan w:val="6"/>
          </w:tcPr>
          <w:p>
            <w:pPr>
              <w:jc w:val="right"/>
              <w:ind w:right="9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(9,914)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3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(10,244)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40" w:hanging="478"/>
        <w:spacing w:after="0"/>
        <w:tabs>
          <w:tab w:leader="none" w:pos="5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other revenues from operations.</w:t>
      </w:r>
    </w:p>
    <w:p>
      <w:pPr>
        <w:spacing w:after="0" w:line="29" w:lineRule="exact"/>
        <w:rPr>
          <w:rFonts w:ascii="Times New Roman" w:cs="Times New Roman" w:eastAsia="Times New Roman" w:hAnsi="Times New Roman"/>
          <w:sz w:val="18"/>
          <w:szCs w:val="18"/>
          <w:i w:val="1"/>
          <w:iCs w:val="1"/>
          <w:color w:val="auto"/>
        </w:rPr>
      </w:pPr>
    </w:p>
    <w:p>
      <w:pPr>
        <w:ind w:left="540" w:hanging="478"/>
        <w:spacing w:after="0"/>
        <w:tabs>
          <w:tab w:leader="none" w:pos="5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trading account and foreign exchange gains.</w:t>
      </w:r>
    </w:p>
    <w:p>
      <w:pPr>
        <w:spacing w:after="0" w:line="341"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The amount of gain (loss) recognized in the consolidated statement of income associated with derivatives designated as cash flow hedges was not material for the three and six months ended June, 30, 2017.</w:t>
      </w:r>
    </w:p>
    <w:p>
      <w:pPr>
        <w:spacing w:after="0" w:line="15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$26 million and $28 million at June 30, 2017 and December 31, 2016, respectively. Changes in unrealized gains and losses are included in mortgage banking revenues and, in general, are realized in subsequent periods as the related loans are sold and commitments satisfied.</w:t>
      </w:r>
    </w:p>
    <w:p>
      <w:pPr>
        <w:spacing w:after="0" w:line="77"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2"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which are subject to enforceable master netting arrangements, was $22 million and $34 million at June 30, 2017 and December 31, 2016, respectively. After consideration of such netting arrangements for purposes of posting collateral, the net liability positions with counterparties aggregated $22 million and $30 million at June 30, 2017 and December 31, 2016, respectively. The Company was required to post collateral relating to those positions of $22 million and $27 million at June 30, 2017 and December 31, 2016,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2017 was less than $1 million, for which the Company was not required to post collateral in the normal course of business. If the credit risk-related contingent features had been triggered on June 30, 2017, the Company would not have been required to post any collateral to counterparties.</w:t>
      </w:r>
    </w:p>
    <w:p>
      <w:pPr>
        <w:spacing w:after="0" w:line="214"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which are subject to enforceable master netting arrangements, was $8 million and $15 million at June 30, 2017 and December 31, 2016, respectively. After consideration of such netting arrangements for purposes of posting collateral, the net asset positions with counterparties aggregated $8 million and $11 million at June 30, 2017 and December 31, 2016, respectively. Counterparties posted collateral relating to those positions of $2 million and $9 million at June 30, 2017 and December 31, 2016, respectively. Trading account interest rate swap agreements entered into with customers are subject to the Company’s credit risk standards and often contain collateral provisions.</w:t>
      </w:r>
    </w:p>
    <w:p>
      <w:pPr>
        <w:spacing w:after="0" w:line="211"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$64 million and $111 million at June 30, 2017 and December 31, 2016, respectively. The fair value asset and liability amounts of derivative contracts at June 30, 2017 have been reduced by variation margin payments treated as settlements of $92 million and $36 million, respectively. Variation margin on derivative contracts not treated as settlements continues to represent collateral posted or received by the Company. For those contracts, the net fair values of derivative financial instruments cleared through clearinghouses for which variation margin is required was a net asset position of $1 million and $63 million at June 30, 2017 and December 31, 2016, respectively. Collateral posted by the clearinghouses associated with that net asset position was $1 million and $81 million at June 30, 2017 and December 31, 2016, respectively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2017 and December 31, 2016, the Company included the junior subordinated debentures as “long-term borrowings” in its consolidated balance sheet and recognized $24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 continued</w:t>
      </w:r>
    </w:p>
    <w:p>
      <w:pPr>
        <w:spacing w:after="0" w:line="11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$1.1 billion and $1.0 billion at June 30, 2017 and December 31, 2016,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$331 million, including $122 million of unfunded commitments, at June 30, 2017 and $294 million, including $102 million of unfunded commitments, at December 31, 2016. Contingent commitments to provide additional capital contributions to these partnerships were not material at June 30, 2017.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$11 million and $24 million of its investments in qualified affordable housing projects to income tax expense during the three-month and six-month periods ended June 30, 2017, respectively, and recognized $15 million and $31 million of tax credits and other tax benefits during those respective periods. Similarly, for the three-month and six-month periods ended June 30, 2016, the Company amortized $11 million and $22 million, respectively, of its investments in qualified affordable housing projects to income tax expense and recognized $14 million and $28 million of tax credits and other tax benefits during those respective periods.</w:t>
      </w:r>
    </w:p>
    <w:p>
      <w:pPr>
        <w:spacing w:after="0" w:line="187" w:lineRule="exact"/>
        <w:rPr>
          <w:sz w:val="20"/>
          <w:szCs w:val="20"/>
          <w:color w:val="auto"/>
        </w:rPr>
      </w:pPr>
    </w:p>
    <w:p>
      <w:pPr>
        <w:jc w:val="both"/>
        <w:ind w:right="20" w:firstLine="518"/>
        <w:spacing w:after="0" w:line="295" w:lineRule="auto"/>
        <w:rPr>
          <w:sz w:val="20"/>
          <w:szCs w:val="20"/>
          <w:color w:val="auto"/>
        </w:rPr>
      </w:pPr>
      <w:r>
        <w:rPr>
          <w:rFonts w:ascii="Times New Roman" w:cs="Times New Roman" w:eastAsia="Times New Roman" w:hAnsi="Times New Roman"/>
          <w:sz w:val="20"/>
          <w:szCs w:val="20"/>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12. Fair value measurements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June 30, 2017.</w:t>
      </w:r>
    </w:p>
    <w:p>
      <w:pPr>
        <w:spacing w:after="0" w:line="15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5"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1040" w:hanging="519"/>
        <w:spacing w:after="0" w:line="256" w:lineRule="auto"/>
        <w:tabs>
          <w:tab w:leader="none" w:pos="10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4" w:lineRule="exact"/>
        <w:rPr>
          <w:rFonts w:ascii="Times New Roman" w:cs="Times New Roman" w:eastAsia="Times New Roman" w:hAnsi="Times New Roman"/>
          <w:sz w:val="21"/>
          <w:szCs w:val="21"/>
          <w:color w:val="auto"/>
        </w:rPr>
      </w:pPr>
    </w:p>
    <w:p>
      <w:pPr>
        <w:jc w:val="both"/>
        <w:ind w:left="1040" w:hanging="519"/>
        <w:spacing w:after="0" w:line="256" w:lineRule="auto"/>
        <w:tabs>
          <w:tab w:leader="none" w:pos="10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73"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 assets and liabilities</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Investment securities available for sale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308" w:lineRule="exact"/>
        <w:rPr>
          <w:sz w:val="20"/>
          <w:szCs w:val="20"/>
          <w:color w:val="auto"/>
        </w:rPr>
      </w:pPr>
    </w:p>
    <w:p>
      <w:pPr>
        <w:jc w:val="both"/>
        <w:ind w:right="20" w:firstLine="518"/>
        <w:spacing w:after="0" w:line="270" w:lineRule="auto"/>
        <w:rPr>
          <w:sz w:val="20"/>
          <w:szCs w:val="20"/>
          <w:color w:val="auto"/>
        </w:rPr>
      </w:pPr>
      <w:r>
        <w:rPr>
          <w:rFonts w:ascii="Times New Roman" w:cs="Times New Roman" w:eastAsia="Times New Roman" w:hAnsi="Times New Roman"/>
          <w:sz w:val="21"/>
          <w:szCs w:val="21"/>
          <w:color w:val="auto"/>
        </w:rPr>
        <w:t>The following tables present assets and liabilities at June 30, 2017 and December 31, 2016 measured at estimated fair value on a recurring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7"/>
              </w:rPr>
              <w:t>Fair Value</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Level 1 (a)</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Level 2 (a)</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Measurements</w:t>
            </w: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ind w:left="6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174,646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127,370</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2,107,866</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2,107,866</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9,608,182</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9,608,182</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125,823</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125,823</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36,154</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11,928,865</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47,892</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11,880,938</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548,250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548,250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(b)</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12,674,515</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95,168</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12,566,465</w:t>
            </w:r>
          </w:p>
        </w:tc>
        <w:tc>
          <w:tcPr>
            <w:tcW w:w="3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117,209</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117,209</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(b)</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119,034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323,867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277,732</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1,902,544</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1,902,544</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10,954,861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10,954,861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352,466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301,711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50,755</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13,332,072</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301,711</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13,030,317</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1,056,180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1,056,180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(b)</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14,770,470</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347,846</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14,414,520</w:t>
            </w:r>
          </w:p>
        </w:tc>
        <w:tc>
          <w:tcPr>
            <w:tcW w:w="3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(b)</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20" w:right="280" w:hanging="512"/>
        <w:spacing w:after="0" w:line="262" w:lineRule="auto"/>
        <w:tabs>
          <w:tab w:leader="none" w:pos="5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were no significant transfers between Level 1 and Level 2 of the fair value hierarchy during the six months ended June 30, 2017 and the year ended December 31, 2016.</w:t>
      </w:r>
    </w:p>
    <w:p>
      <w:pPr>
        <w:ind w:left="520" w:hanging="512"/>
        <w:spacing w:after="0" w:line="261" w:lineRule="auto"/>
        <w:tabs>
          <w:tab w:leader="none" w:pos="5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79"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2017 were as follows:</w:t>
      </w:r>
    </w:p>
    <w:tbl>
      <w:tblPr>
        <w:tblLayout w:type="fixed"/>
        <w:tblInd w:w="0" w:type="dxa"/>
        <w:tblCellMar>
          <w:top w:w="0" w:type="dxa"/>
          <w:left w:w="0" w:type="dxa"/>
          <w:bottom w:w="0" w:type="dxa"/>
          <w:right w:w="0" w:type="dxa"/>
        </w:tblCellMar>
      </w:tblPr>
      <w:tr>
        <w:trPr>
          <w:trHeight w:val="136"/>
        </w:trPr>
        <w:tc>
          <w:tcPr>
            <w:tcW w:w="5800" w:type="dxa"/>
            <w:vAlign w:val="bottom"/>
          </w:tcPr>
          <w:p>
            <w:pPr>
              <w:spacing w:after="0"/>
              <w:rPr>
                <w:sz w:val="11"/>
                <w:szCs w:val="11"/>
                <w:color w:val="auto"/>
              </w:rPr>
            </w:pPr>
          </w:p>
        </w:tc>
        <w:tc>
          <w:tcPr>
            <w:tcW w:w="1940" w:type="dxa"/>
            <w:vAlign w:val="bottom"/>
            <w:gridSpan w:val="4"/>
          </w:tcPr>
          <w:p>
            <w:pPr>
              <w:jc w:val="center"/>
              <w:ind w:right="600"/>
              <w:spacing w:after="0" w:line="137" w:lineRule="exact"/>
              <w:rPr>
                <w:sz w:val="20"/>
                <w:szCs w:val="20"/>
                <w:color w:val="auto"/>
              </w:rPr>
            </w:pPr>
            <w:r>
              <w:rPr>
                <w:rFonts w:ascii="Times New Roman" w:cs="Times New Roman" w:eastAsia="Times New Roman" w:hAnsi="Times New Roman"/>
                <w:sz w:val="14"/>
                <w:szCs w:val="14"/>
                <w:color w:val="auto"/>
              </w:rPr>
              <w:t>Investment Securities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rPr>
              <w:t>Available for Sale</w:t>
            </w:r>
          </w:p>
        </w:tc>
        <w:tc>
          <w:tcPr>
            <w:tcW w:w="10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58"/>
              <w:spacing w:after="0" w:line="133" w:lineRule="exact"/>
              <w:rPr>
                <w:sz w:val="20"/>
                <w:szCs w:val="20"/>
                <w:color w:val="auto"/>
              </w:rPr>
            </w:pPr>
            <w:r>
              <w:rPr>
                <w:rFonts w:ascii="Times New Roman" w:cs="Times New Roman" w:eastAsia="Times New Roman" w:hAnsi="Times New Roman"/>
                <w:sz w:val="14"/>
                <w:szCs w:val="14"/>
                <w:color w:val="auto"/>
              </w:rPr>
              <w:t>Privately Issued</w:t>
            </w:r>
          </w:p>
        </w:tc>
        <w:tc>
          <w:tcPr>
            <w:tcW w:w="580" w:type="dxa"/>
            <w:vAlign w:val="bottom"/>
            <w:gridSpan w:val="2"/>
          </w:tcPr>
          <w:p>
            <w:pPr>
              <w:spacing w:after="0"/>
              <w:rPr>
                <w:sz w:val="11"/>
                <w:szCs w:val="11"/>
                <w:color w:val="auto"/>
              </w:rPr>
            </w:pPr>
          </w:p>
        </w:tc>
        <w:tc>
          <w:tcPr>
            <w:tcW w:w="10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rPr>
              <w:t>Mortgage-Backed</w:t>
            </w:r>
          </w:p>
        </w:tc>
        <w:tc>
          <w:tcPr>
            <w:tcW w:w="108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color w:val="auto"/>
              </w:rPr>
              <w:t>and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4"/>
                <w:szCs w:val="14"/>
                <w:color w:val="auto"/>
              </w:rPr>
              <w:t>Securities</w:t>
            </w: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realized/unrealized:</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120" w:type="dxa"/>
            <w:vAlign w:val="bottom"/>
          </w:tcPr>
          <w:p>
            <w:pPr>
              <w:spacing w:after="0"/>
              <w:rPr>
                <w:sz w:val="19"/>
                <w:szCs w:val="19"/>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Transfers in and/or out of Level 3 (a)</w:t>
            </w:r>
          </w:p>
        </w:tc>
        <w:tc>
          <w:tcPr>
            <w:tcW w:w="120" w:type="dxa"/>
            <w:vAlign w:val="bottom"/>
          </w:tcPr>
          <w:p>
            <w:pPr>
              <w:spacing w:after="0"/>
              <w:rPr>
                <w:sz w:val="19"/>
                <w:szCs w:val="19"/>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(23,348) (d)</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2017</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2016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jc w:val="center"/>
              <w:ind w:right="380"/>
              <w:spacing w:after="0" w:line="133" w:lineRule="exact"/>
              <w:rPr>
                <w:sz w:val="20"/>
                <w:szCs w:val="20"/>
                <w:color w:val="auto"/>
              </w:rPr>
            </w:pPr>
            <w:r>
              <w:rPr>
                <w:rFonts w:ascii="Times New Roman" w:cs="Times New Roman" w:eastAsia="Times New Roman" w:hAnsi="Times New Roman"/>
                <w:sz w:val="14"/>
                <w:szCs w:val="14"/>
                <w:color w:val="auto"/>
              </w:rPr>
              <w:t>Privately Issued</w:t>
            </w: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Collateralized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Assets and</w:t>
            </w:r>
          </w:p>
        </w:tc>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Mortgage-</w:t>
            </w:r>
          </w:p>
        </w:tc>
        <w:tc>
          <w:tcPr>
            <w:tcW w:w="13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Backed Securities</w:t>
            </w:r>
          </w:p>
        </w:tc>
        <w:tc>
          <w:tcPr>
            <w:tcW w:w="13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Debt Obligations</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2016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3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16,885</w:t>
            </w: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realized/unrealized:</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(1,070) (c)</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 and/or out of Level 3 (a)</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(30,932) (d)</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 June 30, 2016</w:t>
            </w:r>
          </w:p>
        </w:tc>
        <w:tc>
          <w:tcPr>
            <w:tcW w:w="7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3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320" w:type="dxa"/>
            <w:vAlign w:val="bottom"/>
            <w:tcBorders>
              <w:bottom w:val="single" w:sz="8" w:color="CFF0FC"/>
            </w:tcBorders>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2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- 35 -</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six months ended June 30, 2017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Available for Sale</w:t>
            </w:r>
          </w:p>
        </w:tc>
        <w:tc>
          <w:tcPr>
            <w:tcW w:w="180" w:type="dxa"/>
            <w:vAlign w:val="bottom"/>
          </w:tcPr>
          <w:p>
            <w:pPr>
              <w:spacing w:after="0"/>
              <w:rPr>
                <w:sz w:val="14"/>
                <w:szCs w:val="14"/>
                <w:color w:val="auto"/>
              </w:rPr>
            </w:pPr>
          </w:p>
        </w:tc>
        <w:tc>
          <w:tcPr>
            <w:tcW w:w="11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8"/>
              <w:spacing w:after="0" w:line="133" w:lineRule="exact"/>
              <w:rPr>
                <w:sz w:val="20"/>
                <w:szCs w:val="20"/>
                <w:color w:val="auto"/>
              </w:rPr>
            </w:pPr>
            <w:r>
              <w:rPr>
                <w:rFonts w:ascii="Times New Roman" w:cs="Times New Roman" w:eastAsia="Times New Roman" w:hAnsi="Times New Roman"/>
                <w:sz w:val="14"/>
                <w:szCs w:val="14"/>
                <w:color w:val="auto"/>
              </w:rPr>
              <w:t>Privately Issued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Mortgage-Backed</w:t>
            </w:r>
          </w:p>
        </w:tc>
        <w:tc>
          <w:tcPr>
            <w:tcW w:w="18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Times New Roman" w:cs="Times New Roman" w:eastAsia="Times New Roman" w:hAnsi="Times New Roman"/>
                <w:sz w:val="14"/>
                <w:szCs w:val="14"/>
                <w:color w:val="auto"/>
              </w:rPr>
              <w:t>and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 January 1, 2017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realized/unrealized:</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Transfers in and/or out of Level 3 (a)</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(38,411) (d)</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2017</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six months ended June 30, 2016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460"/>
              <w:spacing w:after="0" w:line="133" w:lineRule="exact"/>
              <w:rPr>
                <w:sz w:val="20"/>
                <w:szCs w:val="20"/>
                <w:color w:val="auto"/>
              </w:rPr>
            </w:pPr>
            <w:r>
              <w:rPr>
                <w:rFonts w:ascii="Times New Roman" w:cs="Times New Roman" w:eastAsia="Times New Roman" w:hAnsi="Times New Roman"/>
                <w:sz w:val="14"/>
                <w:szCs w:val="14"/>
                <w:color w:val="auto"/>
              </w:rPr>
              <w:t>Privately Issued</w:t>
            </w: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Collateralized Debt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Assets and</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Mortgage-</w:t>
            </w:r>
          </w:p>
        </w:tc>
        <w:tc>
          <w:tcPr>
            <w:tcW w:w="15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Backed Securities</w:t>
            </w: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Obligations</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 January 1, 2016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47,393</w:t>
            </w:r>
          </w:p>
        </w:tc>
        <w:tc>
          <w:tcPr>
            <w:tcW w:w="3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realized/unrealized:</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59,328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(3,218) (c)</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 and/or out of Level 3 (a)</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(47,824) (d)</w:t>
            </w:r>
          </w:p>
        </w:tc>
        <w:tc>
          <w:tcPr>
            <w:tcW w:w="0" w:type="dxa"/>
            <w:vAlign w:val="bottom"/>
          </w:tcPr>
          <w:p>
            <w:pPr>
              <w:spacing w:after="0"/>
              <w:rPr>
                <w:sz w:val="1"/>
                <w:szCs w:val="1"/>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 June 30, 2016</w:t>
            </w:r>
          </w:p>
        </w:tc>
        <w:tc>
          <w:tcPr>
            <w:tcW w:w="6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Borders>
              <w:bottom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3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1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2016</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520" w:hanging="512"/>
        <w:spacing w:after="0" w:line="262" w:lineRule="auto"/>
        <w:tabs>
          <w:tab w:leader="none" w:pos="5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policy for transfers between fair value levels is to recognize the transfer as of the actual date of the event or change in circumstances that caused the transfer.</w:t>
      </w:r>
    </w:p>
    <w:p>
      <w:pPr>
        <w:ind w:left="520" w:hanging="512"/>
        <w:spacing w:after="0"/>
        <w:tabs>
          <w:tab w:leader="none" w:pos="5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mortgage banking revenues in the consolidated statement of income and includes the fair value of commitment issuances and expirations.</w:t>
      </w:r>
    </w:p>
    <w:p>
      <w:pPr>
        <w:spacing w:after="0" w:line="9" w:lineRule="exact"/>
        <w:rPr>
          <w:rFonts w:ascii="Times New Roman" w:cs="Times New Roman" w:eastAsia="Times New Roman" w:hAnsi="Times New Roman"/>
          <w:sz w:val="18"/>
          <w:szCs w:val="18"/>
          <w:i w:val="1"/>
          <w:iCs w:val="1"/>
          <w:color w:val="auto"/>
        </w:rPr>
      </w:pPr>
    </w:p>
    <w:p>
      <w:pPr>
        <w:ind w:left="520" w:hanging="512"/>
        <w:spacing w:after="0" w:line="250" w:lineRule="auto"/>
        <w:tabs>
          <w:tab w:leader="none" w:pos="5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net unrealized losses on investment securities in the consolidated statement of comprehensive income. The Company sold its collateralized debt obligations during the third and fourth quarters of 2016.</w:t>
      </w:r>
    </w:p>
    <w:p>
      <w:pPr>
        <w:ind w:left="520" w:hanging="512"/>
        <w:spacing w:after="0"/>
        <w:tabs>
          <w:tab w:leader="none" w:pos="5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out of Level 3 consist of interest rate locks transferred to closed loans.</w:t>
      </w:r>
    </w:p>
    <w:p>
      <w:pPr>
        <w:spacing w:after="0" w:line="200" w:lineRule="exact"/>
        <w:rPr>
          <w:rFonts w:ascii="Times New Roman" w:cs="Times New Roman" w:eastAsia="Times New Roman" w:hAnsi="Times New Roman"/>
          <w:sz w:val="18"/>
          <w:szCs w:val="18"/>
          <w:i w:val="1"/>
          <w:iCs w:val="1"/>
          <w:color w:val="auto"/>
        </w:rPr>
      </w:pPr>
    </w:p>
    <w:p>
      <w:pPr>
        <w:spacing w:after="0" w:line="222"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June 30, 2017.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$200 million at June 30, 2017 ($118 million and $82 million of which were classified as Level 2 and Level 3, respectively), $293 million at December 31, 2016 ($153 million and $140 million of which were classified as Level 2 and Level 3, respectively) and $242 million at June 30, 2016 ($141 million and $101 million of which were classified as Level 2 and Level 3, respectively). Changes in fair value recognized for partial charge-offs of loans and loan impairment reserves on loans held by the Company on June 30, 2017 were decreases of $21 million and $43 million for the three-month and six-month periods ended June 30, 2017, respectively. Changes in fair value recognized for partial charge-offs of loans and loan impairment reserves on loans held by the Company on June 30, 2016 were decreases of $4 million and $31 million for the three-month and six-month periods ended June 30, 2016,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$37 million and $33 million at June 30, 2017 and 2016, respectively. Changes in fair value recognized for those foreclosed assets held by the Company were not material during the three-month and six-month periods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Significant unobservable inputs to Level 3 measurements</w:t>
      </w:r>
    </w:p>
    <w:p>
      <w:pPr>
        <w:spacing w:after="0" w:line="1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The following tables present quantitative information about significant unobservable inputs used in the fair value measurements for certain Level 3 assets and liabilities at June 30, 2017 and December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Valuation</w:t>
            </w: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Unobservable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color w:val="auto"/>
              </w:rPr>
              <w:t>Fair Value</w:t>
            </w:r>
          </w:p>
        </w:tc>
        <w:tc>
          <w:tcPr>
            <w:tcW w:w="320" w:type="dxa"/>
            <w:vAlign w:val="bottom"/>
            <w:vMerge w:val="restart"/>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6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Technique</w:t>
            </w:r>
          </w:p>
        </w:tc>
        <w:tc>
          <w:tcPr>
            <w:tcW w:w="260" w:type="dxa"/>
            <w:vAlign w:val="bottom"/>
          </w:tcPr>
          <w:p>
            <w:pPr>
              <w:spacing w:after="0"/>
              <w:rPr>
                <w:sz w:val="14"/>
                <w:szCs w:val="1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Inputs/Assumptions</w:t>
            </w:r>
          </w:p>
        </w:tc>
        <w:tc>
          <w:tcPr>
            <w:tcW w:w="34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(In thousands)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Two independent</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150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3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 (28%)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9"/>
              </w:rPr>
              <w:t>Recurring fair value measurements</w:t>
            </w:r>
          </w:p>
        </w:tc>
        <w:tc>
          <w:tcPr>
            <w:tcW w:w="1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Privately issued mortgage-backed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independent</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3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1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0%-77% (30%)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Level 3 assets (liabilities) consist of commitments to originate real estate loans.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Sensitivity of fair value measurements to changes in unobservable inputs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right="7240" w:firstLine="8"/>
        <w:spacing w:after="0" w:line="367" w:lineRule="auto"/>
        <w:tabs>
          <w:tab w:leader="none" w:pos="311"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measurements, continued </w:t>
      </w:r>
      <w:r>
        <w:rPr>
          <w:rFonts w:ascii="Times New Roman" w:cs="Times New Roman" w:eastAsia="Times New Roman" w:hAnsi="Times New Roman"/>
          <w:sz w:val="20"/>
          <w:szCs w:val="20"/>
          <w:b w:val="1"/>
          <w:bCs w:val="1"/>
          <w:i w:val="1"/>
          <w:iCs w:val="1"/>
          <w:color w:val="auto"/>
        </w:rPr>
        <w:t>Disclosures of fair value of financial instruments</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The carrying amounts and estimated fair value for financial instrument assets (liabilities) are presented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June 30, 2017</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Carrying</w:t>
            </w:r>
          </w:p>
        </w:tc>
        <w:tc>
          <w:tcPr>
            <w:tcW w:w="1160" w:type="dxa"/>
            <w:vAlign w:val="bottom"/>
            <w:gridSpan w:val="2"/>
          </w:tcPr>
          <w:p>
            <w:pPr>
              <w:jc w:val="right"/>
              <w:ind w:right="380"/>
              <w:spacing w:after="0" w:line="133" w:lineRule="exact"/>
              <w:rPr>
                <w:sz w:val="20"/>
                <w:szCs w:val="20"/>
                <w:color w:val="auto"/>
              </w:rPr>
            </w:pPr>
            <w:r>
              <w:rPr>
                <w:rFonts w:ascii="Times New Roman" w:cs="Times New Roman" w:eastAsia="Times New Roman" w:hAnsi="Times New Roman"/>
                <w:sz w:val="14"/>
                <w:szCs w:val="14"/>
                <w:color w:val="auto"/>
              </w:rPr>
              <w:t>Estimated</w:t>
            </w:r>
          </w:p>
        </w:tc>
        <w:tc>
          <w:tcPr>
            <w:tcW w:w="14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13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Level 2</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Amount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Fair Value</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1,345,478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1,345,478</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1,251,750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93,728</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5,023,829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5,023,829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5,023,829</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174,646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174,646</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15,816,060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15,808,324</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47,892</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15,644,774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22,191,051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21,790,807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21,790,807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33,348,991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32,941,849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32,733,878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20,960,171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21,007,049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4,643,237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16,363,812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12,580,342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12,485,100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(1,008,225)</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88,072,330</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88,224,805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4,851,208</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83,373,597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310,187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310,187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310,187</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8"/>
              </w:rPr>
              <w:t>(32,366,426)</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(32,366,426)</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(32,366,426)</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(52,871,146)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(52,871,146)</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(52,871,146)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(8,107,749)</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(8,176,159)</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(8,176,159)</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(195,617)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(195,617)</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(195,617)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(1,695,453)</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(1,695,453)</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(1,695,453)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(7,649,580)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(7,676,747)</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(7,676,747)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(70,204)</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(70,204)</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(70,204)</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(117,209)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(117,209)</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(117,209)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 loans for sale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(121,960)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(121,960)</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rate risk management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- 39 -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December 31, 2016</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600"/>
              <w:spacing w:after="0" w:line="133" w:lineRule="exact"/>
              <w:rPr>
                <w:sz w:val="20"/>
                <w:szCs w:val="20"/>
                <w:color w:val="auto"/>
              </w:rPr>
            </w:pPr>
            <w:r>
              <w:rPr>
                <w:rFonts w:ascii="Times New Roman" w:cs="Times New Roman" w:eastAsia="Times New Roman" w:hAnsi="Times New Roman"/>
                <w:sz w:val="14"/>
                <w:szCs w:val="14"/>
                <w:color w:val="auto"/>
              </w:rPr>
              <w:t>Carrying</w:t>
            </w:r>
          </w:p>
        </w:tc>
        <w:tc>
          <w:tcPr>
            <w:tcW w:w="1120" w:type="dxa"/>
            <w:vAlign w:val="bottom"/>
            <w:gridSpan w:val="2"/>
          </w:tcPr>
          <w:p>
            <w:pPr>
              <w:jc w:val="right"/>
              <w:ind w:right="340"/>
              <w:spacing w:after="0" w:line="133" w:lineRule="exact"/>
              <w:rPr>
                <w:sz w:val="20"/>
                <w:szCs w:val="20"/>
                <w:color w:val="auto"/>
              </w:rPr>
            </w:pPr>
            <w:r>
              <w:rPr>
                <w:rFonts w:ascii="Times New Roman" w:cs="Times New Roman" w:eastAsia="Times New Roman" w:hAnsi="Times New Roman"/>
                <w:sz w:val="14"/>
                <w:szCs w:val="14"/>
                <w:color w:val="auto"/>
              </w:rPr>
              <w:t>Estimated</w:t>
            </w:r>
          </w:p>
        </w:tc>
        <w:tc>
          <w:tcPr>
            <w:tcW w:w="220" w:type="dxa"/>
            <w:vAlign w:val="bottom"/>
          </w:tcPr>
          <w:p>
            <w:pPr>
              <w:spacing w:after="0"/>
              <w:rPr>
                <w:sz w:val="11"/>
                <w:szCs w:val="11"/>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Level 1</w:t>
            </w:r>
          </w:p>
        </w:tc>
        <w:tc>
          <w:tcPr>
            <w:tcW w:w="13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Level 2</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Amount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Fair Value</w:t>
            </w: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1,320,549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1,320,549</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1,249,654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70,895</w:t>
            </w:r>
          </w:p>
        </w:tc>
        <w:tc>
          <w:tcPr>
            <w:tcW w:w="3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5,000,638</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5,000,638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5,000,638</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323,867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323,867</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277,732</w:t>
            </w:r>
          </w:p>
        </w:tc>
        <w:tc>
          <w:tcPr>
            <w:tcW w:w="3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16,250,468</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16,244,412</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301,711</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15,821,176</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22,610,047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22,239,428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22,239,428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33,506,394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33,129,428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642,590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32,486,838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22,590,912</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22,638,167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4,912,488</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17,725,679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12,146,063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(988,997)</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89,864,419</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90,068,613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5,555,078</w:t>
            </w:r>
          </w:p>
        </w:tc>
        <w:tc>
          <w:tcPr>
            <w:tcW w:w="3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84,513,535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308,805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308,805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308,805</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(32,813,896)</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(32,813,896)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(32,813,896)</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(52,346,207)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(52,346,207)</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(52,346,207)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(10,131,846)</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(10,222,585)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(10,222,585)</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(201,927)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(201,927)</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(201,927)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(163,442)</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(163,442)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(163,442)</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(9,493,835)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(9,473,844)</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(9,473,844)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(75,172)</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(75,172)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(75,172)</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(174,376)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(174,376)</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(174,376)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 loans for sale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(136,295)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(136,295)</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(136,295)</w:t>
            </w:r>
          </w:p>
        </w:tc>
        <w:tc>
          <w:tcPr>
            <w:tcW w:w="0" w:type="dxa"/>
            <w:vAlign w:val="bottom"/>
          </w:tcPr>
          <w:p>
            <w:pPr>
              <w:spacing w:after="0"/>
              <w:rPr>
                <w:sz w:val="1"/>
                <w:szCs w:val="1"/>
                <w:color w:val="auto"/>
              </w:rPr>
            </w:pPr>
          </w:p>
        </w:tc>
      </w:tr>
      <w:tr>
        <w:trPr>
          <w:trHeight w:val="211"/>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 interest rate risk</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management</w:t>
            </w: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b w:val="1"/>
          <w:bCs w:val="1"/>
          <w:i w:val="1"/>
          <w:iCs w:val="1"/>
          <w:color w:val="auto"/>
        </w:rPr>
        <w:t>Cash and cash equivalents, interest-bearing deposits at banks, deposits at Cayman Islands office, short-term borrowings, accrued interest receivable and accrued interest payable</w:t>
      </w:r>
    </w:p>
    <w:p>
      <w:pPr>
        <w:spacing w:after="0" w:line="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right="7900" w:firstLine="8"/>
        <w:spacing w:after="0" w:line="349" w:lineRule="auto"/>
        <w:tabs>
          <w:tab w:leader="none" w:pos="311"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Fair value measurements, continued </w:t>
      </w:r>
      <w:r>
        <w:rPr>
          <w:rFonts w:ascii="Times New Roman" w:cs="Times New Roman" w:eastAsia="Times New Roman" w:hAnsi="Times New Roman"/>
          <w:sz w:val="21"/>
          <w:szCs w:val="21"/>
          <w:b w:val="1"/>
          <w:bCs w:val="1"/>
          <w:i w:val="1"/>
          <w:iCs w:val="1"/>
          <w:color w:val="auto"/>
        </w:rPr>
        <w:t>Investment securities</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 and leases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Deposits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84" w:lineRule="exact"/>
        <w:rPr>
          <w:sz w:val="20"/>
          <w:szCs w:val="20"/>
          <w:color w:val="auto"/>
        </w:rPr>
      </w:pPr>
    </w:p>
    <w:p>
      <w:pPr>
        <w:jc w:val="both"/>
        <w:ind w:firstLine="476"/>
        <w:spacing w:after="0" w:line="256" w:lineRule="auto"/>
        <w:rPr>
          <w:sz w:val="20"/>
          <w:szCs w:val="20"/>
          <w:color w:val="auto"/>
        </w:rPr>
      </w:pPr>
      <w:r>
        <w:rPr>
          <w:rFonts w:ascii="Times New Roman" w:cs="Times New Roman" w:eastAsia="Times New Roman" w:hAnsi="Times New Roman"/>
          <w:sz w:val="21"/>
          <w:szCs w:val="21"/>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Long-term borrowings</w:t>
      </w:r>
    </w:p>
    <w:p>
      <w:pPr>
        <w:spacing w:after="0" w:line="1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commitments and contingencies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Commitments and contingencies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color w:val="auto"/>
              </w:rPr>
              <w:t>June 30,</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6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2017</w:t>
            </w: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2"/>
          </w:tcPr>
          <w:p>
            <w:pPr>
              <w:jc w:val="right"/>
              <w:ind w:right="773"/>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5,498,513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5,499,609</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191,825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70,100</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5,987,980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6,451,709</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524,540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478,950</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293,813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232,721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other</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12,310,082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12,298,473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2,812,772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2,987,091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30,330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3,306,872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3,043,580</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1,091,317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1,489,237</w:t>
            </w:r>
          </w:p>
        </w:tc>
        <w:tc>
          <w:tcPr>
            <w:tcW w:w="80" w:type="dxa"/>
            <w:vAlign w:val="bottom"/>
            <w:shd w:val="clear" w:color="auto" w:fill="CFF0FC"/>
          </w:tcPr>
          <w:p>
            <w:pPr>
              <w:spacing w:after="0"/>
              <w:rPr>
                <w:sz w:val="19"/>
                <w:szCs w:val="19"/>
                <w:color w:val="auto"/>
              </w:rPr>
            </w:pPr>
          </w:p>
        </w:tc>
      </w:tr>
    </w:tbl>
    <w:p>
      <w:pPr>
        <w:spacing w:after="0" w:line="237"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89"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$3.0 billion and $2.8 billion at June 30,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 continued</w:t>
      </w:r>
    </w:p>
    <w:p>
      <w:pPr>
        <w:spacing w:after="0" w:line="112"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5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Company also has commitments under long-term operating leases.</w:t>
      </w:r>
    </w:p>
    <w:p>
      <w:pPr>
        <w:spacing w:after="0" w:line="21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2017 the Company believes that its obligation to loan purchasers was not material to the Company’s consolidated financial position.</w:t>
      </w:r>
    </w:p>
    <w:p>
      <w:pPr>
        <w:spacing w:after="0" w:line="185"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4"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22 of Notes to Financial Statements in the 2016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As disclosed in the 2016 Annual Report, during 2016 the Company revised its funds transfer pricing allocation related to borrowings. Additionally, during the second quarter of 2017, the Company revised its funds transfer pricing allocation related to certain deposit categories. As a result, prior period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financial information has been reclassified to provide segment information on a comparable basis, as noted in the following tables.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Three months ended June 30, 2016</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5"/>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320" w:type="dxa"/>
            <w:vAlign w:val="bottom"/>
          </w:tcPr>
          <w:p>
            <w:pPr>
              <w:spacing w:after="0"/>
              <w:rPr>
                <w:sz w:val="11"/>
                <w:szCs w:val="11"/>
                <w:color w:val="auto"/>
              </w:rPr>
            </w:pPr>
          </w:p>
        </w:tc>
        <w:tc>
          <w:tcPr>
            <w:tcW w:w="86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Net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Revenues as</w:t>
            </w:r>
          </w:p>
        </w:tc>
        <w:tc>
          <w:tcPr>
            <w:tcW w:w="3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Impact of</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(Loss) as</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Impact of</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Revenues as</w:t>
            </w:r>
          </w:p>
        </w:tc>
        <w:tc>
          <w:tcPr>
            <w:tcW w:w="3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(Loss) 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Reported</w:t>
            </w:r>
          </w:p>
        </w:tc>
        <w:tc>
          <w:tcPr>
            <w:tcW w:w="3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Changes</w:t>
            </w:r>
          </w:p>
        </w:tc>
        <w:tc>
          <w:tcPr>
            <w:tcW w:w="1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Reclassified</w:t>
            </w:r>
          </w:p>
        </w:tc>
        <w:tc>
          <w:tcPr>
            <w:tcW w:w="3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Reported</w:t>
            </w: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Changes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Reclassified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left="73"/>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114,360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118,587</w:t>
            </w:r>
          </w:p>
        </w:tc>
        <w:tc>
          <w:tcPr>
            <w:tcW w:w="100" w:type="dxa"/>
            <w:vAlign w:val="bottom"/>
            <w:shd w:val="clear" w:color="auto" w:fill="CFF0FC"/>
          </w:tcPr>
          <w:p>
            <w:pPr>
              <w:spacing w:after="0"/>
              <w:rPr>
                <w:sz w:val="19"/>
                <w:szCs w:val="19"/>
                <w:color w:val="auto"/>
              </w:rPr>
            </w:pPr>
          </w:p>
        </w:tc>
        <w:tc>
          <w:tcPr>
            <w:tcW w:w="320" w:type="dxa"/>
            <w:vAlign w:val="bottom"/>
            <w:vMerge w:val="continue"/>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$ 22,747</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265,481</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14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192,175</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192,175</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46,225</w:t>
            </w:r>
          </w:p>
        </w:tc>
        <w:tc>
          <w:tcPr>
            <w:tcW w:w="14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11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(9,529)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94,353</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(5,651)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192,050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198,615</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(13,898)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(10,005)</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$ 1,312,073</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$ 336,031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Six months ended June 30, 2016</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5"/>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320" w:type="dxa"/>
            <w:vAlign w:val="bottom"/>
          </w:tcPr>
          <w:p>
            <w:pPr>
              <w:spacing w:after="0"/>
              <w:rPr>
                <w:sz w:val="11"/>
                <w:szCs w:val="11"/>
                <w:color w:val="auto"/>
              </w:rPr>
            </w:pPr>
          </w:p>
        </w:tc>
        <w:tc>
          <w:tcPr>
            <w:tcW w:w="86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Net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Revenues as</w:t>
            </w:r>
          </w:p>
        </w:tc>
        <w:tc>
          <w:tcPr>
            <w:tcW w:w="3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Impact of</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(Loss) as</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Impact of</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Revenues as</w:t>
            </w:r>
          </w:p>
        </w:tc>
        <w:tc>
          <w:tcPr>
            <w:tcW w:w="3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(Loss) 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Reported</w:t>
            </w:r>
          </w:p>
        </w:tc>
        <w:tc>
          <w:tcPr>
            <w:tcW w:w="3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Changes</w:t>
            </w:r>
          </w:p>
        </w:tc>
        <w:tc>
          <w:tcPr>
            <w:tcW w:w="1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Reclassified</w:t>
            </w:r>
          </w:p>
        </w:tc>
        <w:tc>
          <w:tcPr>
            <w:tcW w:w="3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Reported</w:t>
            </w: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Changes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Reclassified</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3"/>
          </w:tcPr>
          <w:p>
            <w:pPr>
              <w:jc w:val="center"/>
              <w:ind w:left="73"/>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228,049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236,683</w:t>
            </w:r>
          </w:p>
        </w:tc>
        <w:tc>
          <w:tcPr>
            <w:tcW w:w="100" w:type="dxa"/>
            <w:vAlign w:val="bottom"/>
            <w:shd w:val="clear" w:color="auto" w:fill="CFF0FC"/>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$ 48,195</w:t>
            </w: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519,098</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518,830</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206,719</w:t>
            </w:r>
          </w:p>
        </w:tc>
        <w:tc>
          <w:tcPr>
            <w:tcW w:w="1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369,555</w:t>
            </w:r>
          </w:p>
        </w:tc>
        <w:tc>
          <w:tcPr>
            <w:tcW w:w="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369,555</w:t>
            </w:r>
          </w:p>
        </w:tc>
        <w:tc>
          <w:tcPr>
            <w:tcW w:w="100" w:type="dxa"/>
            <w:vAlign w:val="bottom"/>
            <w:shd w:val="clear" w:color="auto" w:fill="CFF0FC"/>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209,804</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(19,769)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190,035</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100,749</w:t>
            </w:r>
          </w:p>
        </w:tc>
        <w:tc>
          <w:tcPr>
            <w:tcW w:w="1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(11,725)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200,817</w:t>
            </w:r>
          </w:p>
        </w:tc>
        <w:tc>
          <w:tcPr>
            <w:tcW w:w="11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(16,638)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184,179</w:t>
            </w:r>
          </w:p>
        </w:tc>
        <w:tc>
          <w:tcPr>
            <w:tcW w:w="100" w:type="dxa"/>
            <w:vAlign w:val="bottom"/>
            <w:shd w:val="clear" w:color="auto" w:fill="CFF0FC"/>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(9,867)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701,059</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134,785</w:t>
            </w: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392,936</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404,629</w:t>
            </w:r>
          </w:p>
        </w:tc>
        <w:tc>
          <w:tcPr>
            <w:tcW w:w="100" w:type="dxa"/>
            <w:vAlign w:val="bottom"/>
            <w:shd w:val="clear" w:color="auto" w:fill="CFF0FC"/>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(57,563)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3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(50,629)</w:t>
            </w: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$ 2,604,970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2,604,970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$ 634,559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As also described in note 22 in the 2016 Annual Report,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Information about the Company's segments is presented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w w:val="94"/>
              </w:rPr>
              <w:t>Total</w:t>
            </w:r>
          </w:p>
        </w:tc>
        <w:tc>
          <w:tcPr>
            <w:tcW w:w="84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w w:val="96"/>
              </w:rPr>
              <w:t>Inter-</w:t>
            </w:r>
          </w:p>
        </w:tc>
        <w:tc>
          <w:tcPr>
            <w:tcW w:w="1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Inter-</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segment</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Income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segment</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Revenues(a)</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Revenues(a)</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124,982</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118,587</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277,116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265,344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72,044</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(12,397)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88,998</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(14,608)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94,353</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383,904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354,001</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254,972</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198,615</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(12,325)</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$ 1,399,016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$ 1,312,073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Six Months Ended June 30,</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w w:val="94"/>
              </w:rPr>
              <w:t>Total</w:t>
            </w:r>
          </w:p>
        </w:tc>
        <w:tc>
          <w:tcPr>
            <w:tcW w:w="84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w w:val="96"/>
              </w:rPr>
              <w:t>Inter-</w:t>
            </w:r>
          </w:p>
        </w:tc>
        <w:tc>
          <w:tcPr>
            <w:tcW w:w="1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Inter-</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segment</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Income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segment</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Revenues(a)</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Revenues(a)</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5"/>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53,738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236,683</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551,024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518,830</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369,555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150,990</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(25,324)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190,035</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(28,931)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184,179</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752,422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701,059</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493,845</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(21,567)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404,629</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(23,110)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$ 2,760,121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729,980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$ 2,604,970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0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color w:val="auto"/>
              </w:rPr>
              <w:t>- 45 -</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 continued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Average Total Assets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Six Months Ended June 30</w:t>
            </w: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2017</w:t>
            </w:r>
          </w:p>
        </w:tc>
        <w:tc>
          <w:tcPr>
            <w:tcW w:w="108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jc w:val="both"/>
        <w:ind w:left="520" w:hanging="512"/>
        <w:spacing w:after="0" w:line="256" w:lineRule="auto"/>
        <w:tabs>
          <w:tab w:leader="none" w:pos="5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$8,736,000 and $6,522,000 for the three-month periods ended June 30, 2017 and 2016, respectively, and $16,735,000 and $12,854,000 for the six-month periods ended June 30, 2017 and 2016,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Relationship with Bayview Lending Group LLC and Bayview Financial Holdings, L.P.</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M&amp;T holds a 20% minority interest in Bayview Lending Group LLC ("BLG"), a privately-held commercial mortgage company. M&amp;T recognizes income or loss from BLG using the equity method of accounting. That investment had no remaining carrying value at June 30, 2017 as a result of cumulative losses recognized and cash distributions received.</w:t>
      </w:r>
    </w:p>
    <w:p>
      <w:pPr>
        <w:spacing w:after="0" w:line="173"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$3.3 billion and $3.5 billion at June 30, 2017 and December 31, 2016, respectively. Revenues from those servicing rights were $4 million and $5 million for the three-month periods ended June 30, 2017 and 2016, respectively, and $9 million and $10 million for the six-month periods ended June 30, 2017 and 2016, respectively. The Company sub-services residential mortgage loans for Bayview Financial having outstanding principal balances of $49.9 billion and $30.4 billion at June 30, 2017 and December 31, 2016, respectively. Revenues earned for sub-servicing loans for Bayview Financial were $25 million for each of the three-month periods ended June 30, 2017 and 2016, and $48 million for each of the six-month periods ended June 30, 2017 and 2016. In addition, the Company held $147 million and $158 million of mortgage-backed securities in its held-to-maturity portfolio at June 30, 2017 and December 31, 2016, respectively, that were securitized by Bayview Financial. In April 2017, the Company provided a loan to Bayview Financial for $100 million at terms consistent with those offered to non-affiliated customers. That loan was subsequently paid in full in June 2017. Also in June 2017, a new syndicated loan facility was entered into by Bayview Financial for $750 million, of which the Company held $88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Effective January 1, 2017, the Company adopted amended accounting guidance for share-based transactions. The most significant aspect of the amended guidance that affects the Company requires that all excess tax benefits and tax deficiencies be recognized in income tax expense in the income statement and that such amounts be recognized in the period in which the tax deduction arises or in the period in which an expiration of an award occurs. The adoption of this guidance resulted in an $18 million reduction of income tax expense for the three-month period ended March 31, 2017, that under previous accounting guidance would have been recognized directly in shareholders’ equity. The amended accounting guidance did not have a significant impact on income tax expense in the three-month period ended June 30, 2017.</w:t>
      </w:r>
    </w:p>
    <w:p>
      <w:pPr>
        <w:spacing w:after="0" w:line="212"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Effective January 2017, the Company also adopted amended accounting guidance for the transition to the equity method of accounting. The amended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has been in effect during all previous periods that the investment had been held. Instead, the amended guidance requires the investor to adopt the equity method of accounting as of the date the investment first qualifies for such accounting. The adoption of this guidance did not have a material effect on the Company’s consolidated financial position or results of operations.</w:t>
      </w:r>
    </w:p>
    <w:p>
      <w:pPr>
        <w:spacing w:after="0" w:line="21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January 2017, the Company adopted two amendments to the accounting guidance for derivatives and hedging. The first amendment clarifies that a change in the counterparty to a derivative instrument that has been designated as the hedging instrument does not, in and of itself, require dedesignation of that hedging relationship provided that all other hedge accounting criteria continue to be met. The second amendment clarifies the requirements for assessing whether contingent call (put) options that can accelerate the payment of principal on debt instruments are clearly and closely related to their debt hosts. An entity performing the assessment is required to assess the embedded call (put) options solely in accordance with a four-step decision sequence and no longer has to assess whether the event that triggers the ability to exercise the option is related to interest rates or credit risks. The adoption of this guidance did not have a material effect on the Company’s consolidated financial position or results of operations.</w:t>
      </w:r>
    </w:p>
    <w:p>
      <w:pPr>
        <w:spacing w:after="0" w:line="216"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In May 2017, the Financial Accounting Standards Board (“FASB”) issued amended guidance relating to which changes to the terms and conditions of a share-based payment award require an entity to apply modification accounting. The guidance requires an entity to account for the effects of a modification unless all the following criteria are met: (1) the fair value of the modified award is the same as the fair value of the original award immediately before the original award was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was modified; and (3) the classification of the modified award as an equity instrument or a liability instrument is the same as the classification of the original award immediately before the original award was modified. The guidance is effective for annual periods; and interim periods within those annual periods beginning after December 15, 2017, and should be applied on a prospective basis to an award modified on or after the adoption date. The Company does not expect the guidance to have a material impact on its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112"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In March 2017, the FASB issued amended guidance requiring the premium on callable debt securities held at a premium to be amortized to the earliest call date. The amendments do not require an accounting change for securities held at a discount; the discount continues to be amortized to maturity. The guidance is effective for annual periods and interim periods within those annual periods beginning after December 15, 2018, with early adoption permitted. If adopted in an interim period, any adjustments should be reflected as of the beginning of the fiscal year that includes that interim period. The amendments should be applied on a modified retrospective basis through a cumulative-effect adjustment directly to retained earnings as of the beginning of the period of adoption. The Company does not expect the guidance to have a material impact on its consolidated financial statements.</w:t>
      </w:r>
    </w:p>
    <w:p>
      <w:pPr>
        <w:spacing w:after="0" w:line="212"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In March 2017, the FASB issued amended guidance requiring the service cost component of the net periodic pension cost and net periodic postretirement benefit cost to be reported in the same line item or items in the income statement as other compensation costs arising from services rendered by the pertinent employees during the period (except for the amount being capitalized, if appropriate). The amendments also require disclosure of the line item(s) used in the income statement to present the components other than the service cost component if the other components are not presented in a separate line item or items in the income statement. The guidance is effective for annual periods and interim periods within those annual periods beginning after December 15, 2017, using a retrospective transition method for the presentation of the service cost and other components of net periodic pension cost and net periodic postretirement benefit cost in the income statement. The capitalization of the service cost component of net periodic pension cost and net periodic postretirement benefit cost would be applied using a prospective transition method. The amendments allow for a practical expedient that permits the use of the amounts disclosed in the Company’s pension and other postretirement benefit plan note for the prior comparative periods as the estimation basis for applying the retrospective presentation requirements. The Company does not expect the guidance to have a material impact on its consolidated financial statements.</w:t>
      </w:r>
    </w:p>
    <w:p>
      <w:pPr>
        <w:spacing w:after="0" w:line="214"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January 2017, the FASB issued amended guidance eliminating step 2 from the goodwill impairment test. Under the amendments to the guidance, an entity should perform its goodwill impairment test by comparing the fair value of a reporting unit with its carrying amount. An entity should recognize an impairment charge for the amount by which the carrying amount exceeds the reporting unit’s fair value. The loss recognized, however, should not exceed the total amount of goodwill allocated to that reporting unit. Additionally, an entity should consider income tax effects from any tax deductible goodwill on the carrying amount of the reporting unit when measuring the goodwill impairment loss, if applicable. The guidance is effective for annual periods or any interim goodwill impairment tests beginning after December 15, 2019 using a prospective transition method. Early adoption is permitted. The Company does not expect the guidance will have a material impact on its consolidated financial statements, unless at some point in the future one of its reporting units were to fail step 1 of the goodwill impairment test.</w:t>
      </w:r>
    </w:p>
    <w:p>
      <w:pPr>
        <w:spacing w:after="0" w:line="21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January 2017, the FASB issued amended guidance clarifying the definition of a business for purposes of evaluating whether transactions would be accounted for as acquisitions (or disposals) of assets or businesses. The amendments provide a screen to determine when a set of assets and activities (collectively referred to as a “set”) is not a business. The screen requires that when substantially all of the fair value of the gross assets acquired (or disposed of) is concentrated in a single identifiable asset or group of similar assets, the set is not a business. If the screen is not met, the amendments (1) require that to be considered a business, a set must include, at a minimum, an input and a substantive process that together significantly contribute to the ability to create output, and (2) remove the evaluation of whether a market participant could replace missing elements. The guidance is effective for annual</w:t>
      </w:r>
    </w:p>
    <w:p>
      <w:pPr>
        <w:jc w:val="both"/>
        <w:spacing w:after="0" w:line="246" w:lineRule="auto"/>
        <w:rPr>
          <w:sz w:val="20"/>
          <w:szCs w:val="20"/>
          <w:color w:val="auto"/>
        </w:rPr>
      </w:pPr>
      <w:r>
        <w:rPr>
          <w:rFonts w:ascii="Times New Roman" w:cs="Times New Roman" w:eastAsia="Times New Roman" w:hAnsi="Times New Roman"/>
          <w:sz w:val="21"/>
          <w:szCs w:val="21"/>
          <w:color w:val="auto"/>
        </w:rPr>
        <w:t>periods and interim periods within those annual periods beginning after December 15, 2017 using a prospective transition method. The Company does not expect the guidance to have a material impact on its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247"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November 2016, the FASB issued amended guidance for the presentation of restricted cash in the statement of cash flows. The guidance requires that restricted cash and restricted cash equivalents be included with cash and cash equivalents when reconciling the beginning-of-period and end-of-period total amounts shown on the statement of cash flows. In addition, when cash, cash equivalents, and restricted cash or restricted cash equivalents are presented in more than one line item within the statement of financial position, the line items and amounts must be presented on the face of the statement of cash flows or disclosed in the notes to the financial statements. Information about the nature of restrictions on an entity’s cash and cash equivalents must also be disclosed. The guidance is effective for annual periods and interim periods within those annual periods beginning after December 15, 2017, using a retrospective transition method. The Company is evaluating the impact the guidance may have on the presentation of its consolidated statement of cash flows.</w:t>
      </w:r>
    </w:p>
    <w:p>
      <w:pPr>
        <w:spacing w:after="0" w:line="21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August 2016, the FASB issued amended guidance for how certain cash receipts and cash payments are presented and classified in the statement of cash flows. The guidance addresses the following eight specific cash flow issues: (1) cash payments for debt extinguishment costs should be classified as cash outflows for financing activities; (2) for zero-coupon debt instruments, the portion of the cash payment attributable to the accreted interest should be classified as a cash outflow for operating activities; (3) contingent consideration payments made after a business combination should be classified based on the timing of the payment; (4) cash proceeds received from the settlement of insurance claims should be classified on the basis of the related insurance coverage; (5) cash proceeds received from the settlement of corporate-owned and bank-owned life insurance policies should be classified as cash inflows from investing activities; (6) when the equity method is applied, an accounting policy election should be made to classify distributions received using either the cumulative earnings approach or the nature of the distribution approach; (7) cash receipts from payments on a transferor’s beneficial interests obtained in a securitization of financial assets should be classified as cash inflows from investing activities; and (8) the classification of cash receipts and payments that have aspects of more than one class of cash flows should be determined by applying specific guidance in GAAP. The guidance is effective for annual periods and interim periods within those annual periods beginning after December 15, 2017. The Company is evaluating the impact the guidance may have on the presentation within its consolidated statement of cash flows.</w:t>
      </w:r>
    </w:p>
    <w:p>
      <w:pPr>
        <w:spacing w:after="0" w:line="223"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June 2016, the FASB issued amended guidance for the measurement of credit losses on certain financial assets. The amended guidance requires financial assets measured at amortized cost to be presented at the net amount expected to be collected. The allowance for credit losses will represent a valuation account that is deducted from the amortized cost basis of the financial assets to present their net carrying value at the amount expected to be collected. The income statement will reflect the measurement of credit losses for newly recognized financial assets as well as expected increases or decreases of expected credit losses that have taken place during the period. When determining the allowance, expected credit losses over the contractual term of the financial asset(s) (taking into account prepayments) will be estimated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through the income statement as an expense adjustment. In addition, the amended guidance requires credit losses relating to available-for-sale debt securities to be recorded through an allowance for credit losses. The calculation of credit losses for available-for-sale securities will be similar to how it is determined under existing guidance. The guidance is effective for annual periods and interim periods within those annual periods beginning after</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December 15, 2019. The Company is assessing the new guidance to determine what modifications to existing credit estimation processes may be required. The Company expects that the new guidance will result in an increase in its allowance for credit losses as a result of considering credit losses over the expected life of its loan portfolios. Increases in the level of the allowance for credit losses will also reflect new requirements to include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nonaccretable principal difference on purchased credit impaired loans and estimated credit losses on investment securities classified as held-to-maturity, if any. The Company is still evaluating the extent of the increase to the allowance for credit losses and the impact to its financial statements.</w:t>
      </w:r>
    </w:p>
    <w:p>
      <w:pPr>
        <w:spacing w:after="0" w:line="20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February 2016, the FASB issued guidance related to the accounting for leases. The core principle of the guidance is that all leases create an asset and a liability for the lessee and, therefore, lease assets and lease liabilities should be recognized in the balance sheet. Lease assets will be recognized as a right-of-use asset and lease liabilities will be recognized as a liability to make lease payments. While the guidance requires all leases to be recognized in the balance sheet, there continues to be a differentiation between finance leases and operating leases for purposes of income statement recognition and cash flow statement presentation. For finance leases, interest on the lease liability and amortization of the right-of-use asset will be recognized separately in the statement of income. Repayments of principal on those lease liabilities will be classified within financing activities and payments of interest on the lease liability will be classified within operating activities in the statement of cash flows. For operating leases, a single lease cost is recognized in the statement of income and allocated over the lease term, generally on a straight-line basis. All cash payments are presented within operating activities in the statement of cash flows. The accounting applied by lessors is largely unchanged from existing GAAP, however, the guidance eliminates the accounting model for leveraged leases for leases that commence after the effective date of the guidance. The guidance is effective for annual periods beginning after December 15, 2018, including interim periods within those fiscal years. The Company occupies certain banking offices and uses certain equipment under noncancelable operating lease agreements, which currently are not reflected in its consolidated balance sheet. Upon adoption of the guidance, the Company expects to report increased assets and increased liabilities as a result of recognizing right-of-use assets and lease liabilities on its consolidated balance sheet. The Company was committed to $467 million of minimum lease payments under noncancelable operating lease agreements at December 31, 2016. The Company does not expect the new guidance will have a material impact to its consolidated statement of income.</w:t>
      </w:r>
    </w:p>
    <w:p>
      <w:pPr>
        <w:spacing w:after="0" w:line="21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January 2016, the FASB issued amended guidance related to recognition and measurement of financial assets and liabilities. The amended guidance requires that equity investments (excluding those accounted for under the equity method of accounting or those that result in consolidation of the investee) be measured at fair value with changes in fair value recognized in net income. An entity can elect to measure equity investments that do not have readily determinable fair values at cost less impairment, plus or minus changes resulting from observable price changes in orderly transactions for the identical or similar investment of the same issuer. The impairment assessment of equity investments without readily determinable fair values is simplified by requiring a qualitative assessment to identify impairment. When a qualitative assessment indicates impairment exists, an entity is required to measure the investment at fair value. The guidance eliminates the requirement for public business entities to disclose the method and significant assumptions used to estimate the fair value that is required to be disclosed for financial instruments measured at amortized cost on the balance sheet. Further, the guidance requires public entities to use the exit price when measuring the fair value of financial instruments for disclosure purposes. The guidance also requires an entity to present separately in other comprehensive income, a change in the instrument-specific credit risk when the entity has elected to measure a liability at fair value in accordance with the fair value option. Separate presentation of financial assets and liabilities by measurement category and type of instrument on the balance sheet or accompanying notes to the financial statements is required. The guidance also clarifies that an entity should evaluate the need for a valuation allowance on a deferred tax asset related to available-for-sale securities in combination with the entity’s other deferred tax assets. This guidance is effective for annual periods and interim periods within those annual periods beginning after December 15, 2017. The Company is still evaluating the impact the guidance could</w:t>
      </w:r>
    </w:p>
    <w:p>
      <w:pPr>
        <w:jc w:val="both"/>
        <w:spacing w:after="0" w:line="244" w:lineRule="auto"/>
        <w:rPr>
          <w:sz w:val="20"/>
          <w:szCs w:val="20"/>
          <w:color w:val="auto"/>
        </w:rPr>
      </w:pPr>
      <w:r>
        <w:rPr>
          <w:rFonts w:ascii="Times New Roman" w:cs="Times New Roman" w:eastAsia="Times New Roman" w:hAnsi="Times New Roman"/>
          <w:sz w:val="21"/>
          <w:szCs w:val="21"/>
          <w:color w:val="auto"/>
        </w:rPr>
        <w:t>have on its consolidated financial statements. The Company does hold certain equity securities in its available-for-sale portfolio. Upon adoption of this guidance, fair value changes in such equity securities will be recognized in the consolidated statement of income as opposed to accumulated other comprehensive income where they are recognized under current accounting guidance.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11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The amended guidance is effective for annual reporting periods beginning after December 15, 2017,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“modified retrospective approach”). At present, the Company expects to adopt the revenue recognition guidance in the first quarter of 2018 using the modified retrospective approach. A significant amount of the Company’s revenues are derived from net interest income on financial assets and liabilities, which are excluded from the scope of the amended guidance. With respect to noninterest income, the Company has identified revenue streams within the scope of the guidance, and is performing an evaluation of the underlying revenue contracts. To date, the Company has not yet identified any material changes in the timing of revenue recognition when considering the amended accounting guidance, however, the Company’s implementation efforts are ongoing and such assessments may change prior to the January 1, 2018 implementation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Net income for M&amp;T Bank Corporation (“M&amp;T”) in the second quarter of 2017 was $381 million or $2.35 of diluted earnings per common share, compared with $336 million or $1.98 of diluted earnings per common share in the corresponding quarter of 2016. Net income totaled $349 million or $2.12 of diluted earnings per common share in the first quarter of 2017. Basic earnings per common share were $2.36 in the recent quarter, compared with $1.98 in the second quarter of 2016 and $2.13 in the first quarter of 2017. Net income aggregated $730 million or $4.47 of diluted earnings per common share for the six-month period ended June 30, 2017, compared with $635 million or $3.71 of diluted earnings per common share in the first six months of 2016. Basic earnings per share were $4.49 in the first half of 2017, up from $3.72 in corresponding year-earlier period.</w:t>
      </w:r>
    </w:p>
    <w:p>
      <w:pPr>
        <w:spacing w:after="0" w:line="77"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annualized rate of return on average total assets for M&amp;T and its consolidated subsidiaries (“the Company”) in the second quarter of 2017 was 1.27%, compared with 1.09% in the similar quarter of 2016 and 1.15% in the initial 2017 quarter. The annualized rate of return on average common shareholders’ equity was 9.67% in the recent quarter, compared with 8.38% in the second quarter of 2016 and 8.89% in the first quarter of 2017. During the first six months of 2017, the annualized rates of return on average assets and average common shareholders’ equity were 1.21% and 9.28%, respectively, compared with 1.03% and 7.91%, respectively, in the first half of 2016.</w:t>
      </w:r>
    </w:p>
    <w:p>
      <w:pPr>
        <w:spacing w:after="0" w:line="75"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During the first quarter of 2017, M&amp;T adopted new accounting guidance for share-based transactions. That guidance requires that all excess tax benefits and tax deficiencies associated with share-based compensation be recognized in income tax expense in the income statement. Previously, tax effects resulting from changes in M&amp;T’s share price subsequent to the grant date were recorded through shareholders’ equity at the time of vesting or exercise. The adoption of the amended accounting guidance resulted in an $18 million reduction of income tax expense or $.12 of diluted earnings per common share in the initial 2017 quarter. The impact of that change in accounting on income tax expense was not significant in the recent quarter.</w:t>
      </w:r>
    </w:p>
    <w:p>
      <w:pPr>
        <w:spacing w:after="0" w:line="75"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On June 28, 2017, M&amp;T announced that the Federal Reserve did not object to M&amp;T’s proposed 2017 Capital Plan. That capital plan includes the repurchase of up to $900 million of common shares during the four-quarter period starting on July 1, 2017, an increase in the quarterly common stock dividend in the second quarter of 2018 of up to $.05 per share to $.80 per share, and the issuance of subordinated capital notes in the third quarter of 2017 of $500 million. M&amp;T may continue to pay dividends and interest on equity and debt instruments included in regulatory capital, including preferred stock, trust preferred securities and subordinated debt that were outstanding at December 31, 2016, consistent with the contractual terms of those instruments. Dividends are subject to declaration by M&amp;T’s Board of Directors. In July 2017, M&amp;T’s Board of Directors authorized a new stock repurchase program to repurchase up to $900 million of shares of M&amp;T’s common stock subject to all applicable regulatory limitations, including those set forth in M&amp;T’s 2017 Capital Plan. In accordance with M&amp;T’s revised 2016 Capital Plan, during the second quarter of 2017, M&amp;T repurchased 1,409,807 shares of its common stock at a total cost of $225 million and in the first quarter of 2017, M&amp;T repurchased 3,233,196 shares of its common stock at a cost of $532 million and increased the quarterly common stock dividend from $.70 to $.75 per share. In accordance with its 2015 Capital Plan, in the first and second quarters of 2016, M&amp;T repurchased 948,545 shares and 1,319,487 shares, respectively, for $100 million and $154 million,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2" w:name="page53"/>
    <w:bookmarkEnd w:id="52"/>
    <w:p>
      <w:pPr>
        <w:jc w:val="both"/>
        <w:ind w:firstLine="471"/>
        <w:spacing w:after="0" w:line="267" w:lineRule="auto"/>
        <w:rPr>
          <w:sz w:val="20"/>
          <w:szCs w:val="20"/>
          <w:color w:val="auto"/>
        </w:rPr>
      </w:pPr>
      <w:r>
        <w:rPr>
          <w:rFonts w:ascii="Times New Roman" w:cs="Times New Roman" w:eastAsia="Times New Roman" w:hAnsi="Times New Roman"/>
          <w:sz w:val="20"/>
          <w:szCs w:val="20"/>
          <w:color w:val="auto"/>
        </w:rPr>
        <w:t>On July 25, 2017, the Federal Reserve Bank of New York terminated its written agreement with M&amp;T and its principal bank subsidiary, M&amp;T Bank, that had been entered into in June 2013. Under the terms of that agreement, M&amp;T and M&amp;T Bank submitted to the Federal Reserve Bank of New York a revised compliance risk management program designed to ensure compliance with the Bank Secrecy Act and anti-money-laundering laws and regulations (“BSA/AML”) and took other steps to enhance their compliance practices.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the Company to its new customers; severance; incentive compensation costs; travel costs; and printing, supplies and other costs of completing the transactions and commencing operations in new markets and offices. Merger-related expenses associated with the 2015 acquisition of Hudson City Bancorp, Inc. (“Hudson City”) were $13 million ($8 million after-tax effect) in the second quarter of 2016 ($.05 per diluted common share) and $36 million ($22 million after-tax effect) in the first six months of 2016 ($.14 per diluted common share). There were no merger-related expenses during the first two quarters of 2017. Although “net operating income” as defined by M&amp;T is not a GAAP measure, M&amp;T’s management believes that this information helps investors understand the effect of acquisition activity in reported results.</w:t>
      </w:r>
    </w:p>
    <w:p>
      <w:pPr>
        <w:spacing w:after="0" w:line="223"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Net operating income totaled $386 million in the second quarter of 2017, compared with $351 million in the corresponding quarter of 2016 and $354 million in 2017’s initial quarter. Diluted net operating earnings per common share for the recent quarter were $2.38, compared with $2.07 in the second quarter of 2016 and $2.15 in the first quarter of 2017. For the first half of 2017, net operating income and diluted net operating earnings per common share were $740 million and $4.53, respectively, compared with $671 million and $3.94, respectively, for the first six months of 2016.</w:t>
      </w:r>
    </w:p>
    <w:p>
      <w:pPr>
        <w:spacing w:after="0" w:line="211"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Net operating income in the recent quarter expressed as an annualized rate of return on average tangible assets was 1.33%, compared with 1.18% in the second quarter of 2016 and 1.21% in the initial quarter of 2017. Net operating income represented an annualized return on average tangible common equity of 14.18% in the second quarter of 2017, compared with 12.68% and 13.05% in the quarters ended June 30, 2016 and March 31, 2017, respectively. For the first six months of 2017, net operating income represented an annualized return on average tangible assets and average tangible common shareholders’ equity of 1.27% and 13.61%, respectively, compared with 1.14% and 12.15%, respectively, in the similar 2016 period.</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Reconciliations of GAAP amounts with corresponding non-GAAP amounts are provided in table 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Taxable-equivalent net interest income was $947 million in the second quarter of 2017, up 9% from $870 million in the second quarter of 2016. That growth resulted predominantly from a widening of the net interest margin, or taxable-equivalent net interest income expressed as an annualized percentage of average earning assets, to 3.45% in the recent quarter from 3.13% in the similar 2016 period, and higher average loan balances of $1.1 billion. The improvement in the net interest margin was largely the result of the higher interest rate environment due to actions initiated by the Federal Reserve in mid-December 2016, mid-March 2017 and mid-June 2017 to raise its target Federal funds rate by .25% at each of those dates. Taxable-equivalent net interest income in the recent quarter increased 3% from $922 million in the first quarter of 2017, predominantly due to an 11 basis point (hundredths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53" w:name="page54"/>
    <w:bookmarkEnd w:id="53"/>
    <w:p>
      <w:pPr>
        <w:jc w:val="both"/>
        <w:spacing w:after="0" w:line="270" w:lineRule="auto"/>
        <w:rPr>
          <w:sz w:val="20"/>
          <w:szCs w:val="20"/>
          <w:color w:val="auto"/>
        </w:rPr>
      </w:pPr>
      <w:r>
        <w:rPr>
          <w:rFonts w:ascii="Times New Roman" w:cs="Times New Roman" w:eastAsia="Times New Roman" w:hAnsi="Times New Roman"/>
          <w:sz w:val="21"/>
          <w:szCs w:val="21"/>
          <w:color w:val="auto"/>
        </w:rPr>
        <w:t>one percent) widening of the net interest margin from 3.34% in the initial 2017 quarter. That widening also reflected the impact of the increases in interest rates initiated by the Federal Reserve as noted earlier.</w:t>
      </w:r>
    </w:p>
    <w:p>
      <w:pPr>
        <w:spacing w:after="0" w:line="159"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For the first six months of 2017, taxable-equivalent net interest income was $1.87 billion, up 7% from $1.75 billion in the first half of 2016. That increase was primarily due to a 25 basis point widening of the net interest margin to 3.40% in 2017 from 3.15% in 2016. Also contributing to the higher taxable-equivalent net interest income in the 2017 period was growth in average loan balances, which rose $1.7 billion from the first six months of 2016.</w:t>
      </w:r>
    </w:p>
    <w:p>
      <w:pPr>
        <w:spacing w:after="0" w:line="178"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Average loans and leases aggregated $89.3 billion in the recently completed quarter, 1% higher than $88.2 billion in the second quarter of 2016. Commercial loans and leases averaged $22.3 billion in the second quarter of 2017, $900 million or 4% above $21.4 billion in the year-earlier quarter. Average commercial real estate loans were $33.2 billion in the recent quarter, up $3.1 billion, or 10%, from $30.1 billion in the second quarter of 2016. Reflecting ongoing repayments of loans obtained in the acquisition of Hudson City, average residential real estate loans declined $3.5 billion, or 14%, to $21.3 billion in the second quarter of 2017 from $24.9 billion in the year-earlier quarter. Included in average residential real estate loans were loans held for sale, which averaged $291 million in the recent quarter and $308 million in the corresponding 2016 quarter. Consumer loans averaged $12.4 billion in the second quarter of 2017, an increase of $673 million, or 6%, from $11.7 billion in the year-earlier quarter, predominantly due to growth in average automobile and recreational vehicle loans, partially offset by lower outstanding balances of home equity lines of credit.</w:t>
      </w:r>
    </w:p>
    <w:p>
      <w:pPr>
        <w:spacing w:after="0" w:line="185"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Average loan and lease balances in the second quarter of 2017 decreased $529 million from $89.8 billion in the first quarter of 2017. Average commercial loan and lease balances rose $59 million in the recent quarter and commercial real estate loan average balances increased $39 million from the first three months of 2017. Average residential real estate loans in the second quarter of 2017 declined $861 million, or 4%, from $22.2 billion in the initial 2017 quarter, reflecting the continued pay down of loans obtained in the acquisition of Hudson City. Average consumer loans increased $233 million, or 2%, in the recent quarter from $12.2 billion in 2017’s first quarter. The accompanying table summarizes quarterly changes in the major components of the loan and lease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of unearned discount)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Percent Increase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(Decrease)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8"/>
              </w:rPr>
              <w:t>2nd Qtr.</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2nd Qtr.</w:t>
            </w:r>
          </w:p>
        </w:tc>
        <w:tc>
          <w:tcPr>
            <w:tcW w:w="2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1st Qtr.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w w:val="99"/>
              </w:rPr>
              <w:t>2017</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2017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Automobile</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2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consumer</w:t>
            </w:r>
          </w:p>
        </w:tc>
        <w:tc>
          <w:tcPr>
            <w:tcW w:w="19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For the first half of 2017, average loans and leases aggregated $89.5 billion, up $1.7 billion, or 2%, from $87.9 billion in the first six months of 2016. The most significant factors contributing to that increase were the growth in the commercial real estate loan and commercial loan and lease portfolios, largely offset by a decline in residential real estate loans.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54" w:name="page55"/>
    <w:bookmarkEnd w:id="54"/>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The investment securities portfolio averaged $15.9 billion in the second quarter of 2017, up $1.0 billion, or 7%, from $14.9 billion in the corresponding 2016 quarter, but $86 million lower than the $16.0 billion averaged in the first quarter of 2017. For the first six months of 2017 and 2016, investment securities averaged $16.0 billion and $15.1 billion, respectively. The changes from the first quarter of 2017 and from the second quarter of 2016 to the recent quarter as well as the changes from the first half of 2016 to the first six months of 2017 reflect the net effect of purchases, offset by maturities and pay downs of mortgage-backed securities. During the second quarter of 2017, the Company purchased $658 million of mortgage-backed securities, predominantly Ginnie Mae securities, and $214 million of U.S. Treasury notes. The Company sold $512 million of available-for-sale Fannie Mae and Freddie Mac mortgage-backed securities during the recent quarter largely attributable to the limitations on the amount of Fannie Mae and Freddie Mac mortgage-backed securities that are permitted to be included in the highest tier of “high quality liquid assets” for the Liquidity Coverage Ratio (“LCR”) calculation. Purchases of mortgage-backed securities and U.S. Treasury notes totaled $200 million and $536 million during the year-earlier quarter and the initial quarter of 2017, respectively. 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requirements of the LCR that became effective in January 2016. The LCR is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2016 under the heading “Liquidity.”</w:t>
      </w:r>
    </w:p>
    <w:p>
      <w:pPr>
        <w:spacing w:after="0" w:line="203"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In addition to the sales noted above,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demand for loans, which generally yield more than investment securities, ongoing repayments, the levels of deposits, and management of liquidity (including the LCR) and balance sheet size and resulting capital ratios.</w:t>
      </w:r>
    </w:p>
    <w:p>
      <w:pPr>
        <w:spacing w:after="0" w:line="184"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Company regularly reviews its investment securities for declines in value below amortized cost that might be characterized as “other than temporary.” There were no other-than-temporary impairment charges recognized in either of the six-month periods ended June 30, 2017 or 2016. Additional information about the investment securities portfolio is included in notes 3 and 12 of Notes to Financial Statements.</w:t>
      </w:r>
    </w:p>
    <w:p>
      <w:pPr>
        <w:spacing w:after="0" w:line="205"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Other earning assets include interest-bearing deposits at the Federal Reserve Bank of New York and other banks, trading account assets and federal funds sold. Those other earning assets in the aggregate averaged $4.8 billion in the second quarter of 2017, compared with $8.8 billion and $6.2 billion in the similar quarter of 2016 and initial 2017 quarter, respectively. Interest-bearing deposits at banks averaged $4.7 billion, $8.7 billion and $6.2 billion during the quarters ended June 30, 2017, June 30, 2016 and March 31, 2017, respectively. For the six-month periods ended June 30, 2017 and 2016, average balances of interest-bearing deposits at banks were $5.4 billion and $8.5 billion, respectively.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(including the LCR) and balance sheet size and resulting capital ratios.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w:t>
      </w:r>
    </w:p>
    <w:p>
      <w:pPr>
        <w:spacing w:after="0" w:line="190"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As a result of the changes described herein, average earning assets were $110.0 billion in the most recent quarter, compared with $111.9 billion in the corresponding 2016 quarter and $112.0 billion in the first quarter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2017. Average earning assets aggregated $111.0 billion and $111.5 billion during the first half of 2017 and 2016, respectively.</w:t>
      </w:r>
    </w:p>
    <w:p>
      <w:pPr>
        <w:spacing w:after="0" w:line="218"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$92.0 billion in the second quarter of 2017, compared with $91.5 billion in the year-earlier quarter and $94.0 billion in the initial 2017 quarter. As compared with the first quarter of 2017, lower average balances of noninterest-bearing deposits in 2017’s second quarter, largely due to decreased trust customer deposits, as well as declines in average time deposits, predominantly related to maturities of relatively high-rate deposits obtained in the acquisition of Hudson City, led to the decline in average core deposits. Average core deposits in the second quarter of 2017 as compared with the year-earlier quarter reflected higher noninterest-bearing deposits, largely associated with trust customers, and lower time deposits. The following table provides an analysis of quarterly changes in the components of average core deposits.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CORE DEPOSITS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Percent Increase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(Decrease)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2nd Qtr.</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2nd Qtr.</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1st Qtr.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w w:val="99"/>
              </w:rPr>
              <w:t>2017</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2017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52,472</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31,868</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92,032</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$808 million in the recent quarter, compared with $1.3 billion in the second quarter of 2016 and $935 million in the initial 2017 quarter. Cayman Islands office deposits averaged $163 million, $182 million and $192 million for the quarters ended June 30, 2017, June 30, 2016 and March 31, 2017, respectively. Brokered time deposits averaged $59 million in each of the quarters ended June 30, 2017, June 30, 2016 and March 31, 2017. The Company also had brokered savings and interest-bearing transaction accounts, which in the aggregate averaged $1.1 billion during each of the second and first quarters of 2017, compared with $1.0 billion in the second quarter of 2016. The levels of brokered deposit accounts reflect the demand for such deposits, largely resulting from the desire of brokerage firms to earn reasonable yields while ensuring that customer deposits are fully insured. The level of Cayman Islands office deposits is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87"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less than one year. Average short-term borrowings totaled $212 million in the recent quarter, compared with $1.1 billion in the second quarter of 2016 and $184 million in the first quarter of 2017. The decrease in average short-term borrowings in the two most recent quarters as compared with the second quarter of 2016 was predominantly due to the maturities of borrowings from the Federal Home Loan Bank of New York assumed in the Hudson City acquisition. On June 30, 2017, the Company borrowed $1.5 billion from the Federal Home Loan Bank of New York, which matured on the following business day. Also included in short-term borrowings were unsecured federal funds borrowings, which generally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56" w:name="page57"/>
    <w:bookmarkEnd w:id="56"/>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mature on the next business day, that averaged $141 million and $161 million in the second quarters of 2017 and 2016, respectively, and $129 million in the first quarter of 2017.</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20"/>
          <w:szCs w:val="20"/>
          <w:color w:val="auto"/>
        </w:rPr>
        <w:t>Long-term borrowings averaged $8.3 billion in the second quarter of 2017, compared with $10.3 billion in the year-earlier quarter and $8.4 billion in the initial 2017 quarter. M&amp;T Bank has a Bank Note Program whereby M&amp;T Bank may offer unsecured senior and subordinated notes. Average balances of notes outstanding under that program were $4.8 billion, $5.2 billion and $4.5 billion during the three-month periods ended June 30, 2017, June 30, 2016 and March 31, 2017, respectively. During May 2017, M&amp;T Bank issued $650 million of fixed rate and $250 million of variable rate senior notes that mature in 2022. During June 2017, M&amp;T Bank redeemed $750 million of 1.40% fixed rate senior notes. The notes had a maturity date of July 25, 2017 and were redeemable on or after the 30th day prior to the maturity date. The proceeds of the issuances of borrowings under the Bank Note Program have been predominantly utilized to purchase high quality liquid assets that meet the requirements of the LCR. Outstanding balances of the senior unsecured notes were $4.6 billion at June 30, 2017 and $5.2 billion at December 31, 2016. Also included in average long-term borrowings were amounts borrowed from the Federal Home Loan Banks of New York, Atlanta and Pittsburgh of $1.0 billion in the recent quarter, compared with $1.2 billion in each of the second quarter of 2016 and the first quarter of 2017. Subordinated capital notes included in long-term borrowings averaged $1.5 billion during each of the quarters ended June 30, 2017, June 30, 2016 and March 31, 2017. Junior subordinated debentures associated with trust preferred securities that were included in average long-term borrowings totaled $518 million in the recent quarter, compared with $515 million in the second quarter of 2016 and $517 million in the first quarter of 2017. Additional information regarding junior subordinated debentures is provided in note 5 of Notes to Financial Statements. Also included in long-term borrowings were agreements to repurchase securities, which averaged $430 million in the recently completed quarter, compared with $1.9 billion in the year-earlier quarter and $683 million in the initial quarter of 2017. The lower average balances of repurchase agreements in the current year periods as compared with the second quarter of 2016 reflect maturities. The repurchase agreements held at June 30, 2017 totaled $428 million and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June 30, 2017, interest rate swap agreements were used to hedge approximately $3.7 billion of outstanding fixed rate long-term borrowings. In the second quarter of 2017, the Company entered into $2.8 billion of interest rate swap agreements to hedge the aforementioned newly issued senior notes and certain existing fixed rate borrowings. Further information on interest rate swap agreements is provided in note 10 of Notes to Financial Statements.</w:t>
      </w:r>
    </w:p>
    <w:p>
      <w:pPr>
        <w:spacing w:after="0" w:line="200" w:lineRule="exact"/>
        <w:rPr>
          <w:sz w:val="20"/>
          <w:szCs w:val="20"/>
          <w:color w:val="auto"/>
        </w:rPr>
      </w:pPr>
    </w:p>
    <w:p>
      <w:pPr>
        <w:spacing w:after="0" w:line="230"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3.27% in the recent quarter, compared with 2.95% in the second quarter of 2016. The yield on earning assets during the second quarter of 2017 was 3.79%, up 28 basis points from 3.51% in the year-earlier period, while the rate paid on interest-bearing liabilities decreased four basis points to .52% in the recent quarter from .56% in the similar 2016 period. In the first quarter of 2017, the net interest spread was 3.15%, the yield on earning assets was 3.67% and the rate paid on interest-bearing liabilities was .52%. For the first six months of 2017, the net interest spread was 3.21%, up 23 basis points from the year-earlier period. The yield on earning assets and the rate paid on interest-bearing liabilities for the six-month period ended June 30, 2017 were 3.73% and .52%, respectively, compared with 3.53% and .55%, respectively, in the corresponding 2016 period. The widening of the net interest spread in the recent quarter as compared with the second quarter of 2016 and first quarter of 2017 and in the first half of 2017 as compared with the first six months of 2016 was largely due to the effect of increases in short-term interest rates initiated by the Federal Reserve in mid-December 2016, mid-March 2017 and mid-June 2017 that contributed to higher yields on loans and leases.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57" w:name="page58"/>
    <w:bookmarkEnd w:id="57"/>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$39.1 billion in the recent quarter, compared with $35.7 billion in the second quarter of 2016 and $40.4 billion in the initial quarter of 2017. The increases in average net interest-free funds in the two most recent quarters as compared with the second quarter of 2016 reflect higher average balances of noninterest-bearing deposits. Those deposits averaged $31.9 billion, $29.2 billion and $33.3 billion in the quarters ended June 30, 2017, June 30, 2016 and March 31, 2017, respectively. During the first half of 2017 and 2016, average net interest-free funds aggregated $39.8 billion and $35.4 billion, respectively. The growth in average noninterest-bearing deposits since the second quarter of 2016 largely reflects higher deposits of trust customers. Shareholders’ equity averaged $16.3 billion in each of the two most recent quarters and $16.4 billion in the three-month period ended June 30, 2016. Goodwill and core deposit and other intangible assets averaged $4.7 billion and the cash surrender value of bank owned life insurance averaged $1.7 billion during each of the quarters ended June 30, 2017, June 30, 2016 and March 31, 2017. Increases in the cash surrender value of bank owned life insurance and benefits received are not included in interest income, but rather are recorded in “other revenues from operations.” The contribution of net interest-free funds to net interest margin was .18% in each of the second quarters of 2017 and 2016, compared with .19% in the first quarter of 2017. That contribution for the first half of 2017 and 2016 was .19% and .17%, respectively.</w:t>
      </w:r>
    </w:p>
    <w:p>
      <w:pPr>
        <w:spacing w:after="0" w:line="185"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Reflecting the changes to the net interest spread and the contribution of interest-free funds as described herein, the Company’s net interest margin was 3.45% in the second quarter of 2017, compared with 3.13% in the corresponding 2016 period and 3.34% in the initial quarter of 2017. During the first six months of 2017 and 2016, the net interest margin was 3.40% and 3.15%,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83"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earned on assets or the rates paid on interest-bearing liabilities. The notional amount of interest rate swap agreements entered into for interest rate risk management purposes was $5.7 billion at June 30, 2017, compared with $1.4 billion and $900 million at June 30, 2016 and December 31, 2016, respectively. Under the terms of those interest rate swap agreements, the Company received payments based on the outstanding notional amount at fixed rates and made payments at variable rates. The $4.8 billion increase in notional amount from December 31, 2016 reflects $2.0 billion of interest rate swaps designated as cash flow hedges of variable rate commercial real estate loans and $2.8 billion of interest rate swaps designated as fair value hedges of fixed rate long-term borrowings. These interest rate swap agreements were entered into to mitigate the risk from potential downward shifts in interest rates. There were no interest rate swap agreements designated as cash flow hedges at June 30, 2016 or December 31, 2016.</w:t>
      </w:r>
    </w:p>
    <w:p>
      <w:pPr>
        <w:spacing w:after="0" w:line="181"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each of the quarters ended June 30, 2017, June 30, 2016 and March 31, 2017 were not material to the Company’s consolidated results of operations. The estimated aggregate net fair value of interest rate swap agreements designated as fair value hedges represented gains (without consideration of any collateral or settlement provisions) of approximately $2 million at June 30, 2017, $34 million at June 30, 2016, $12 million at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58" w:name="page59"/>
    <w:bookmarkEnd w:id="58"/>
    <w:p>
      <w:pPr>
        <w:jc w:val="both"/>
        <w:spacing w:after="0" w:line="245" w:lineRule="auto"/>
        <w:rPr>
          <w:sz w:val="20"/>
          <w:szCs w:val="20"/>
          <w:color w:val="auto"/>
        </w:rPr>
      </w:pPr>
      <w:r>
        <w:rPr>
          <w:rFonts w:ascii="Times New Roman" w:cs="Times New Roman" w:eastAsia="Times New Roman" w:hAnsi="Times New Roman"/>
          <w:sz w:val="21"/>
          <w:szCs w:val="21"/>
          <w:color w:val="auto"/>
        </w:rPr>
        <w:t>December 31, 2016 and $8 million at March 31, 2017. The fair values of such interest rate swap agreements were substantially offset by changes in the fair values of the hedged items. The estimated fair values of the interest rate swap agreements designated as cash flow hedges were net losses of approximately $1.5 million at June 30, 2017 (without consideration of any collateral or settlement provisions). Net of applicable income taxes, such losses were approximately $931,000 and have been included in “accumulated other comprehensive income, net” in the Company’s consolidated balance sheet. The changes in the fair values of the interest rate swap agreements and the hedged items primarily result from the effects of changing interest rates and spreads. The Company’s credit exposure as of June 30, 2017 with respect to the estimated fair value of interest rate swap agreements used for managing interest rate risk has been substantially mitigated through master netting arrangements with trading account interest rate contracts with the same counterparty, periodic settlements and counterparty postings of $2 million of collateral with the Company.</w:t>
      </w:r>
    </w:p>
    <w:p>
      <w:pPr>
        <w:spacing w:after="0" w:line="185"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The weighted-average rates to be received and paid under interest rate swap agreements currently in effect were 2.22% and 1.66%, respectively, at June 30, 2017.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center"/>
              <w:ind w:right="58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Rate(a)</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Rate(a)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7"/>
          </w:tcPr>
          <w:p>
            <w:pPr>
              <w:jc w:val="center"/>
              <w:ind w:right="740"/>
              <w:spacing w:after="0"/>
              <w:rPr>
                <w:sz w:val="20"/>
                <w:szCs w:val="20"/>
                <w:color w:val="auto"/>
              </w:rPr>
            </w:pPr>
            <w:r>
              <w:rPr>
                <w:rFonts w:ascii="Times New Roman" w:cs="Times New Roman" w:eastAsia="Times New Roman" w:hAnsi="Times New Roman"/>
                <w:sz w:val="14"/>
                <w:szCs w:val="14"/>
                <w:color w:val="auto"/>
              </w:rPr>
              <w:t>(Dollars in thousands)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(5,904)</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(9,798)</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5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15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4,109,890</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52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1,400,000</w:t>
            </w:r>
          </w:p>
        </w:tc>
        <w:tc>
          <w:tcPr>
            <w:tcW w:w="40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61</w:t>
            </w:r>
          </w:p>
        </w:tc>
        <w:tc>
          <w:tcPr>
            <w:tcW w:w="8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60</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560"/>
              <w:spacing w:after="0"/>
              <w:rPr>
                <w:sz w:val="20"/>
                <w:szCs w:val="20"/>
                <w:color w:val="auto"/>
              </w:rPr>
            </w:pPr>
            <w:r>
              <w:rPr>
                <w:rFonts w:ascii="Times New Roman" w:cs="Times New Roman" w:eastAsia="Times New Roman" w:hAnsi="Times New Roman"/>
                <w:sz w:val="14"/>
                <w:szCs w:val="14"/>
                <w:color w:val="auto"/>
              </w:rPr>
              <w:t>Six Months Ended June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Rate(a)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Amount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Rate(a)</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5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(9,552)</w:t>
            </w:r>
          </w:p>
        </w:tc>
        <w:tc>
          <w:tcPr>
            <w:tcW w:w="7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(20,131)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560" w:type="dxa"/>
            <w:vAlign w:val="bottom"/>
            <w:tcBorders>
              <w:bottom w:val="single" w:sz="8" w:color="CFF0FC"/>
            </w:tcBorders>
            <w:gridSpan w:val="2"/>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4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1560" w:type="dxa"/>
            <w:vAlign w:val="bottom"/>
            <w:tcBorders>
              <w:bottom w:val="single" w:sz="8" w:color="CFF0FC"/>
            </w:tcBorders>
            <w:gridSpan w:val="2"/>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2,513,812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1,400,000</w:t>
            </w:r>
          </w:p>
        </w:tc>
        <w:tc>
          <w:tcPr>
            <w:tcW w:w="4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Computed as an annualized percentage of average earning assets or interest-bearing liabilities.</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Weighted-average rate paid or received on interest rate swap agreements in effect during the period.</w:t>
      </w:r>
    </w:p>
    <w:p>
      <w:pPr>
        <w:spacing w:after="0" w:line="20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59" w:name="page60"/>
    <w:bookmarkEnd w:id="59"/>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the Federal Reserve Board’s risk-based capital guidelines for inclusion in the Company’s regulatory capital. However, pursuant to the Dodd-Frank Act, the Company’s junior subordinated debentures associated with trust preferred securities have been phased-out of the definition of Tier 1 capital. Beginning January 1, 2016 those instruments are considered Tier 2 capital and are only includable in total regulatory capital.</w:t>
      </w:r>
    </w:p>
    <w:p>
      <w:pPr>
        <w:spacing w:after="0" w:line="192"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has informal and sometimes reciprocal sources of funding available through various arrangements for unsecured short-term borrowings from a wide group of banks and other financial institutions. Short-term federal funds borrowings were $140 million, $156 million and $112 million at June 30, 2017, June 30, 2016 and December 31, 2016, respectively. In general, those borrowings were unsecured and matured on the next business day. On June 30, 2017, the Company obtained a $1.5 billion short-term borrowing from the Federal Home Loan Bank of New York, which matured on July 3, 2017. In addition to satisfying customer demand, Cayman Islands office deposits may be used by the Company as an alternative to short-term borrowings. Cayman Islands office deposits totaled $196 million at June 30, 2017, $194 million at June 30, 2016 and $202 million at December 31, 2016. The Company has also benefited from the placement of brokered deposits. The Company had brokered savings and interest-bearing checking deposit accounts which totaled approximately $1.1 billion at June 30, 2017, $1.0 billion at June 30, 2016 and $1.2 billion at December 31, 2016. Brokered time deposits were not a significant source of funding as of those dates.</w:t>
      </w:r>
    </w:p>
    <w:p>
      <w:pPr>
        <w:spacing w:after="0" w:line="19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8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There were no VRDBs in the Company’s trading account at June 30, 2017, as compared with $17 million at June 30, 2016 and $30 million at December 31, 2016. The total amount of VRDBs outstanding backed by M&amp;T Bank letters of credit was $1.2 billion at June 30, 2017, compared with $1.7 billion and $1.3 billion at June 30, 2016 and December 31, 2016, respectively. M&amp;T Bank also serves as remarketing agent for most of those bonds.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0" w:name="page61"/>
    <w:bookmarkEnd w:id="60"/>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83"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2017 approximately $717 million was available for payment of dividends to M&amp;T from bank subsidiaries. Information regarding the long-term debt obligations of M&amp;T is included in note 5 of Notes to Financial Statements.</w:t>
      </w:r>
    </w:p>
    <w:p>
      <w:pPr>
        <w:spacing w:after="0" w:line="184"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20"/>
          <w:szCs w:val="20"/>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has taken steps to maintain appropriate liquidity and is in compliance with the LCR rules.</w:t>
      </w:r>
    </w:p>
    <w:p>
      <w:pPr>
        <w:spacing w:after="0" w:line="168"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87"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1" w:name="page62"/>
    <w:bookmarkEnd w:id="61"/>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The accompanying table as of June 30, 2017 and December 31, 2016 displays the estimated impact on net interest income from non-trading financial instruments in the base scenario described above resulting from parallel changes in interest rates across repricing categories during the first modeling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4"/>
          </w:tcPr>
          <w:p>
            <w:pPr>
              <w:jc w:val="center"/>
              <w:ind w:right="410"/>
              <w:spacing w:after="0"/>
              <w:rPr>
                <w:sz w:val="20"/>
                <w:szCs w:val="20"/>
                <w:color w:val="auto"/>
              </w:rPr>
            </w:pPr>
            <w:r>
              <w:rPr>
                <w:rFonts w:ascii="Times New Roman" w:cs="Times New Roman" w:eastAsia="Times New Roman" w:hAnsi="Times New Roman"/>
                <w:sz w:val="14"/>
                <w:szCs w:val="14"/>
                <w:color w:val="auto"/>
              </w:rPr>
              <w:t>Calculated Increase (Decrease)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4"/>
          </w:tcPr>
          <w:p>
            <w:pPr>
              <w:jc w:val="center"/>
              <w:ind w:right="410"/>
              <w:spacing w:after="0"/>
              <w:rPr>
                <w:sz w:val="20"/>
                <w:szCs w:val="20"/>
                <w:color w:val="auto"/>
              </w:rPr>
            </w:pPr>
            <w:r>
              <w:rPr>
                <w:rFonts w:ascii="Times New Roman" w:cs="Times New Roman" w:eastAsia="Times New Roman" w:hAnsi="Times New Roman"/>
                <w:sz w:val="14"/>
                <w:szCs w:val="14"/>
                <w:color w:val="auto"/>
              </w:rPr>
              <w:t>in Projected Net Interest Income</w:t>
            </w: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Changes in interest rates</w:t>
            </w: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December 31, 2016</w:t>
            </w:r>
          </w:p>
        </w:tc>
        <w:tc>
          <w:tcPr>
            <w:tcW w:w="0" w:type="dxa"/>
            <w:vAlign w:val="bottom"/>
          </w:tcPr>
          <w:p>
            <w:pPr>
              <w:spacing w:after="0"/>
              <w:rPr>
                <w:sz w:val="1"/>
                <w:szCs w:val="1"/>
                <w:color w:val="auto"/>
              </w:rPr>
            </w:pPr>
          </w:p>
        </w:tc>
      </w:tr>
      <w:tr>
        <w:trPr>
          <w:trHeight w:val="165"/>
        </w:trPr>
        <w:tc>
          <w:tcPr>
            <w:tcW w:w="3700" w:type="dxa"/>
            <w:vAlign w:val="bottom"/>
            <w:gridSpan w:val="3"/>
            <w:vMerge w:val="continue"/>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740"/>
              <w:spacing w:after="0" w:line="158" w:lineRule="exact"/>
              <w:rPr>
                <w:sz w:val="20"/>
                <w:szCs w:val="20"/>
                <w:color w:val="auto"/>
              </w:rPr>
            </w:pPr>
            <w:r>
              <w:rPr>
                <w:rFonts w:ascii="Times New Roman" w:cs="Times New Roman" w:eastAsia="Times New Roman" w:hAnsi="Times New Roman"/>
                <w:sz w:val="14"/>
                <w:szCs w:val="14"/>
                <w:color w:val="auto"/>
              </w:rPr>
              <w:t>2017</w:t>
            </w: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gridSpan w:val="2"/>
          </w:tcPr>
          <w:p>
            <w:pPr>
              <w:jc w:val="center"/>
              <w:ind w:right="132"/>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4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112,834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227,283</w:t>
            </w:r>
          </w:p>
        </w:tc>
        <w:tc>
          <w:tcPr>
            <w:tcW w:w="8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82,612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-50 basis points</w:t>
            </w:r>
          </w:p>
        </w:tc>
        <w:tc>
          <w:tcPr>
            <w:tcW w:w="2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(a)</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(98,945)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2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(158,553)</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9"/>
              </w:rPr>
              <w:t>(a)</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60" w:hanging="852"/>
        <w:spacing w:after="0"/>
        <w:tabs>
          <w:tab w:leader="none" w:pos="8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 did not analyze this scenario.</w:t>
      </w:r>
    </w:p>
    <w:p>
      <w:pPr>
        <w:spacing w:after="0" w:line="321"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In 2016, the Company suspended the -100 basis point scenario due to the persistent low level of interest rates. This scenario was reinstated as of June 30, 2017.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Given recent increases in short-term interest rates, management believes that the likelihood of potential volatility of interest rates has increased. As a result, as previously described, in 2017 management added interest rate swap agreements designated as hedging instruments to mitigate the Company’s exposure to such potential volatility. In light of the uncertainties and assumptions associated with the process, the amounts presented in the table are not considered significant to the Company’s past or projected net interest income.</w:t>
      </w:r>
    </w:p>
    <w:p>
      <w:pPr>
        <w:spacing w:after="0" w:line="195"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78"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20"/>
          <w:szCs w:val="20"/>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trading account positions associated with interest rate contracts and foreign currency and other option and futures contracts are presented in note 10 of Notes to Financial Statements.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2" w:name="page63"/>
    <w:bookmarkEnd w:id="62"/>
    <w:p>
      <w:pPr>
        <w:jc w:val="both"/>
        <w:spacing w:after="0" w:line="251" w:lineRule="auto"/>
        <w:rPr>
          <w:sz w:val="20"/>
          <w:szCs w:val="20"/>
          <w:color w:val="auto"/>
        </w:rPr>
      </w:pPr>
      <w:r>
        <w:rPr>
          <w:rFonts w:ascii="Times New Roman" w:cs="Times New Roman" w:eastAsia="Times New Roman" w:hAnsi="Times New Roman"/>
          <w:sz w:val="21"/>
          <w:szCs w:val="21"/>
          <w:color w:val="auto"/>
        </w:rPr>
        <w:t>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7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notional amounts of interest rate contracts entered into for trading account purposes were $22.8 billion at June 30, 2017, $20.1 billion at June 30, 2016 and $21.6 billion at December 31, 2016. The notional amounts of foreign currency and other option and futures contracts entered into for trading account purposes were $530 million at June 30, 2017, compared with $826 million at June 30, 2016 and $471 million at December 31, 2016.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totaled $175 million and $117 million, respectively, at June 30, 2017. Effective January 2017, certain clearinghouse exchanges revised their rules to re-characterize required collateral postings for changes in fair value of exchange-traded derivatives as legal settlements of those positions. As a result, the fair value asset and liability amounts at June 30, 2017 have been reduced by contractual settlements of $92 million and $32 million, respectively. The fair values of trading account assets and liabilities were $506 million and $353 million, respectively, at June 30, 2016 and $324 million and $174 million, respectively, at December 31, 2016. Included in trading account assets were assets related to deferred compensation plans totaling $23 million at June 30, 2017 and $22 million at each of June 30 and December 31, 2016. Changes in the fair values of such assets are recorded as “trading account and foreign exchange gains” in the consolidated statement of income. Included in “other liabilities” in the consolidated balance sheet were liabilities related to deferred compensation plans totaling $26 million at each of June 30, 2017, June 30, 2016 and December 31, 2016.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$24 million at each of June 30, 2017 and December 31, 2016 and $40 million at June 30, 2016.</w:t>
      </w:r>
    </w:p>
    <w:p>
      <w:pPr>
        <w:spacing w:after="0" w:line="188"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$52 million in the recent quarter, compared with $32 million in the second quarter of 2016 and $55 million in the first quarter of 2017. For the six-month periods ended June 30, 2017 and 2016, the provision for credit losses was $107 million and $81 million, respectively. Net charge-offs of loans were $45 million in the recent quarter, compared with $24 million in the corresponding 2016 quarter and $43 million in the initial quarter of 2017. Net charge-offs as an annualized percentage of average loans and leases were .20% in the recent quarter, compared with .11% in the year-earlier quarter and .19% in the first quarter of 2017. Net charge-offs for the six-month periods ended June 30 totaled $88 million in 2017 and $66 million in 2016, representing an annualized rate of .20% and .15% of average loans and leases in those respective periods. A summary of net charge-offs by loan type is presented in the table that follows.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NET CHARGE-OFFS (RECOVERIES)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LOAN/LEASE TYPE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480"/>
              <w:spacing w:after="0" w:line="133" w:lineRule="exact"/>
              <w:rPr>
                <w:sz w:val="20"/>
                <w:szCs w:val="20"/>
                <w:color w:val="auto"/>
              </w:rPr>
            </w:pPr>
            <w:r>
              <w:rPr>
                <w:rFonts w:ascii="Times New Roman" w:cs="Times New Roman" w:eastAsia="Times New Roman" w:hAnsi="Times New Roman"/>
                <w:sz w:val="14"/>
                <w:szCs w:val="14"/>
                <w:color w:val="auto"/>
              </w:rPr>
              <w:t>First</w:t>
            </w: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Second Quarter</w:t>
            </w:r>
          </w:p>
        </w:tc>
        <w:tc>
          <w:tcPr>
            <w:tcW w:w="10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3"/>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Quarter</w:t>
            </w:r>
          </w:p>
        </w:tc>
        <w:tc>
          <w:tcPr>
            <w:tcW w:w="1320" w:type="dxa"/>
            <w:vAlign w:val="bottom"/>
            <w:gridSpan w:val="2"/>
            <w:vMerge w:val="continue"/>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to-date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2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480"/>
              <w:spacing w:after="0" w:line="133" w:lineRule="exact"/>
              <w:rPr>
                <w:sz w:val="20"/>
                <w:szCs w:val="20"/>
                <w:color w:val="auto"/>
              </w:rPr>
            </w:pPr>
            <w:r>
              <w:rPr>
                <w:rFonts w:ascii="Times New Roman" w:cs="Times New Roman" w:eastAsia="Times New Roman" w:hAnsi="Times New Roman"/>
                <w:sz w:val="14"/>
                <w:szCs w:val="14"/>
                <w:color w:val="auto"/>
              </w:rPr>
              <w:t>First</w:t>
            </w: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Second Quarter</w:t>
            </w:r>
          </w:p>
        </w:tc>
        <w:tc>
          <w:tcPr>
            <w:tcW w:w="10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3"/>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Quarter</w:t>
            </w:r>
          </w:p>
        </w:tc>
        <w:tc>
          <w:tcPr>
            <w:tcW w:w="1320" w:type="dxa"/>
            <w:vAlign w:val="bottom"/>
            <w:gridSpan w:val="2"/>
            <w:vMerge w:val="continue"/>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to-date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940" w:type="dxa"/>
            <w:vAlign w:val="bottom"/>
          </w:tcPr>
          <w:p>
            <w:pPr>
              <w:spacing w:after="0"/>
              <w:rPr>
                <w:sz w:val="11"/>
                <w:szCs w:val="11"/>
                <w:color w:val="auto"/>
              </w:rPr>
            </w:pPr>
          </w:p>
        </w:tc>
        <w:tc>
          <w:tcPr>
            <w:tcW w:w="160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spacing w:after="0"/>
              <w:rPr>
                <w:sz w:val="11"/>
                <w:szCs w:val="11"/>
                <w:color w:val="auto"/>
              </w:rPr>
            </w:pPr>
          </w:p>
        </w:tc>
        <w:tc>
          <w:tcPr>
            <w:tcW w:w="1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(3,132)</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(1,141)</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(1,866)</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37,394</w:t>
            </w:r>
          </w:p>
        </w:tc>
        <w:tc>
          <w:tcPr>
            <w:tcW w:w="2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Reflected in net charge-offs of commercial loans and leases in the recent quarter was an $8 million charge-off associated with a provider of asset management, trading, and merger and acquisition advisory services. Net charge-offs of commercial loans and leases in the first quarter of 2017 included a $6 million charge-off associated with a producer of powdered cellulose and fiber filler products used for food and industrial applications. Reflected in net charge-offs of commercial loans and leases in the second quarter of 2016 was a $7 million recovery of a previously charged-off loan. Included in net charge-offs of consumer loans and leases were net charge-offs during the quarters ended June 30, 2017, June 30, 2016 and March 31, 2017, respectively, of: automobile loans of $7 million, $6 million and $9 million; recreational vehicle loans of $2 million, $3 million and $5 million; and home equity loans and lines of credit secured by one-to-four family residential properties of $3 million, $4 million and $3 million. Beginning in the first quarter of 2016, the Company accelerated the charge off of consumer loans associated with customers who were either deceased or had filed for bankruptcy that, in accordance with GAAP, had previously been considered when determining the level of the allowance for credit losses and were charged-off following the Company’s normal charge-off procedures to the extent the loans subsequently became delinquent. Reflected in consumer loan charge-offs in the second quarter of 2016 was a $6 million charge-off of a personal usage loan.</w:t>
      </w:r>
    </w:p>
    <w:p>
      <w:pPr>
        <w:spacing w:after="0" w:line="187"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4" w:name="page65"/>
    <w:bookmarkEnd w:id="64"/>
    <w:p>
      <w:pPr>
        <w:jc w:val="both"/>
        <w:spacing w:after="0" w:line="248" w:lineRule="auto"/>
        <w:rPr>
          <w:sz w:val="20"/>
          <w:szCs w:val="20"/>
          <w:color w:val="auto"/>
        </w:rPr>
      </w:pPr>
      <w:r>
        <w:rPr>
          <w:rFonts w:ascii="Times New Roman" w:cs="Times New Roman" w:eastAsia="Times New Roman" w:hAnsi="Times New Roman"/>
          <w:sz w:val="21"/>
          <w:szCs w:val="21"/>
          <w:color w:val="auto"/>
        </w:rPr>
        <w:t>expected cash flows result in additional interest income to be recognized over the then-remaining lives of the loans. The carrying amount of loans acquired at a discount subsequent to 2008 and accounted for based on expected cash flows was $1.4 billion, $2.2 billion and $1.8 billion at June 30, 2017, June 30, 2016 and December 31, 2016, respectively. The decrease in such loans since June 30, 2016 was largely attributable to payments received. The nonaccretable balance related to remaining principal losses associated with loans acquired at a discount as of June 30, 2017 and December 31, 2016 is presented in the accompanying table.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NONACCRETABLE BALANCE - PRINCIPAL</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Remaining balance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June 30, 2017</w:t>
            </w:r>
          </w:p>
        </w:tc>
        <w:tc>
          <w:tcPr>
            <w:tcW w:w="980" w:type="dxa"/>
            <w:vAlign w:val="bottom"/>
            <w:tcBorders>
              <w:top w:val="single" w:sz="8" w:color="auto"/>
            </w:tcBorders>
          </w:tcPr>
          <w:p>
            <w:pPr>
              <w:jc w:val="right"/>
              <w:ind w:right="15"/>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41,949</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44,021</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4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4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was $12.8 billion and $14.2 billion at June 30, 2017 and December 31, 2016,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283"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Nonaccrual loans aggregated $872 million or .98% of total loans and leases outstanding at June 30, 2017, compared with $849 million or .96% a year earlier, $920 million or 1.01% at December 31, 2016 and $927 million or 1.04% at March 31, 2017. The lower level of nonaccrual loans at June 30, 2017 as compared with March 31, 2017 reflects the effect of borrower repayment performance and charge-offs. The higher levels of nonaccrual loans at the three most recent quarter ends as compared with June 30, 2016 reflect the migration of previously performing residential real estate loans obtained in the acquisition of Hudson City that became past due over 90 days after June 30, 2016.</w:t>
      </w:r>
    </w:p>
    <w:p>
      <w:pPr>
        <w:spacing w:after="0" w:line="18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Accruing loans past due 90 days or more (excluding loans acquired at a discount) totaled $265 million or .30% of total loans and leases at June 30, 2017, compared with $298 million or .34% at June 30, 2016, $301 million or .33% at December 31, 2016 and $280 million or .31% at March 31, 2017. Those amounts included loans guaranteed by government-related entities of $235 million, $270 million, $283 million and $253 million at June 30, 2017, June 30, 2016, December 31, 2016 and March 31, 2017,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$185 million at June 30, 2017, $218 million at June 30, 2016, $224 million at December 31, 2016 and $197 million at March 31, 2017. The remaining accruing loans past due 90 days or more not guaranteed by government-related entities were loans considered to be with creditworthy borrowers that were in the process of collection or renewal.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5" w:name="page66"/>
    <w:bookmarkEnd w:id="65"/>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$512 million at June 30, 2017, or .6% of total loans. Of that amount, $453 million was related to the Hudson City acquisition. Purchased impaired loans totaled $662 million and $578 million at June 30, 2016 and December 31, 2016, respectively.</w:t>
      </w:r>
    </w:p>
    <w:p>
      <w:pPr>
        <w:spacing w:after="0" w:line="212" w:lineRule="exact"/>
        <w:rPr>
          <w:sz w:val="20"/>
          <w:szCs w:val="20"/>
          <w:color w:val="auto"/>
        </w:rPr>
      </w:pPr>
    </w:p>
    <w:p>
      <w:pPr>
        <w:jc w:val="both"/>
        <w:ind w:firstLine="571"/>
        <w:spacing w:after="0" w:line="256" w:lineRule="auto"/>
        <w:rPr>
          <w:sz w:val="20"/>
          <w:szCs w:val="20"/>
          <w:color w:val="auto"/>
        </w:rPr>
      </w:pPr>
      <w:r>
        <w:rPr>
          <w:rFonts w:ascii="Times New Roman" w:cs="Times New Roman" w:eastAsia="Times New Roman" w:hAnsi="Times New Roman"/>
          <w:sz w:val="21"/>
          <w:szCs w:val="21"/>
          <w:color w:val="auto"/>
        </w:rPr>
        <w:t>Accruing loans acquired at a discount past due 90 days or more are loans that could not be specifically identified as impaired as of the acquisition date, but were recorded at estimated fair value as of such date. Such loans totaled $57 million at June 30, 2017, compared with $69 million at June 30, 2016 and $61 million at December 31, 2016.</w:t>
      </w:r>
    </w:p>
    <w:p>
      <w:pPr>
        <w:spacing w:after="0" w:line="173"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20"/>
          <w:szCs w:val="20"/>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68"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$180 million, $162 million and $171 million at June 30, 2017, June 30, 2016 and December 31, 2016, respectively.</w:t>
      </w:r>
    </w:p>
    <w:p>
      <w:pPr>
        <w:spacing w:after="0" w:line="178"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Nonaccrual commercial loans and leases were $201 million at June 30, 2017, $241 million at June 30, 2016 and $261 million at each of December 31, 2016 and March 31, 2017. Commercial real estate loans classified as nonaccrual aggregated $225 million June 30, 2017, $218 million at June 30, 2016, and $211 million at each of December 31, 2016 and March 31, 2017. Nonaccrual commercial real estate loans included construction-related loans of $23 million, $46 million, $35 million and $28 million at June 30, 2017, June 30, 2016, December 31, 2016 and March 31, 2017, respectively. Those nonaccrual construction loans included loans to residential builders and developers of $7 million, $24 million, $17 million and $14 million at June 30, 2017, June 30, 2016, December 31, 2016 and March 31, 2017, respectively. Information about the location of nonaccrual and charged-off loans to residential real estate builders and developers as of and for the three-month period ended June 30, 2017 is presented in the accompanying table.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RESIDENTIAL BUILDER AND DEVELOPER LOANS, NET OF UNEARNED DISCOUNT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color w:val="auto"/>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June 30, 2017</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color w:val="auto"/>
              </w:rPr>
              <w:t>June 30,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right"/>
              <w:ind w:right="464"/>
              <w:spacing w:after="0" w:line="155" w:lineRule="exact"/>
              <w:rPr>
                <w:sz w:val="20"/>
                <w:szCs w:val="20"/>
                <w:color w:val="auto"/>
              </w:rPr>
            </w:pPr>
            <w:r>
              <w:rPr>
                <w:rFonts w:ascii="Times New Roman" w:cs="Times New Roman" w:eastAsia="Times New Roman" w:hAnsi="Times New Roman"/>
                <w:sz w:val="14"/>
                <w:szCs w:val="14"/>
                <w:color w:val="auto"/>
              </w:rPr>
              <w:t>Nonaccrual</w:t>
            </w:r>
          </w:p>
        </w:tc>
        <w:tc>
          <w:tcPr>
            <w:tcW w:w="540" w:type="dxa"/>
            <w:vAlign w:val="bottom"/>
          </w:tcPr>
          <w:p>
            <w:pPr>
              <w:spacing w:after="0"/>
              <w:rPr>
                <w:sz w:val="13"/>
                <w:szCs w:val="13"/>
                <w:color w:val="auto"/>
              </w:rPr>
            </w:pPr>
          </w:p>
        </w:tc>
        <w:tc>
          <w:tcPr>
            <w:tcW w:w="1740" w:type="dxa"/>
            <w:vAlign w:val="bottom"/>
            <w:tcBorders>
              <w:top w:val="single" w:sz="8" w:color="auto"/>
              <w:bottom w:val="single" w:sz="8" w:color="auto"/>
            </w:tcBorders>
            <w:gridSpan w:val="4"/>
          </w:tcPr>
          <w:p>
            <w:pPr>
              <w:ind w:left="20"/>
              <w:spacing w:after="0" w:line="155" w:lineRule="exact"/>
              <w:rPr>
                <w:sz w:val="20"/>
                <w:szCs w:val="20"/>
                <w:color w:val="auto"/>
              </w:rPr>
            </w:pPr>
            <w:r>
              <w:rPr>
                <w:rFonts w:ascii="Times New Roman" w:cs="Times New Roman" w:eastAsia="Times New Roman" w:hAnsi="Times New Roman"/>
                <w:sz w:val="14"/>
                <w:szCs w:val="14"/>
                <w:color w:val="auto"/>
              </w:rPr>
              <w:t>Net Charge-offs (Recoveries)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Annualized</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color w:val="auto"/>
                <w:w w:val="98"/>
              </w:rPr>
              <w:t>Balances</w:t>
            </w: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w w:val="98"/>
              </w:rPr>
              <w:t>Balances</w:t>
            </w:r>
          </w:p>
        </w:tc>
        <w:tc>
          <w:tcPr>
            <w:tcW w:w="106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Balances(b)</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Balances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color w:val="auto"/>
              </w:rPr>
              <w:t>Balances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470,075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Mid-Atlantic(a)</w:t>
            </w:r>
          </w:p>
        </w:tc>
        <w:tc>
          <w:tcPr>
            <w:tcW w:w="2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474,497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0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1,683,480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Borders>
              <w:top w:val="single" w:sz="8" w:color="CFF0FC"/>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Delaware, Maryland, New Jersey, Virginia, West Virginia and the District of Columbia.</w:t>
      </w:r>
    </w:p>
    <w:p>
      <w:pPr>
        <w:spacing w:after="0" w:line="4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approximately $13 million of loans not secured by real estate, of which approximately $1 million are in nonaccrual status.</w:t>
      </w:r>
    </w:p>
    <w:p>
      <w:pPr>
        <w:spacing w:after="0" w:line="22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Residential real estate loans in nonaccrual status aggregated $343 million at June 30, 2017, compared with $282 million at June 30, 2016, $336 million at December 31, 2016 and $350 million at March 31, 2017. The increase in residential real estate loans classified as nonaccrual at the three most recent quarter-ends as compared with June 30, 2016 reflects the migration of previously performing loans obtained in the acquisition of Hudson City that became more than 90 days delinquent. Such nonaccrual residential real estate loans totaled $211 million at June 30, 2017, $113 million at June 30, 2016, $190 million at December 31, 2016 and $207 million at March 31, 2017. Those loans could not be identified as purchased impaired loans at the acquisition date because the borrowers were making loan payments at that time and the loans were not recorded at a discount. Included in residential real estate loans classified as nonaccrual were limited documentation first mortgage loans of $106 million, $79 million, $107 million and $113 million at June 30, 2017, June 30, 2016, December 31, 2016 and March 31, 2017, respectively. Limited documentation first mortgage loans represent loans secured by residential real estate that at origination typically included some form of limited borrower documentation requirements as compared with more traditional loans. Such loans in the Company’s portfolio prior to the Hudson City transaction were originated by the Company before 2008. Hudson City discontinued its limited documentation loan program in January 2014. Residential real estate loans past due 90 days or more and accruing interest (excluding loans acquired at a discount) aggregated $233 million at June 30, 2017, compared with $271 million at June 30, 2016, $281 million at December 31, 2016 and $251 million at March 31, 2017. A substantial portion of such amounts related to guaranteed loans repurchased from government-related entities. Information about the location of nonaccrual and charged-off residential real estate loans as of and for the quarter ended June 30, 2017 is presented in the accompanying table.</w:t>
      </w:r>
    </w:p>
    <w:p>
      <w:pPr>
        <w:spacing w:after="0" w:line="181"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Nonaccrual consumer loans were $103 million at June 30, 2017, compared with $108 million at June 30, 2016, $112 million at December 31, 2016 and $104 million at March 31, 2017. Included in nonaccrual consumer loans at June 30, 2017, June 30, 2016, December 31, 2016 and March 31, 2017 were: automobile loans of $17 million, $12 million, $19 million and $16 million, respectively; recreational vehicle loans of $5 million, $5 million, $7 million and $5 million, respectively; and outstanding balances of home equity loans and lines of credit of $77 million, $87 million, $82 million and $80 million, respectively. Information about the location of nonaccrual and charged-off home equity loans and lines of credit as of and for the quarter ended June 30, 2017 is presented in the accompanying table.</w:t>
      </w:r>
    </w:p>
    <w:p>
      <w:pPr>
        <w:spacing w:after="0" w:line="185"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Information about past due and nonaccrual loans as of June 30, 2017 and December 31, 2016 is also included in note 4 of Notes to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SELECTED RESIDENTIAL REAL ESTATE-RELATED LOAN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w w:val="95"/>
              </w:rPr>
              <w:t>Quarter Ended</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color w:val="auto"/>
              </w:rPr>
              <w:t>June 30, 2017</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color w:val="auto"/>
                <w:w w:val="94"/>
              </w:rPr>
              <w:t>June 30,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560"/>
              <w:spacing w:after="0" w:line="155" w:lineRule="exact"/>
              <w:rPr>
                <w:sz w:val="20"/>
                <w:szCs w:val="20"/>
                <w:color w:val="auto"/>
              </w:rPr>
            </w:pPr>
            <w:r>
              <w:rPr>
                <w:rFonts w:ascii="Times New Roman" w:cs="Times New Roman" w:eastAsia="Times New Roman" w:hAnsi="Times New Roman"/>
                <w:sz w:val="14"/>
                <w:szCs w:val="14"/>
                <w:color w:val="auto"/>
              </w:rPr>
              <w:t>Nonaccrual</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color w:val="auto"/>
                <w:w w:val="95"/>
              </w:rPr>
              <w:t>Net Charge-offs (Recoveries)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color w:val="auto"/>
                <w:w w:val="95"/>
              </w:rPr>
              <w:t>Annualized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4"/>
              </w:rPr>
              <w:t>Percent of</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Percent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Outstanding</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Outstanding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6"/>
              </w:rPr>
              <w:t>Outstanding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Balances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Balances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4"/>
              </w:rPr>
              <w:t>Balances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w w:val="94"/>
              </w:rPr>
              <w:t>Balances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Balances</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mortgages:</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5,865,307</w:t>
            </w:r>
          </w:p>
        </w:tc>
        <w:tc>
          <w:tcPr>
            <w:tcW w:w="5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74,936</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3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1,491,882</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16,427</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1,175,313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15,986</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4,695,020</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53,969</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1,025,512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3,401,241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63,141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(227)</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17,654,275</w:t>
            </w:r>
          </w:p>
        </w:tc>
        <w:tc>
          <w:tcPr>
            <w:tcW w:w="320" w:type="dxa"/>
            <w:vAlign w:val="bottom"/>
            <w:vMerge w:val="continue"/>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235,841</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1.34%</w:t>
            </w:r>
          </w:p>
        </w:tc>
        <w:tc>
          <w:tcPr>
            <w:tcW w:w="1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2,245</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Residential construction loans:</w:t>
            </w:r>
          </w:p>
        </w:tc>
        <w:tc>
          <w:tcPr>
            <w:tcW w:w="1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5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3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22,412</w:t>
            </w:r>
          </w:p>
        </w:tc>
        <w:tc>
          <w:tcPr>
            <w:tcW w:w="32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972</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4.34%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first mortgages:</w:t>
            </w:r>
          </w:p>
        </w:tc>
        <w:tc>
          <w:tcPr>
            <w:tcW w:w="1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1,406,624</w:t>
            </w:r>
          </w:p>
        </w:tc>
        <w:tc>
          <w:tcPr>
            <w:tcW w:w="5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35,103</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3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69,487</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1,270,589</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33,180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462,852</w:t>
            </w:r>
          </w:p>
        </w:tc>
        <w:tc>
          <w:tcPr>
            <w:tcW w:w="3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25,358</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3,283,484</w:t>
            </w:r>
          </w:p>
        </w:tc>
        <w:tc>
          <w:tcPr>
            <w:tcW w:w="32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106,152</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922</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1,256,756</w:t>
            </w:r>
          </w:p>
        </w:tc>
        <w:tc>
          <w:tcPr>
            <w:tcW w:w="5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14,118</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3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800,531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653,672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44,791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(30)</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200,482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23,873</w:t>
            </w:r>
          </w:p>
        </w:tc>
        <w:tc>
          <w:tcPr>
            <w:tcW w:w="3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2,980,105</w:t>
            </w:r>
          </w:p>
        </w:tc>
        <w:tc>
          <w:tcPr>
            <w:tcW w:w="32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33,175</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1,903</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890,604</w:t>
            </w:r>
          </w:p>
        </w:tc>
        <w:tc>
          <w:tcPr>
            <w:tcW w:w="5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3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349,435</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758,825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129,575</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(4)</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301,911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41,900</w:t>
            </w:r>
          </w:p>
        </w:tc>
        <w:tc>
          <w:tcPr>
            <w:tcW w:w="3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2,472,250</w:t>
            </w:r>
          </w:p>
        </w:tc>
        <w:tc>
          <w:tcPr>
            <w:tcW w:w="32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43,805</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922</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junior lien:</w:t>
            </w:r>
          </w:p>
        </w:tc>
        <w:tc>
          <w:tcPr>
            <w:tcW w:w="1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5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3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7,833</w:t>
            </w:r>
          </w:p>
        </w:tc>
        <w:tc>
          <w:tcPr>
            <w:tcW w:w="32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491</w:t>
            </w:r>
          </w:p>
        </w:tc>
        <w:tc>
          <w:tcPr>
            <w:tcW w:w="320" w:type="dxa"/>
            <w:vAlign w:val="bottom"/>
          </w:tcPr>
          <w:p>
            <w:pPr>
              <w:spacing w:after="0"/>
              <w:rPr>
                <w:sz w:val="13"/>
                <w:szCs w:val="13"/>
                <w:color w:val="auto"/>
              </w:rPr>
            </w:pPr>
          </w:p>
        </w:tc>
        <w:tc>
          <w:tcPr>
            <w:tcW w:w="92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98</w:t>
            </w:r>
          </w:p>
        </w:tc>
        <w:tc>
          <w:tcPr>
            <w:tcW w:w="320" w:type="dxa"/>
            <w:vAlign w:val="bottom"/>
          </w:tcPr>
          <w:p>
            <w:pPr>
              <w:spacing w:after="0"/>
              <w:rPr>
                <w:sz w:val="13"/>
                <w:szCs w:val="13"/>
                <w:color w:val="auto"/>
              </w:rPr>
            </w:pPr>
          </w:p>
        </w:tc>
        <w:tc>
          <w:tcPr>
            <w:tcW w:w="8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518"/>
        <w:spacing w:after="0"/>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Delaware, Virginia, West Virginia and the District of Columbia.</w:t>
      </w:r>
    </w:p>
    <w:p>
      <w:pPr>
        <w:spacing w:after="0" w:line="273"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Real estate and other foreclosed assets totaled $104 million at June 30, 2017, compared with $172 million at June 30, 2016, $139 million at December 31, 2016 and $119 million at March 31, 2017. Gains or losses resulting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8" w:name="page69"/>
    <w:bookmarkEnd w:id="68"/>
    <w:p>
      <w:pPr>
        <w:jc w:val="both"/>
        <w:spacing w:after="0" w:line="256" w:lineRule="auto"/>
        <w:rPr>
          <w:sz w:val="20"/>
          <w:szCs w:val="20"/>
          <w:color w:val="auto"/>
        </w:rPr>
      </w:pPr>
      <w:r>
        <w:rPr>
          <w:rFonts w:ascii="Times New Roman" w:cs="Times New Roman" w:eastAsia="Times New Roman" w:hAnsi="Times New Roman"/>
          <w:sz w:val="21"/>
          <w:szCs w:val="21"/>
          <w:color w:val="auto"/>
        </w:rPr>
        <w:t>from sales of real estate and other foreclosed assets were not material in the three-month periods ended June 30, 2017, June 30, 2016 or March 31, 2017. At June 30, 2017, the Company’s holding of residential real estate-related properties comprised approximately 96% of foreclosed assets.</w:t>
      </w:r>
    </w:p>
    <w:p>
      <w:pPr>
        <w:spacing w:after="0" w:line="173"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A comparative summary of nonperforming assets and certain past due loan data and credit quality ratios is presented in the accompanying table.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RENOGIATED AND IMPAIRED LOAN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color w:val="auto"/>
              </w:rPr>
              <w:t>2017 Quarters</w:t>
            </w:r>
          </w:p>
        </w:tc>
        <w:tc>
          <w:tcPr>
            <w:tcW w:w="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2016 Quarters</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Second</w:t>
            </w:r>
          </w:p>
        </w:tc>
        <w:tc>
          <w:tcPr>
            <w:tcW w:w="86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rPr>
              <w:t>First</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color w:val="auto"/>
              </w:rPr>
              <w:t>Fourth</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rPr>
              <w:t>Third</w:t>
            </w:r>
          </w:p>
        </w:tc>
        <w:tc>
          <w:tcPr>
            <w:tcW w:w="84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color w:val="auto"/>
              </w:rPr>
              <w:t>Second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872,374</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926,675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920,015</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837,362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104,424</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139,206</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159,881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976,798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1,045,830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1,059,221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997,243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1,021,328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Accruing loans past due 90 days or more(a)</w:t>
            </w:r>
          </w:p>
        </w:tc>
        <w:tc>
          <w:tcPr>
            <w:tcW w:w="10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265,461</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280,019</w:t>
            </w:r>
          </w:p>
        </w:tc>
        <w:tc>
          <w:tcPr>
            <w:tcW w:w="3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300,659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317,282</w:t>
            </w:r>
          </w:p>
        </w:tc>
        <w:tc>
          <w:tcPr>
            <w:tcW w:w="3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guaranteed loans included in totals above:</w:t>
            </w:r>
          </w:p>
        </w:tc>
        <w:tc>
          <w:tcPr>
            <w:tcW w:w="8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Nonaccrual loans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40,610</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235,227</w:t>
            </w:r>
          </w:p>
        </w:tc>
        <w:tc>
          <w:tcPr>
            <w:tcW w:w="3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252,552</w:t>
            </w:r>
          </w:p>
        </w:tc>
        <w:tc>
          <w:tcPr>
            <w:tcW w:w="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282,659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282,077</w:t>
            </w:r>
          </w:p>
        </w:tc>
        <w:tc>
          <w:tcPr>
            <w:tcW w:w="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269,962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Renegotiated loans</w:t>
            </w:r>
          </w:p>
        </w:tc>
        <w:tc>
          <w:tcPr>
            <w:tcW w:w="10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221,892</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191,343</w:t>
            </w:r>
          </w:p>
        </w:tc>
        <w:tc>
          <w:tcPr>
            <w:tcW w:w="3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217,559</w:t>
            </w:r>
          </w:p>
        </w:tc>
        <w:tc>
          <w:tcPr>
            <w:tcW w:w="3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accruing loans past due 90 days or more(b)</w:t>
            </w: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65,182</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Purchased impaired loans(c):</w:t>
            </w: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Outstanding customer balance</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838,476</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890,431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927,446</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981,105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Carrying amount</w:t>
            </w: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512,393</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578,032</w:t>
            </w:r>
          </w:p>
        </w:tc>
        <w:tc>
          <w:tcPr>
            <w:tcW w:w="2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616,991</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662,059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Nonaccrual loans to total loans and leases, net of unearned discount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11"/>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Nonperforming assets to total net loans and leases and real estate</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other foreclosed assets</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Accruing loans past due 90 days or more (a) to total loans and</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leases, net of unearned discount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loans acquired at a discount. Predominantly residential real estate loans.</w:t>
      </w:r>
    </w:p>
    <w:p>
      <w:pPr>
        <w:spacing w:after="0" w:line="29" w:lineRule="exact"/>
        <w:rPr>
          <w:rFonts w:ascii="Times New Roman" w:cs="Times New Roman" w:eastAsia="Times New Roman" w:hAnsi="Times New Roman"/>
          <w:sz w:val="18"/>
          <w:szCs w:val="18"/>
          <w:i w:val="1"/>
          <w:iCs w:val="1"/>
          <w:color w:val="auto"/>
        </w:rPr>
      </w:pPr>
    </w:p>
    <w:p>
      <w:pPr>
        <w:ind w:left="520" w:right="20" w:hanging="488"/>
        <w:spacing w:after="0" w:line="250" w:lineRule="auto"/>
        <w:tabs>
          <w:tab w:leader="none" w:pos="419" w:val="left"/>
        </w:tabs>
        <w:numPr>
          <w:ilvl w:val="1"/>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Loans acquired at a discount that were recorded at fair value at acquisition date. This category does not include purchased impaired loans that are presented separately.</w:t>
      </w:r>
    </w:p>
    <w:p>
      <w:pPr>
        <w:ind w:left="460" w:hanging="423"/>
        <w:spacing w:after="0"/>
        <w:tabs>
          <w:tab w:leader="none" w:pos="460" w:val="left"/>
        </w:tabs>
        <w:numPr>
          <w:ilvl w:val="1"/>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Accruing loans acquired at a discount that were impaired at acquisition date and recorded at fair value.</w:t>
      </w:r>
    </w:p>
    <w:p>
      <w:pPr>
        <w:spacing w:after="0" w:line="206"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including loans obtained in the acquisition of Hudson City that were not classified as purchased impaired; and (v) the size of the Company’s portfolio of loans to individual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69" w:name="page70"/>
    <w:bookmarkEnd w:id="69"/>
    <w:p>
      <w:pPr>
        <w:jc w:val="both"/>
        <w:spacing w:after="0" w:line="270" w:lineRule="auto"/>
        <w:rPr>
          <w:sz w:val="20"/>
          <w:szCs w:val="20"/>
          <w:color w:val="auto"/>
        </w:rPr>
      </w:pPr>
      <w:r>
        <w:rPr>
          <w:rFonts w:ascii="Times New Roman" w:cs="Times New Roman" w:eastAsia="Times New Roman" w:hAnsi="Times New Roman"/>
          <w:sz w:val="21"/>
          <w:szCs w:val="21"/>
          <w:color w:val="auto"/>
        </w:rPr>
        <w:t>consumers, which historically have experienced higher net charge-offs as a percentage of loans outstanding than other loan types. The level of the allowance is adjusted based on the results of management’s analysis.</w:t>
      </w:r>
    </w:p>
    <w:p>
      <w:pPr>
        <w:spacing w:after="0" w:line="15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Management cautiously and conservatively evaluated the allowance for credit losses as of June 30, 2017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volatile nature of global markets, including the impact international economic conditions could have on the U.S. economy; Federal Reserve positioning of monetary policy; and continued stagnant population growth in the upstate New York and central Pennsylvania regions (approximately 55% of the Company’s loans and leases are to customers in New York State and Pennsylvania).</w:t>
      </w:r>
    </w:p>
    <w:p>
      <w:pPr>
        <w:spacing w:after="0" w:line="185"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utilizes a loan grading system which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$2.3 billion at June 30 2017, compared with $2.4 billion at each of June 30, 2016 and December 31, 2016 and $2.5 billion at March 31, 2017. Approximately 98% of loan balances added to the criticized category during the recent quarter were less than 90 days past due and 95% had a current payment status. Given payment performance, amount of supporting collateral, and, in certain instances, the existence of loan guarantees, the Company still expects to collect the full outstanding principal balance on most of those loans.</w:t>
      </w:r>
    </w:p>
    <w:p>
      <w:pPr>
        <w:spacing w:after="0" w:line="19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Loan officers in different geographic locations with the support of the Company’s credit department personnel are responsible to continuously review and reassign loan grades to pass and criticized loans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0" w:name="page71"/>
    <w:bookmarkEnd w:id="70"/>
    <w:p>
      <w:pPr>
        <w:jc w:val="both"/>
        <w:spacing w:after="0" w:line="243" w:lineRule="auto"/>
        <w:rPr>
          <w:sz w:val="20"/>
          <w:szCs w:val="20"/>
          <w:color w:val="auto"/>
        </w:rPr>
      </w:pPr>
      <w:r>
        <w:rPr>
          <w:rFonts w:ascii="Times New Roman" w:cs="Times New Roman" w:eastAsia="Times New Roman" w:hAnsi="Times New Roman"/>
          <w:sz w:val="21"/>
          <w:szCs w:val="21"/>
          <w:color w:val="auto"/>
        </w:rPr>
        <w:t>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June 30, 2017, approximately 55% of the Company’s home equity portfolio consisted of first lien loans and lines of credit. Of the remaining junior lien loans in the portfolio, approximately 69% (or approximately 31%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June 30, 2017, the balance of junior lien loans and lines that were in nonaccrual status solely as a result of first lien loan performance was $11 million, compared with $16 million at June 30, 2016, $12 million at December 31, 2016 and $13 million at March 31, 2017.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June 30, 2017, approximately 83% of all outstanding balances of home equity lines of credit related to lines that were still in the draw period, the weighted-average remaining draw periods were approximately five years, and approximately 10% were making contractually allowed payments that do not include any repayment of principal.</w:t>
      </w:r>
    </w:p>
    <w:p>
      <w:pPr>
        <w:spacing w:after="0" w:line="187"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85"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Except for consumer loans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1" w:name="page72"/>
    <w:bookmarkEnd w:id="71"/>
    <w:p>
      <w:pPr>
        <w:jc w:val="both"/>
        <w:spacing w:after="0" w:line="243" w:lineRule="auto"/>
        <w:rPr>
          <w:sz w:val="20"/>
          <w:szCs w:val="20"/>
          <w:color w:val="auto"/>
        </w:rPr>
      </w:pPr>
      <w:r>
        <w:rPr>
          <w:rFonts w:ascii="Times New Roman" w:cs="Times New Roman" w:eastAsia="Times New Roman" w:hAnsi="Times New Roman"/>
          <w:sz w:val="21"/>
          <w:szCs w:val="21"/>
          <w:color w:val="auto"/>
        </w:rPr>
        <w:t>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9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Management believes that the allowance for credit losses at June 30, 2017 appropriately reflected credit losses inherent in the portfolio as of that date. The allowance for credit losses was $1.01 billion, or 1.13% of total loans and leases at June 30, 2017, compared with $970 million or 1.10% at June 30, 2016 and $989 million or 1.09% at December 31, 2016. The ratio of the allowance to total loans and leases at each respective date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 for credit losses be recognized for incurred losses inherent in the portfolio.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116% at June 30, 2017, compared with 114% at June 30, 2016 and 107% at December 31, 2016.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Other income aggregated $461 million in the second quarter of 2017, compared with $448 million in the similar 2016 period and $447 million in the initial quarter of 2017. The rise in other income in the second quarter of 2017 as compared with the year-earlier quarter resulted largely from higher trust income and credit-related fees, and improved reported results associated with M&amp;T’s investment in Bayview Lending Group LLC (“BLG”). Partially offsetting those factors were declines in mortgage banking revenues and trading account and foreign exchange gains. As compared with the first quarter of 2017, the increase in other income in the recent quarter reflected higher trust income and the reported results associated with BLG.</w:t>
      </w:r>
    </w:p>
    <w:p>
      <w:pPr>
        <w:spacing w:after="0" w:line="183"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Mortgage banking revenues were $86 million in the second quarter of 2017, compared with $89 million in the year-earlier quarter and $85 million in the first quarter of 2017.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2" w:name="page73"/>
    <w:bookmarkEnd w:id="72"/>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$61 million in the most recently completed quarter of 2017, compared with $65 million in the year-earlier quarter and $58 million in the initial 2017 quarter. The decline in residential mortgage banking revenues in the second quarter of 2017 as compared with the corresponding 2016 quarter was largely the result of lower gains from origination activities, reflecting a 10% decline in origination volumes. The higher residential mortgage banking revenues in the recent quarter as compared with the first quarter of 2017 were largely the result of increased gains from origination activities, reflecting a 6% rise in origination volume and improved margins on those originations.</w:t>
      </w:r>
    </w:p>
    <w:p>
      <w:pPr>
        <w:spacing w:after="0" w:line="189"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New commitments to originate residential real estate loans to be sold were approximately $773 million in the second quarter of 2017, compared with $858 million in the corresponding 2016 quarter and $727 million in the initial 2017 quarter. Realized gains from sales of residential real estate loans and loan servicing rights and recognized net unrealized gains or losses attributable to residential real estate loans held for sale, commitments to originate loans for sale and commitments to sell loans aggregated to gains of $17 million in the recent quarter, compared with gains of $19 million in the year-earlier quarter and $14 million in the first quarter of 2017.</w:t>
      </w:r>
    </w:p>
    <w:p>
      <w:pPr>
        <w:spacing w:after="0" w:line="184"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20"/>
          <w:szCs w:val="20"/>
          <w:color w:val="auto"/>
        </w:rPr>
        <w:t>Loans held for sale that were secured by residential real estate were $340 million at June 30, 2017, $374 million at June 30, 2016 and $414 million at December 31, 2016. Commitments to sell residential real estate loans and commitments to originate residential real estate loans for sale at pre-determined rates aggregated $692 million and $525 million, respectively, at June 30, 2017, $816 million and $638 million, respectively, at June 30, 2016, and $777 million and $479 million, respectively, at December 31, 2016. Net recognized unrealized gains on residential real estate loans held for sale, commitments to sell loans, and commitments to originate loans for sale were $17 million and $19 million at June 30, 2017 and June 30, 2016, respectively, and $15 million at December 31, 2016. Changes in such net unrealized gains are recorded in mortgage banking revenues and resulted in net increases in revenues of $4 million in the recent quarter and $3 million in the second quarter of 2016, compared with a net decrease in revenues of $2 million in the first quarter of 2017.</w:t>
      </w:r>
    </w:p>
    <w:p>
      <w:pPr>
        <w:spacing w:after="0" w:line="20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Revenues from servicing residential real estate loans for others were $44 million in each of the two most recent quarters, compared with $46 million during the quarter ended June 30, 2016. Residential real estate loans serviced for others aggregated $72.6 billion at June 30, 2017, $57.8 billion at June 30, 2016, $53.2 billion at December 31, 2016 and $63.7 billion at March 31, 2017. Reflected in residential real estate loans serviced for others were loans sub-serviced for others of $49.9 billion at June 30, 2017, $34.6 billion at June 30, 2016, $30.4 billion at December 31, 2016 and $40.8 billion at March 31, 2017. Revenues earned for sub-servicing loans aggregated $25 million for each of the three-month periods ended June 30, 2017 and 2016 and $23 million for the three-month period ended March 31, 2017. During March 2017, the Company acquired additional sub-servicing of residential real estate loans having outstanding principal balances of approximately $12.4 billion. The additional sub-servicing portfolio did not have a significant impact on residential mortgage banking revenues in the first quarter of 2017. The impact on the second quarter of 2017 was significantly offset by the run-off of the existing subservicing portfolio. In June 2017, the Company acquired an additional sub-servicing portfolio of residential real estate loans with outstanding principal balances of approximately $11.2 billion. That transaction did not have a significant impact on residential mortgage banking revenues in the second quarter of 2017. The contractual servicing rights associated with loans sub-serviced by the Company were predominantly held by affiliates of BLG. Information about the Company’s relationship with BLG and its affiliates is included in note 15 of Notes to Financial Statements.</w:t>
      </w:r>
    </w:p>
    <w:p>
      <w:pPr>
        <w:spacing w:after="0" w:line="19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Capitalized servicing rights consist largely of servicing associated with loans sold by the Company. Capitalized residential mortgage loan servicing assets totaled $117 million at each of June 30, 2017, June 30, 2016 and December 31, 2016 and $118 million at March 31, 2017.</w:t>
      </w:r>
    </w:p>
    <w:p>
      <w:pPr>
        <w:spacing w:after="0" w:line="173"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Commercial mortgage banking revenues totaled $25 million in the second quarter of 2017, compared with $24 million in the similar 2016 period and $27 million in the first quarter of 2017. Included in such amounts were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20"/>
          <w:szCs w:val="20"/>
          <w:color w:val="auto"/>
        </w:rPr>
        <w:t>revenues from loan origination and sales activities of $11 million in the recent quarter, compared with $14 million in the second quarter of 2016 and $15 million in the initial 2017 quarter. Commercial real estate loans originated for sale to other investors totaled approximately $510 million in the second quarter of 2017, compared with $567 million in the year-earlier quarter and $308 million in the first quarter of 2017. Loan servicing revenues were $14 million in the recently completed quarter, compared with $10 million in the second quarter of 2016 and $12 million in the initial 2017 quarter. Capitalized commercial mortgage servicing assets totaled $105 million and $86 million at June 30, 2017 and 2016, respectively, and $104 million at December 31, 2016. Commercial real estate loans serviced for other investors totaled $15.1 billion, $11.1 billion, and $11.8 billion at June 30, 2017, June 30, 2016 and December 31, 2016, respectively, and included $3.0 billion, $2.6 billion and $2.8 billion, respectively, of loan balances for which investors had recourse to the Company if such balances are ultimately uncollectible. In January 2017, the Company purchased commercial mortgage servicing rights and other assets associated with approximately $2.7 billion of loans. The purchase price and assets acquired were not material to the Company’s consolidated financial position. Commitments to sell commercial real estate loans and commitments to originate commercial real estate loans for sale were $400 million and $192 million, respectively, at June 30, 2017, $340 million and $112 million, respectively, at June 30, 2016 and $713 million and $70 million, respectively, at December 31, 2016. Commercial real estate loans held for sale at June 30, 2017, June 30, 2016 and December 31, 2016 were $208 million, $228 million and $643 million, respectively. The higher balance at December 31, 2016 reflected loans originated late in 2016 that were not delivered to investors until 2017.</w:t>
      </w:r>
    </w:p>
    <w:p>
      <w:pPr>
        <w:spacing w:after="0" w:line="18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Service charges on deposit accounts were $106 million in the second quarter of 2017, compared with $104 million in each of the second quarter of 2016 and first quarter of 2017. Brokerage services income, which includes revenues from the sale of mutual funds and annuities and securities brokerage fees, aggregated $17 million in each of the two most recent quarters and $16 million in the second quarter of 2016. Trading account and foreign exchange activity resulted in gains of $8 million during the recently completed quarter, compared with gains of $13 million in the second quarter of 2016 and $10 million in the initial 2017 quarter. The recent quarter decline in such gains as compared with the corresponding 2016 quarter reflects reduced activity related to interest rate swap transactions executed on behalf of commercial customers.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85"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totaled $127 million in the second quarter of 2017, compared with $120 million in each of the second quarter of 2016 and first quarter of 2017. Revenues associated with the ICS business were approximately $63 million, $58 million and $60 million during the quarters ended June 30, 2017, June 30, 2016 and March 31, 2017, respectively. The higher revenues in the two most recent quarters as compared with the second quarter of 2016 reflect increased fees earned from money-market funds and stronger sales activities. Revenues attributable to WAS were approximately $60 million, $55 million and $54 million for the three-month periods ended June 30, 2017, June 30, 2016 and March 31, 2017, respectively. The increase in the recent quarter as compared with the similar 2016 period largely reflects the impact of improved equity market performance and stronger sales activities. The improvement from the immediately preceding quarter reflects annual tax preparation fees earned in the recent quarter. Total trust assets, which include assets under management and assets under administration, totaled $222.5 billion at June 30, 2017, compared with $203.6 billion at June 30, 2016 and $210.6 billion at December 31, 2016. Trust assets under management were $73.3 billion, $67.0 billion and $70.7 billion at June 30, 2017, June 30, 2016 and December 31, 2016, respectively. Trust assets under management include the Company’s proprietary mutual funds’ assets of $10.4 billion, $11.2 billion and $10.9 billion at June 30, 2017, June 30, 2016 and December 31, 2016, respectively.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4" w:name="page75"/>
    <w:bookmarkEnd w:id="74"/>
    <w:p>
      <w:pPr>
        <w:jc w:val="both"/>
        <w:spacing w:after="0" w:line="248" w:lineRule="auto"/>
        <w:rPr>
          <w:sz w:val="20"/>
          <w:szCs w:val="20"/>
          <w:color w:val="auto"/>
        </w:rPr>
      </w:pPr>
      <w:r>
        <w:rPr>
          <w:rFonts w:ascii="Times New Roman" w:cs="Times New Roman" w:eastAsia="Times New Roman" w:hAnsi="Times New Roman"/>
          <w:sz w:val="21"/>
          <w:szCs w:val="21"/>
          <w:color w:val="auto"/>
        </w:rPr>
        <w:t>Additional trust income from investment management activities aggregated $4 million in the recent quarter, $7 million in the second quarter of 2016 and $6 million in the initial quarter of 2017. That income largely relates to fees earned from retail customer investment accounts and from an affiliated investment manager. Assets managed by that affiliated manager totaled $6.9 billion at June 30, 2017, $6.7 billion at June 30, 2016 and $7.3 billion at December 31, 2016. The Company’s trust income from that affiliate was not material during any of the quarters then-ended.</w:t>
      </w:r>
    </w:p>
    <w:p>
      <w:pPr>
        <w:spacing w:after="0" w:line="184"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Other revenues from operations were $117 million in the second quarter of 2017, compared with $105 million in the year-earlier quarter and $111 million in the initial quarter of 2017. As compared with the earlier quarters, the recent quarter’s revenues reflect higher credit-related fees, merchant discount and credit card fees, and improved results associated with M&amp;T’s investment in BLG. Included in other revenues from operations were the following significant components. Letter of credit and other credit-related fees aggregated $35 million in the recent quarter, compared with $30 million and $34 million in the second quarter of 2016 and the initial 2017 quarter, respectively. The higher revenues in the 2017 quarters predominantly resulted from higher fees for providing loan syndication services. Tax-exempt income from bank owned life insurance, which includes increases in the cash surrender value of life insurance policies and benefits received, aggregated $14 million in the second quarter of 2017, compared with $13 million and $15 million in the year-earlier quarter and the first quarter of 2017, respectively. Revenues from merchant discount and credit card fees were $29 million in the quarter ended June 30, 2017, compared with $27 million in each of the quarters ended June 30, 2016 and March 31, 2017. Insurance-related sales commissions and other revenues were $11 million in the second quarter of 2017, compared with $9 million in the year-earlier quarter and $12 million in the initial quarter of 2017. M&amp;T’s share of the operating losses of BLG recognized using the equity method of accounting and cash distributions received resulted in income of $1 million in the 2017’s second quarter, compared with losses of $3 million in the second quarter of 2016 and $2 million in the first quarter of 2017. During the recent quarter, the operating losses of BLG resulted in M&amp;T reducing the carrying value of its investment in BLG to zero. During the quarter M&amp;T received a cash distribution from BLG that resulted in the recognition of $1 million of income by M&amp;T. M&amp;T expects cash distributions from BLG in the future, but the timing and amount of those distributions cannot be estimated at this time. BLG is entitled to receive distributions from affiliates that provide asset management and other services that are available for distribution to BLG’s owners, including M&amp;T. Information about the Company’s relationship with BLG and its affiliates is included in note 15 of Notes to Financial Statements.</w:t>
      </w:r>
    </w:p>
    <w:p>
      <w:pPr>
        <w:spacing w:after="0" w:line="174"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Other income aggregated $908 million during the first six months of 2017, compared with $869 in the first six months of 2016. That increase was largely attributable to higher trust income and credit-related fees.</w:t>
      </w:r>
    </w:p>
    <w:p>
      <w:pPr>
        <w:spacing w:after="0" w:line="15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Mortgage banking revenues totaled $171 million during each of the six-month periods ended June 30, 2017 and 2016. Residential mortgage banking revenues aggregated $120 in the first half of 2017, compared with $124 million in the six-month period ended June 30, 2016. New commitments to originate residential real estate loans to be sold aggregated $1.5 billion in each of the first six months of 2017 and 2016. Realized gains from sales of residential real estate loans and loan servicing rights and recognized unrealized gains and losses on residential real estate loans held for sale, commitments to originate loans for sale and commitments to sell loans aggregated to gains of $31 million and $33 million in the six-month periods ended June 30, 2017 and 2016, respectively. Revenues from servicing residential mortgage loans for others were $89 million and $91 million for the six-month periods ended June 30, 2017 and 2016, respectively. Included in servicing revenues were sub-servicing revenues aggregating $48 million in each of the first six months of 2017 and 2016. Commercial mortgage banking revenues were $51 million and $47 million in the first half of 2017 and 2016, respectively. That increase resulted predominantly from revenues associated with loan servicing activities. Commercial real estate loans originated for sale to other investors totaled $818 million and $922 million in the six-month periods ended June 30, 2017 and 2016, respectively.</w:t>
      </w:r>
    </w:p>
    <w:p>
      <w:pPr>
        <w:spacing w:after="0" w:line="187"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Service charges on deposit accounts aggregated $210 million during the first half of 2017, compared with $206 million in the year-earlier period. Trust income totaled $247 million and $232 million during the first six months of 2017 and 2016, respectively. The increase in trust income in 2017 as compared with 2016 was largely due to higher revenues from the ICS business, reflecting increased fees earned from money-market funds and stronger sales activities, and from the WAS business, resulting from improved equity market performance and stronger sales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5" w:name="page76"/>
    <w:bookmarkEnd w:id="75"/>
    <w:p>
      <w:pPr>
        <w:jc w:val="both"/>
        <w:spacing w:after="0" w:line="256" w:lineRule="auto"/>
        <w:rPr>
          <w:sz w:val="20"/>
          <w:szCs w:val="20"/>
          <w:color w:val="auto"/>
        </w:rPr>
      </w:pPr>
      <w:r>
        <w:rPr>
          <w:rFonts w:ascii="Times New Roman" w:cs="Times New Roman" w:eastAsia="Times New Roman" w:hAnsi="Times New Roman"/>
          <w:sz w:val="21"/>
          <w:szCs w:val="21"/>
          <w:color w:val="auto"/>
        </w:rPr>
        <w:t>activities. Brokerage services income was $34 million and $32 million in the six-month periods ended June 30, 2017 and 2016, respectively. Trading account and foreign exchange activity resulted in gains of $18 million and $21 million in the first half of 2017 and 2016, respectively.</w:t>
      </w:r>
    </w:p>
    <w:p>
      <w:pPr>
        <w:spacing w:after="0" w:line="173" w:lineRule="exact"/>
        <w:rPr>
          <w:sz w:val="20"/>
          <w:szCs w:val="20"/>
          <w:color w:val="auto"/>
        </w:rPr>
      </w:pPr>
    </w:p>
    <w:p>
      <w:pPr>
        <w:jc w:val="both"/>
        <w:ind w:firstLine="518"/>
        <w:spacing w:after="0" w:line="260" w:lineRule="auto"/>
        <w:rPr>
          <w:sz w:val="20"/>
          <w:szCs w:val="20"/>
          <w:color w:val="auto"/>
        </w:rPr>
      </w:pPr>
      <w:r>
        <w:rPr>
          <w:rFonts w:ascii="Times New Roman" w:cs="Times New Roman" w:eastAsia="Times New Roman" w:hAnsi="Times New Roman"/>
          <w:sz w:val="20"/>
          <w:szCs w:val="20"/>
          <w:color w:val="auto"/>
        </w:rPr>
        <w:t>Other revenues from operations totaled $228 million in the first six months of 2017, compared with $207 million in the corresponding 2016 period. Other revenues from operations include the following significant components. Letter of credit and other credit-related fees aggregated $69 million and $58 million in 2017 and 2016, respectively. The higher revenues in the 2017 period were largely attributable to fees for providing loan syndication services. Income from bank owned life insurance totaled $29 million in each of 2017 and 2016. Merchant discount and credit card fees were $56 million and $53 million in the first half of 2017 and 2016, respectively. Insurance-related commissions and other revenues aggregated $23 million and $22 million in 2017 and 2016, respectively. M&amp;T’s investment in BLG resulted in losses of $1 million and $6 million in the first six months of 2017 and 2016,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Other expense aggregated $751 million in the second quarter of 2017, compared with $750 million in the corresponding 2016 quarter and $788 million in the initial 2017 quarter. Included in those amounts are expenses considered to be “nonoperating” in nature consisting of amortization of core deposit and other intangible assets of $8 million in the two most recent quarters and $11 million in the year-earlier quarter, and merger-related expenses of $13 million in the second quarter of 2016. There were no merger-related expenses in the first two quarters of 2017. Exclusive of those nonoperating expenses, noninterest operating expenses were $743 million in the second quarter of 2017, compared with $726 million in the second quarter of 2016 and $779 million in the first quarter of 2017. The most significant factors for the increased level of operating expenses in the recent quarter as compared with the year-earlier quarter were increased legal-related and professional services costs, Federal Deposit Insurance Corporation (“FDIC”) assessments, and outside data processing and software expenses. The decline in noninterest operating expenses in the recent quarter as compared with the first quarter of 2017 was predominantly due to seasonally higher stock-based compensation and employee benefits expenses in the first quarter, partially offset by higher legal-related and professional services costs in 2017’s second quarter. Table 2 provides a reconciliation of other expense to noninterest operating expense.</w:t>
      </w:r>
    </w:p>
    <w:p>
      <w:pPr>
        <w:spacing w:after="0" w:line="187"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20"/>
          <w:szCs w:val="20"/>
          <w:color w:val="auto"/>
        </w:rPr>
        <w:t>Other expense for the first half of 2017 totaled $1.54 billion, compared with $1.53 billion in the first six months of 2016. Included in those amounts are expenses considered to be “nonoperating” in nature consisting of amortization of core deposit and other intangible assets of $17 million and $24 million in the six-month periods ended June 30, 2017 and 2016, respectively, and merger-related expenses of $36 million in the first six months of 2016. Exclusive of those nonoperating expenses, noninterest operating expenses for the first half of 2017 increased 4% to $1.52 billion from $1.47 billion in the first half of 2016. That $55 million increase was largely due to higher costs for salaries, including incentive compensation, legal-related and professional services, and FDIC assessments.</w:t>
      </w:r>
    </w:p>
    <w:p>
      <w:pPr>
        <w:spacing w:after="0" w:line="168"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Salaries and employee benefits expense totaled $399 million in each of the recent quarter and the second quarter of 2016, compared with $450 million in the initial quarter of 2017. During the first half of 2017 and 2016, salaries and employee benefits expense totaled $849 million and $830 million, respectively. The lower levels of expenses in the second quarters of 2017 and 2016 as compared with the initial quarter of 2017 were attributable to higher stock-based compensation in the initial 2017 quarter, reflecting the accelerated recognition of compensation costs for stock-based awards granted to retirement-eligible employees, and seasonally higher medical plan costs, payroll-related taxes, unemployment insurance and the Company’s contributions for retirement savings plan benefits related to annual incentive compensation payments during the first quarter of 2017. The higher level of expenses in the first half of 2017 as compared with the corresponding 2016 period was largely attributable to the impact of annual merit increases and higher incentive compensation costs. Salaries and employee benefits expense included stock-based compensation of $10 million and $17 million in the three-month periods ended June 30, 2017 and June 30, 2016, respectively, $33 million in the three-month period ended March 31, 2017, and $43 million and $45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6" w:name="page77"/>
    <w:bookmarkEnd w:id="76"/>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million during the six-month periods ended June 30, 2017 and 2016, respectively. The number of full-time equivalent employees was 16,526 at June 30, 2017, 16,814 at June 30, 2016, 16,593 at December 31, 2016 and 16,409 at March 31, 2017, respectively.</w:t>
      </w:r>
    </w:p>
    <w:p>
      <w:pPr>
        <w:spacing w:after="0" w:line="15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Excluding the nonoperating expense items described earlier from each quarter, nonpersonnel operating expenses were $344 million and $327 million in the quarters ended June 30, 2017 and June 30, 2016, respectively, and $330 million in the initial quarter of 2017. On that same basis, such expenses were $673 million and $641 million in the six-month periods ended June 30, 2017 and 2016, respectively. The increases in nonpersonnel operating expenses reflected in the recent quarter as compared with the year-earlier quarter and in the first half of 2017 as compared with the first half of 2016 were predominantly the result of higher legal-related and professional services costs, FDIC assessments, and outside data processing and software expenses. Higher nonpersonnel operating expenses in the second quarter of 2017 as compared with the immediately preceding quarter were predominantly due to increased legal-related and professional services costs.</w:t>
      </w:r>
    </w:p>
    <w:p>
      <w:pPr>
        <w:spacing w:after="0" w:line="189"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to revenues. The Company’s efficiency ratio was 52.7% during the recent quarter, compared with 55.1% during the second quarter of 2016 and 56.9% in the first quarter of 2017. The efficiency ratios for the six-month periods ended June 30, 2017 and 2016 were 54.8% and 56.0%, respectively. The calculation of the efficiency ratio is presented in Table 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provision for income taxes for the recent quarter was $215 million, compared with $194 million in the year-earlier quarter and $169 million in the initial quarter of 2017. For the six-month periods ended June 30, 2017 and 2016, the provision for income taxes was $385 million and $363 million, respectively. As noted earlier, M&amp;T adopted new accounting guidance for share-based transactions during the first quarter of 2017. That guidance requires that all excess tax benefits and tax deficiencies associated with share-based compensation be recognized as a component of income tax expense in the income statement. Previously, tax effects resulting from changes to M&amp;T’s share price subsequent to the grant date were recorded through shareholders’ equity at the time of vesting or exercise. The adoption of the amended accounting guidance resulted in an $18 million reduction of income tax expense in the initial 2017 quarter. The impact of the amended guidance on the second quarter of 2017 was not significant. The effective tax rates were 36.1%, 36.6% and 32.7% for the quarters ended June 30, 2017, June 30, 2016 and March 31, 2017, respectively, and 34.5% and 36.4% for the six-month periods ended June 30, 2017 and 2016, respectively. Excluding the impact of the adoption of the amended accounting guidance, the effective tax rate would have been 36.2% in each of the first quarter of 2017 and the first half of 2017.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96"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Company’s effective tax rate in future periods will also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Shareholders’ equity was $16.3 billion at June 30, 2017, representing 13.47% of total assets, compared with $16.5 billion or 13.30% a year earlier and $16.5 billion or 13.35% at December 31, 2016.</w:t>
      </w:r>
    </w:p>
    <w:p>
      <w:pPr>
        <w:spacing w:after="0" w:line="5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Included in shareholders’ equity was preferred stock with financial statement carrying values of $1.2 billion at each of June 30, 2017, June 30, 2016 and December 31, 2016. Further information concerning M&amp;T’s preferred stock can be found in note 6 of Notes to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7" w:name="page78"/>
    <w:bookmarkEnd w:id="77"/>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Reflecting the impact of repurchases of M&amp;T’s common stock, common shareholders’ equity was $15.1 billion, or $98.66 per share, at June 30, 2017, compared with $15.2 billion, or $96.49 per share, a year earlier and $15.3 billion, or $97.64 per share, at the 2016 year-end. Tangible equity per common share, which excludes goodwill and core deposit and other intangible assets and applicable deferred tax balances, was $68.20 at the end of the recent quarter, compared with $66.95 at June 30, 2016 and $67.85 at December 31, 2016. The Company’s ratio of tangible common equity to tangible assets was 8.95% at June 30, 2017, compared with 8.87% a year earlier and 8.92% at December 31, 2016. Reconciliations of total common shareholders’ equity and tangible common equity and total assets and tangible assets as of each of those respective dates are presented in table 2.</w:t>
      </w:r>
    </w:p>
    <w:p>
      <w:pPr>
        <w:spacing w:after="0" w:line="185"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$743,000, or $.01 per common share, at June 30, 2017, compared with net unrealized gains of $193 million, or $1.22 per common share, at June 30, 2016 and net unrealized losses of $16 million, or $.10 per common share, at December 31, 2016. Changes in unrealized gains and losses on investment securities are predominantly reflective of the impact of changes in interest rates on the values of such securities.</w:t>
      </w:r>
    </w:p>
    <w:p>
      <w:pPr>
        <w:spacing w:after="0" w:line="185"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Reflected in the carrying amount of available for sale investment securities at June 30, 2017 were pre-tax effect unrealized losses of $101 million on securities with an amortized cost of $6.8 billion and pre-tax effect unrealized gains of $119 million on securities with an amortized cost of $5.1 billion. Information about unrealized gains and losses as of June 30, 2017 and December 31, 2016 is included in note 3 of Notes to Financial Statements. Information concerning the Company’s fair valuations of investment securities is provided in note 12 of Notes to Financial Statements.</w:t>
      </w:r>
    </w:p>
    <w:p>
      <w:pPr>
        <w:spacing w:after="0" w:line="184"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As of June 30, 2017, based on a review of each of the securities in the investment securities portfolio, the Company concluded that the declines in the values of any securities containing an unrealized loss were temporary and that any other-than-temporary impairment charges were not appropriate. As of June 30, 2017,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87"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June 30, 2017 and December 31, 2016, the Company had in its held-to-maturity portfolio privately issued mortgage-backed securities with an amortized cost basis of $147 million and $158 million, respectively, and a fair value of $116 million and $121 million, respectively. At June 30, 2017, 85% of the mortgage-backed securities were in the most senior tranche of the securitization structure with 23% being independently rated as investment grade. The mortgage-backed securities are generally collateralized by residential and small-balance commercial real estate loans originated between 2004 and 2008 and had a weighted-average credit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8" w:name="page79"/>
    <w:bookmarkEnd w:id="78"/>
    <w:p>
      <w:pPr>
        <w:jc w:val="both"/>
        <w:spacing w:after="0" w:line="245" w:lineRule="auto"/>
        <w:rPr>
          <w:sz w:val="20"/>
          <w:szCs w:val="20"/>
          <w:color w:val="auto"/>
        </w:rPr>
      </w:pPr>
      <w:r>
        <w:rPr>
          <w:rFonts w:ascii="Times New Roman" w:cs="Times New Roman" w:eastAsia="Times New Roman" w:hAnsi="Times New Roman"/>
          <w:sz w:val="21"/>
          <w:szCs w:val="21"/>
          <w:color w:val="auto"/>
        </w:rPr>
        <w:t>enhancement of 16% at June 30, 2017,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31% and 77% respectively. Given the securitization structure, the bonds held by the Company may defer interest payments in certain circumstances, but after considering the repayment structure and estimated future collateral cash flows of each individual senior and subordinate tranche bond, the Company has concluded that as of June 30, 2017, those privately issued mortgage-backed securities were not other-than-temporarily impaired. Nevertheless, it is possible that adverse changes in the estimated future performance of mortgage loan collateral underlying such securities could impact the Company’s conclusions.</w:t>
      </w:r>
    </w:p>
    <w:p>
      <w:pPr>
        <w:spacing w:after="0" w:line="18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Adjustments to reflect the funded status of defined benefit pension and other postretirement plans, net of applicable tax effect, reduced accumulated other comprehensive income by $265 million, or $1.73 per common share, at June 30, 2017, $289 million, or $1.83 per common share, at June 30, 2016 and $273 million, or $1.75 per common share, at December 31, 2016.</w:t>
      </w:r>
    </w:p>
    <w:p>
      <w:pPr>
        <w:spacing w:after="0" w:line="173" w:lineRule="exact"/>
        <w:rPr>
          <w:sz w:val="20"/>
          <w:szCs w:val="20"/>
          <w:color w:val="auto"/>
        </w:rPr>
      </w:pPr>
    </w:p>
    <w:p>
      <w:pPr>
        <w:jc w:val="both"/>
        <w:ind w:right="20" w:firstLine="518"/>
        <w:spacing w:after="0" w:line="251" w:lineRule="auto"/>
        <w:rPr>
          <w:sz w:val="20"/>
          <w:szCs w:val="20"/>
          <w:color w:val="auto"/>
        </w:rPr>
      </w:pPr>
      <w:r>
        <w:rPr>
          <w:rFonts w:ascii="Times New Roman" w:cs="Times New Roman" w:eastAsia="Times New Roman" w:hAnsi="Times New Roman"/>
          <w:sz w:val="21"/>
          <w:szCs w:val="21"/>
          <w:color w:val="auto"/>
        </w:rPr>
        <w:t>Consistent with its revised 2016 Capital Plan filed with the Federal Reserve, M&amp;T repurchased 1,409,807 common shares for $225 million during the second quarter of 2017 and 4,643,003 common shares for $757 million during the first half of 2017. In accordance with the 2015 Capital Plan, M&amp;T repurchased 1,319,487 common shares for $154 million in the second quarter of 2016 and 2,268,032 common shares for $254 million during the first six months of 2016.</w:t>
      </w:r>
    </w:p>
    <w:p>
      <w:pPr>
        <w:spacing w:after="0" w:line="138" w:lineRule="exact"/>
        <w:rPr>
          <w:sz w:val="20"/>
          <w:szCs w:val="20"/>
          <w:color w:val="auto"/>
        </w:rPr>
      </w:pPr>
    </w:p>
    <w:p>
      <w:pPr>
        <w:jc w:val="both"/>
        <w:ind w:firstLine="476"/>
        <w:spacing w:after="0" w:line="248" w:lineRule="auto"/>
        <w:rPr>
          <w:sz w:val="20"/>
          <w:szCs w:val="20"/>
          <w:color w:val="auto"/>
        </w:rPr>
      </w:pPr>
      <w:r>
        <w:rPr>
          <w:rFonts w:ascii="Times New Roman" w:cs="Times New Roman" w:eastAsia="Times New Roman" w:hAnsi="Times New Roman"/>
          <w:sz w:val="21"/>
          <w:szCs w:val="21"/>
          <w:color w:val="auto"/>
        </w:rPr>
        <w:t>Also in accordance with the revised 2016 Capital Plan, during the first quarter of 2017 M&amp;T’s Board of Directors authorized an increase in the quarterly common stock dividend to $.75 per common share from the previous rate of $.70 per common share. Cash dividends declared on M&amp;T’s common stock aggregated $115 million in the recent quarter, compared with $111 million and $116 million in the quarters ended June 30, 2016 and March 31, 2017, respectively. Common stock dividends during the six-month periods ended June 30, 2017 and 2016 were $231 million and $223 million, respectively.</w:t>
      </w:r>
    </w:p>
    <w:p>
      <w:pPr>
        <w:spacing w:after="0" w:line="184" w:lineRule="exact"/>
        <w:rPr>
          <w:sz w:val="20"/>
          <w:szCs w:val="20"/>
          <w:color w:val="auto"/>
        </w:rPr>
      </w:pPr>
    </w:p>
    <w:p>
      <w:pPr>
        <w:jc w:val="both"/>
        <w:ind w:firstLine="471"/>
        <w:spacing w:after="0" w:line="245" w:lineRule="auto"/>
        <w:rPr>
          <w:sz w:val="20"/>
          <w:szCs w:val="20"/>
          <w:color w:val="auto"/>
        </w:rPr>
      </w:pPr>
      <w:r>
        <w:rPr>
          <w:rFonts w:ascii="Times New Roman" w:cs="Times New Roman" w:eastAsia="Times New Roman" w:hAnsi="Times New Roman"/>
          <w:sz w:val="21"/>
          <w:szCs w:val="21"/>
          <w:color w:val="auto"/>
        </w:rPr>
        <w:t>On June 28, 2017, M&amp;T announced that the Federal Reserve did not object to M&amp;T’s 2017 Capital Plan. That plan includes the repurchase of up to $900 million of common shares during the four-quarter period beginning on July 1, 2017 and an increase in the quarterly common stock dividend in the second quarter of 2018 of up to $.05 per share to $.80 per share. M&amp;T may also continue to pay dividends and interest on other equity and debt instruments included in regulatory capital, including preferred stock, trust preferred securities and subordinated debt that were outstanding at December 31, 2016, consistent with the contractual terms of those instruments. Dividends are subject to declaration by M&amp;T’s Board of Directors. Furthermore, on July 18, 2017, M&amp;T’s Board of Directors authorized a new stock repurchase program to repurchase up to $900 million of shares of its common stock subject to all applicable regulatory reporting limitations, including those set forth in M&amp;T’s 2017 Capital Plan. During July 2017, M&amp;T repurchased 600,000 shares for $97 million in accordance with that program.</w:t>
      </w:r>
    </w:p>
    <w:p>
      <w:pPr>
        <w:spacing w:after="0" w:line="185" w:lineRule="exact"/>
        <w:rPr>
          <w:sz w:val="20"/>
          <w:szCs w:val="20"/>
          <w:color w:val="auto"/>
        </w:rPr>
      </w:pPr>
    </w:p>
    <w:p>
      <w:pPr>
        <w:jc w:val="both"/>
        <w:ind w:firstLine="471"/>
        <w:spacing w:after="0" w:line="251" w:lineRule="auto"/>
        <w:rPr>
          <w:sz w:val="20"/>
          <w:szCs w:val="20"/>
          <w:color w:val="auto"/>
        </w:rPr>
      </w:pPr>
      <w:r>
        <w:rPr>
          <w:rFonts w:ascii="Times New Roman" w:cs="Times New Roman" w:eastAsia="Times New Roman" w:hAnsi="Times New Roman"/>
          <w:sz w:val="21"/>
          <w:szCs w:val="21"/>
          <w:color w:val="auto"/>
        </w:rPr>
        <w:t>Cash dividends declared on preferred stock totaled $18 million in each of the first two quarters of 2017, compared with $20 million in each of the first two quarters of 2016. The decline in preferred stock dividends in the two most recent quarters from the 2016 quarters resulted from the lower dividend rate for the $500 million of Series F preferred stock issued in October 2016 as compared with the like amount of Series D preferred stock that had been redeemed in December 2016.</w:t>
      </w:r>
    </w:p>
    <w:p>
      <w:pPr>
        <w:spacing w:after="0" w:line="138" w:lineRule="exact"/>
        <w:rPr>
          <w:sz w:val="20"/>
          <w:szCs w:val="20"/>
          <w:color w:val="auto"/>
        </w:rPr>
      </w:pPr>
    </w:p>
    <w:p>
      <w:pPr>
        <w:jc w:val="both"/>
        <w:ind w:right="20" w:firstLine="476"/>
        <w:spacing w:after="0" w:line="270"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91" w:lineRule="exact"/>
        <w:rPr>
          <w:sz w:val="20"/>
          <w:szCs w:val="20"/>
          <w:color w:val="auto"/>
        </w:rPr>
      </w:pPr>
    </w:p>
    <w:p>
      <w:pPr>
        <w:ind w:left="760" w:hanging="374"/>
        <w:spacing w:after="0"/>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Common Equity Tier 1 (“CET1”) to risk-weighted assets (each as defined in the capital regulations);</w:t>
      </w:r>
    </w:p>
    <w:p>
      <w:pPr>
        <w:spacing w:after="0" w:line="136" w:lineRule="exact"/>
        <w:rPr>
          <w:rFonts w:ascii="Times New Roman" w:cs="Times New Roman" w:eastAsia="Times New Roman" w:hAnsi="Times New Roman"/>
          <w:sz w:val="21"/>
          <w:szCs w:val="21"/>
          <w:color w:val="auto"/>
        </w:rPr>
      </w:pPr>
    </w:p>
    <w:p>
      <w:pPr>
        <w:ind w:left="760" w:hanging="374"/>
        <w:spacing w:after="0" w:line="270" w:lineRule="auto"/>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(that is, CET1 plus Additional Tier 1 capital) to risk-weighted assets (each as defined in the capital regulations);</w:t>
      </w:r>
    </w:p>
    <w:p>
      <w:pPr>
        <w:spacing w:after="0" w:line="159" w:lineRule="exact"/>
        <w:rPr>
          <w:rFonts w:ascii="Times New Roman" w:cs="Times New Roman" w:eastAsia="Times New Roman" w:hAnsi="Times New Roman"/>
          <w:sz w:val="21"/>
          <w:szCs w:val="21"/>
          <w:color w:val="auto"/>
        </w:rPr>
      </w:pPr>
    </w:p>
    <w:p>
      <w:pPr>
        <w:ind w:left="5620" w:hanging="101"/>
        <w:spacing w:after="0"/>
        <w:tabs>
          <w:tab w:leader="none" w:pos="5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9" w:name="page80"/>
    <w:bookmarkEnd w:id="79"/>
    <w:p>
      <w:pPr>
        <w:ind w:left="760" w:right="20" w:hanging="374"/>
        <w:spacing w:after="0" w:line="270" w:lineRule="auto"/>
        <w:tabs>
          <w:tab w:leader="none" w:pos="7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(that is, Tier 1 capital plus Tier 2 capital) to risk-weighted assets (each as defined in the capital regulations); and</w:t>
      </w:r>
    </w:p>
    <w:p>
      <w:pPr>
        <w:spacing w:after="0" w:line="118" w:lineRule="exact"/>
        <w:rPr>
          <w:rFonts w:ascii="Times New Roman" w:cs="Times New Roman" w:eastAsia="Times New Roman" w:hAnsi="Times New Roman"/>
          <w:sz w:val="21"/>
          <w:szCs w:val="21"/>
          <w:color w:val="auto"/>
        </w:rPr>
      </w:pPr>
    </w:p>
    <w:p>
      <w:pPr>
        <w:ind w:left="760" w:hanging="374"/>
        <w:spacing w:after="0" w:line="270" w:lineRule="auto"/>
        <w:tabs>
          <w:tab w:leader="none" w:pos="7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regulations.</w:t>
      </w:r>
    </w:p>
    <w:p>
      <w:pPr>
        <w:spacing w:after="0" w:line="118"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In addition, capital regulations provide for the phase-in of a “capital conservation buffer” composed entirely of CET1 on top of these minimum risk-weighted asset ratios. When fully phased-in on January 1, 2019 the capital conservation buffer will be 2.5%. For 2017, the phase-in transition portion of that buffer is 1.25%.</w:t>
      </w:r>
    </w:p>
    <w:p>
      <w:pPr>
        <w:spacing w:after="0" w:line="173"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June 30, 2017 are presented in the accompanying table.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M&amp;T</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M&amp;T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Wilmington</w:t>
            </w:r>
          </w:p>
        </w:tc>
      </w:tr>
      <w:tr>
        <w:trPr>
          <w:trHeight w:val="171"/>
        </w:trPr>
        <w:tc>
          <w:tcPr>
            <w:tcW w:w="532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(Consolidated)</w:t>
            </w: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Bank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Trust, N.A.</w:t>
            </w:r>
          </w:p>
        </w:tc>
      </w:tr>
      <w:tr>
        <w:trPr>
          <w:trHeight w:val="45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10.44%</w:t>
            </w:r>
          </w:p>
        </w:tc>
        <w:tc>
          <w:tcPr>
            <w:tcW w:w="26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64.37%</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capital</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10.44%</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64.37%</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14.25%</w:t>
            </w:r>
          </w:p>
        </w:tc>
        <w:tc>
          <w:tcPr>
            <w:tcW w:w="1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12.19%</w:t>
            </w:r>
          </w:p>
        </w:tc>
        <w:tc>
          <w:tcPr>
            <w:tcW w:w="2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64.92%</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8.86%</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13.79%</w:t>
            </w:r>
          </w:p>
        </w:tc>
      </w:tr>
    </w:tbl>
    <w:p>
      <w:pPr>
        <w:spacing w:after="0" w:line="197" w:lineRule="exact"/>
        <w:rPr>
          <w:sz w:val="20"/>
          <w:szCs w:val="20"/>
          <w:color w:val="auto"/>
        </w:rPr>
      </w:pPr>
    </w:p>
    <w:p>
      <w:pPr>
        <w:jc w:val="both"/>
        <w:ind w:firstLine="476"/>
        <w:spacing w:after="0" w:line="245"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3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 As disclosed in M&amp;T’s Form 10-K for the year ended December 31, 2016, in the fourth quarter of 2016 the Company revised its funds transfer pricing allocation related to borrowings. Additionally, during the second quarter of 2017, the Company retroactively revised its funds transfer pricing allocation related to certain deposit categories. As a result of the changes and as described in note 14 of Notes to Financial Statements, prior period financial information has been reclassified to provide segment information on a comparable basis.</w:t>
      </w:r>
    </w:p>
    <w:p>
      <w:pPr>
        <w:spacing w:after="0" w:line="212" w:lineRule="exact"/>
        <w:rPr>
          <w:sz w:val="20"/>
          <w:szCs w:val="20"/>
          <w:color w:val="auto"/>
        </w:rPr>
      </w:pPr>
    </w:p>
    <w:p>
      <w:pPr>
        <w:jc w:val="both"/>
        <w:ind w:firstLine="471"/>
        <w:spacing w:after="0" w:line="248" w:lineRule="auto"/>
        <w:rPr>
          <w:sz w:val="20"/>
          <w:szCs w:val="20"/>
          <w:color w:val="auto"/>
        </w:rPr>
      </w:pPr>
      <w:r>
        <w:rPr>
          <w:rFonts w:ascii="Times New Roman" w:cs="Times New Roman" w:eastAsia="Times New Roman" w:hAnsi="Times New Roman"/>
          <w:sz w:val="21"/>
          <w:szCs w:val="21"/>
          <w:color w:val="auto"/>
        </w:rPr>
        <w:t>The Business Banking segment recorded net income of $29 million in the second quarter of 2017, compared with $25 million in each of the three-month periods ended June 30, 2016 and March 31, 2017. As compared with the year-earlier quarter, a $6 million increase in net interest income in the recent quarter was partially offset by a $2 million rise in the provision for credit losses, due to higher net charge-offs. The higher net interest income reflected a widening of the net interest margin on deposits of 14 basis points and an increase in average outstanding deposit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0" w:name="page81"/>
    <w:bookmarkEnd w:id="80"/>
    <w:p>
      <w:pPr>
        <w:jc w:val="both"/>
        <w:spacing w:after="0" w:line="245" w:lineRule="auto"/>
        <w:rPr>
          <w:sz w:val="20"/>
          <w:szCs w:val="20"/>
          <w:color w:val="auto"/>
        </w:rPr>
      </w:pPr>
      <w:r>
        <w:rPr>
          <w:rFonts w:ascii="Times New Roman" w:cs="Times New Roman" w:eastAsia="Times New Roman" w:hAnsi="Times New Roman"/>
          <w:sz w:val="21"/>
          <w:szCs w:val="21"/>
          <w:color w:val="auto"/>
        </w:rPr>
        <w:t>balances of $520 million. The rise in net income in 2017’s second quarter as compared with the first quarter of 2017 reflected a $4 million increase in net interest income and a $2 million decline in the provision for credit losses, due to lower net charge-offs. The increase in net interest income primarily reflected a 7 basis point widening of the net interest margin on deposits, an increase in average outstanding deposit balances of $191 million and the impact of one additional day in the current quarter. Net income recorded by the Business Banking segment was $54 million in the first six months of 2017, little changed from $53 million in the year-earlier period. An $8 million rise in net interest income was largely offset by a $7 million increase in the provision for credit losses, due to higher net charge-offs. The increase in net interest income was attributable to increases in average outstanding deposit and loan balances of $425 million and $152 million, respectively, and a widening of the net interest margin on deposits of 12 basis points, partially offset by a 17 basis point narrowing of the net interest margin on loans.</w:t>
      </w:r>
    </w:p>
    <w:p>
      <w:pPr>
        <w:spacing w:after="0" w:line="212" w:lineRule="exact"/>
        <w:rPr>
          <w:sz w:val="20"/>
          <w:szCs w:val="20"/>
          <w:color w:val="auto"/>
        </w:rPr>
      </w:pPr>
    </w:p>
    <w:p>
      <w:pPr>
        <w:jc w:val="both"/>
        <w:ind w:firstLine="471"/>
        <w:spacing w:after="0" w:line="243" w:lineRule="auto"/>
        <w:rPr>
          <w:sz w:val="20"/>
          <w:szCs w:val="20"/>
          <w:color w:val="auto"/>
        </w:rPr>
      </w:pPr>
      <w:r>
        <w:rPr>
          <w:rFonts w:ascii="Times New Roman" w:cs="Times New Roman" w:eastAsia="Times New Roman" w:hAnsi="Times New Roman"/>
          <w:sz w:val="21"/>
          <w:szCs w:val="21"/>
          <w:color w:val="auto"/>
        </w:rPr>
        <w:t>Net income earned by the Commercial Banking segment totaled $106 million during the quarter ended June 30, 2017, compared with $105 million in the year-earlier quarter and $113 million in the first quarter of 2017. The modest improvement in net income as compared with the second quarter of 2016 reflected a $5 million increase in net interest income, a $4 million rise in loan syndication fees, and a $3 million decline in FDIC assessments. The higher net interest income resulted from a widening of the net interest margin on deposits of 36 basis points and an increase in average outstanding loan balances of $1.3 billion, partially offset by a narrowing of the net interest margin on loans of 22 basis points. Those favorable factors were offset by a $10 million increase in the provision for credit losses and a $3 million decline in corporate advisory fees. The recent quarter’s 6% decline in net income as compared with the first quarter of 2017 was largely due to a $10 million increase in the provision for credit losses, a $2 million decline in letter of credit and credit-related fees and higher allocated operating expenses associated with data processing, risk management and other support services provided to the Commercial Banking segment. Those unfavorable factors were offset, in part, by increases in net interest income and mortgage banking revenues of $2 million each. The improvement in net interest income was due to a widening of the net interest margin on deposits of 18 basis points, partially offset by a narrowing of the net interest margin on loans of 7 basis points. The Commercial Banking segment contributed $218 million of net income for the first half of 2017, up 6% from $207 million earned in the similar 2016 period. That improvement was predominantly due to: a $13 million rise in net interest income, reflecting higher average outstanding balances of loans of $1.6 billion and a widening of the net interest margin on deposits of 27 basis points, partially offset by a narrowing of the net interest margin on loans of 19 basis points; a $9 million rise in loan syndication fees; and increases in trading account and foreign exchange gains and gains on the sale of previously leased equipment of $3 million each. Those favorable factors were partially offset by a $5 million increase in the provision for credit losses and higher allocated operating expenses.</w:t>
      </w:r>
    </w:p>
    <w:p>
      <w:pPr>
        <w:spacing w:after="0" w:line="218" w:lineRule="exact"/>
        <w:rPr>
          <w:sz w:val="20"/>
          <w:szCs w:val="20"/>
          <w:color w:val="auto"/>
        </w:rPr>
      </w:pPr>
    </w:p>
    <w:p>
      <w:pPr>
        <w:jc w:val="both"/>
        <w:ind w:firstLine="471"/>
        <w:spacing w:after="0" w:line="243" w:lineRule="auto"/>
        <w:rPr>
          <w:sz w:val="20"/>
          <w:szCs w:val="20"/>
          <w:color w:val="auto"/>
        </w:rPr>
      </w:pPr>
      <w:r>
        <w:rPr>
          <w:rFonts w:ascii="Times New Roman" w:cs="Times New Roman" w:eastAsia="Times New Roman" w:hAnsi="Times New Roman"/>
          <w:sz w:val="21"/>
          <w:szCs w:val="21"/>
          <w:color w:val="auto"/>
        </w:rPr>
        <w:t>The Commercial Real Estate segment contributed net income of $87 million in the second quarter of 2017, compared with $84 million in the year-earlier period and $85 million in the first quarter of 2017. The improvement in net income as compared with the second quarter of 2016 reflects increases in net interest income and letter of credit and other credit-related fees of $10 million and $2 million, respectively, and a decline in FDIC assessments of $2 million. The higher net interest income reflected an increase in average outstanding loan balances of $2.3 billion and a widening of the net interest margin on deposits of 42 basis points, partially offset by a narrowing of the net interest margin on loans of 19 basis points. Those favorable factors were partially offset by a decline in trading account and foreign exchange gains of $6 million and a $3 million increase in personnel-related expenses. Contributing to the 3% improvement in the recent quarter’s net income as compared with the first quarter of 2017 were a $5 million decline in the provision for credit losses and increases in net interest income and letter of credit and other credit-related fees of $3 million each. The higher net interest income primarily reflected a widening of the net interest margin on deposits of 22 basis points. Those favorable factors were offset, in part, by a decrease in mortgage banking revenues, the result of a decline in origination volumes. Net income earned by the Commercial Real Estate segment totaled $172 million during the six-month period ended June 30, 2017, compared with $165 million in the similar 2016 period. A rise in net interest income of $23 million was offset, in part, by decreased trading account and foreign exchange gains of $7 million and increased personnel-related expenses of $5 million. The increase in net interest income resulted from higher average outstanding loan balances of $2.7 billion and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1" w:name="page82"/>
    <w:bookmarkEnd w:id="81"/>
    <w:p>
      <w:pPr>
        <w:jc w:val="both"/>
        <w:spacing w:after="0" w:line="270" w:lineRule="auto"/>
        <w:rPr>
          <w:sz w:val="20"/>
          <w:szCs w:val="20"/>
          <w:color w:val="auto"/>
        </w:rPr>
      </w:pPr>
      <w:r>
        <w:rPr>
          <w:rFonts w:ascii="Times New Roman" w:cs="Times New Roman" w:eastAsia="Times New Roman" w:hAnsi="Times New Roman"/>
          <w:sz w:val="21"/>
          <w:szCs w:val="21"/>
          <w:color w:val="auto"/>
        </w:rPr>
        <w:t>widening of the net interest margin on deposits of 32 basis points offset, in part, by a narrowing of the net interest margin on loans of 16 basis points.</w:t>
      </w:r>
    </w:p>
    <w:p>
      <w:pPr>
        <w:spacing w:after="0" w:line="186" w:lineRule="exact"/>
        <w:rPr>
          <w:sz w:val="20"/>
          <w:szCs w:val="20"/>
          <w:color w:val="auto"/>
        </w:rPr>
      </w:pPr>
    </w:p>
    <w:p>
      <w:pPr>
        <w:jc w:val="both"/>
        <w:ind w:firstLine="471"/>
        <w:spacing w:after="0" w:line="244" w:lineRule="auto"/>
        <w:rPr>
          <w:sz w:val="20"/>
          <w:szCs w:val="20"/>
          <w:color w:val="auto"/>
        </w:rPr>
      </w:pPr>
      <w:r>
        <w:rPr>
          <w:rFonts w:ascii="Times New Roman" w:cs="Times New Roman" w:eastAsia="Times New Roman" w:hAnsi="Times New Roman"/>
          <w:sz w:val="21"/>
          <w:szCs w:val="21"/>
          <w:color w:val="auto"/>
        </w:rPr>
        <w:t>Net income from the Discretionary Portfolio segment was $30 million in the recent quarter, compared with $41 million in the year-earlier period and $34 million in the first quarter of 2017. The decline in net income as compared with the second quarter of 2016 was predominantly due to a $20 million decrease in net interest income that reflected lower average loan balances of $3.6 billion and a narrowing of the net interest margin on loans of 15 basis points, each predominantly due to pay downs of loans obtained in the acquisition of Hudson City, partially offset by a 12 basis point widening of the net interest margin on investment securities. The decline in net income in the recent quarter as compared with the immediately preceding quarter reflected a $7 million decrease in net interest income, resulting from a narrowing of the net interest margin on loans and investment securities of 5 basis points each and a decrease in average outstanding loan balances of $750 million. Year-to-date net income recorded by this segment was $64 million in 2017 and $89 million in 2016. That decline was predominantly the result of a $40 million decrease in net interest income and a $6 million increase in the provision for credit losses offset, in part, by lower residential real estate-related servicing costs. The decrease in net interest income reflected lower average outstanding loan balances of $3.7 billion and a 13 basis point narrowing of the net interest margin on loans, each predominantly due to pay downs of loans obtained in the acquisition of Hudson City, partially offset by a widening of the net interest margin on investment securities of 11 basis points.</w:t>
      </w:r>
    </w:p>
    <w:p>
      <w:pPr>
        <w:spacing w:after="0" w:line="212" w:lineRule="exact"/>
        <w:rPr>
          <w:sz w:val="20"/>
          <w:szCs w:val="20"/>
          <w:color w:val="auto"/>
        </w:rPr>
      </w:pPr>
    </w:p>
    <w:p>
      <w:pPr>
        <w:jc w:val="both"/>
        <w:ind w:firstLine="471"/>
        <w:spacing w:after="0" w:line="245" w:lineRule="auto"/>
        <w:rPr>
          <w:sz w:val="20"/>
          <w:szCs w:val="20"/>
          <w:color w:val="auto"/>
        </w:rPr>
      </w:pPr>
      <w:r>
        <w:rPr>
          <w:rFonts w:ascii="Times New Roman" w:cs="Times New Roman" w:eastAsia="Times New Roman" w:hAnsi="Times New Roman"/>
          <w:sz w:val="21"/>
          <w:szCs w:val="21"/>
          <w:color w:val="auto"/>
        </w:rPr>
        <w:t>Net income from the Residential Mortgage Banking segment was $14 million in each of the second quarter of 2017 and the year-earlier quarter and $10 million in the first quarter of 2017. As compared with the year-earlier period, lower revenues of $3 million associated with each of mortgage origination and sales activities (including intersegment revenues) and servicing income were largely offset by lower centrally-allocated expenses. The improvement in net income from the first quarter of 2017 predominantly reflected increased revenues associated with mortgage origination and sales activities (including intersegment revenues) and lower personnel-related costs and centrally-allocated expenses. The Residential Mortgage Banking segment contributed net income of $24 million in the first six months of 2017, compared with $27 million in the corresponding 2016 period. That decline reflected decreases in revenues from mortgage origination and sales activities (including intersegment revenues) and from servicing residential real estate loans. Those unfavorable factors were partially offset by lower professional services costs and centrally-allocated expenses.</w:t>
      </w:r>
    </w:p>
    <w:p>
      <w:pPr>
        <w:spacing w:after="0" w:line="212" w:lineRule="exact"/>
        <w:rPr>
          <w:sz w:val="20"/>
          <w:szCs w:val="20"/>
          <w:color w:val="auto"/>
        </w:rPr>
      </w:pPr>
    </w:p>
    <w:p>
      <w:pPr>
        <w:jc w:val="both"/>
        <w:ind w:firstLine="471"/>
        <w:spacing w:after="0" w:line="244" w:lineRule="auto"/>
        <w:rPr>
          <w:sz w:val="20"/>
          <w:szCs w:val="20"/>
          <w:color w:val="auto"/>
        </w:rPr>
      </w:pPr>
      <w:r>
        <w:rPr>
          <w:rFonts w:ascii="Times New Roman" w:cs="Times New Roman" w:eastAsia="Times New Roman" w:hAnsi="Times New Roman"/>
          <w:sz w:val="21"/>
          <w:szCs w:val="21"/>
          <w:color w:val="auto"/>
        </w:rPr>
        <w:t>Net income earned by the Retail Banking segment totaled $100 million in the second quarter of 2017, compared with $76 million in the year-earlier quarter and $86 million in the first quarter of 2017. The 31% improvement as compared with the second quarter of 2016 reflected a $29 million rise in net interest income and lower credit card and merchant expenses and FDIC assessments of $4 million and $3 million, respectively. The higher net interest income was due to a 35 basis point widening of the net interest margin on deposits offset, in part, by lower average outstanding deposit balances of $3.0 billion. The recent quarter’s 16% improvement in net income as compared with the first quarter of 2017 reflected an $11 million rise in net interest income, largely related to a 9 basis point widening of the net interest margin on deposits, a $4 million increase in service charges on deposit accounts, and decreases in credit card and merchant expenses, equipment and net occupancy costs, and the provision for credit losses of $3 million each. Net income recorded by the Retail Banking segment totaled $186 million in the first half of 2017 and $144 million in 2016. The most significant factors contributing to that improvement were a $49 million increase in net interest income, primarily reflecting a widening of the net interest margin on deposits of 32 basis points offset, in part, by lower average outstanding deposit balances of $2.7 billion, and a $17 million decrease in the provision for credit losses due, in part, to higher levels of partial charge-offs recognized in the first quarter of 2016 associated with loans for which the Company identified that the customer was either bankrupt or deceased.</w:t>
      </w:r>
    </w:p>
    <w:p>
      <w:pPr>
        <w:spacing w:after="0" w:line="212" w:lineRule="exact"/>
        <w:rPr>
          <w:sz w:val="20"/>
          <w:szCs w:val="20"/>
          <w:color w:val="auto"/>
        </w:rPr>
      </w:pPr>
    </w:p>
    <w:p>
      <w:pPr>
        <w:jc w:val="both"/>
        <w:ind w:firstLine="471"/>
        <w:spacing w:after="0" w:line="251"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and cash distributions associated with BLG, merger-related expenses resulting from acquisitions, and the net impact of the Company’s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2" w:name="page83"/>
    <w:bookmarkEnd w:id="82"/>
    <w:p>
      <w:pPr>
        <w:jc w:val="both"/>
        <w:spacing w:after="0" w:line="243" w:lineRule="auto"/>
        <w:rPr>
          <w:sz w:val="20"/>
          <w:szCs w:val="20"/>
          <w:color w:val="auto"/>
        </w:rPr>
      </w:pPr>
      <w:r>
        <w:rPr>
          <w:rFonts w:ascii="Times New Roman" w:cs="Times New Roman" w:eastAsia="Times New Roman" w:hAnsi="Times New Roman"/>
          <w:sz w:val="21"/>
          <w:szCs w:val="21"/>
          <w:color w:val="auto"/>
        </w:rPr>
        <w:t>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income of $16 million for the quarter ended June 30, 2017, compared with net losses totaling $10 million in the year-earlier quarter and $3 million in the first quarter of 2017. The improvement as compared with the year-earlier quarter was largely due to the favorable impact from the Company’s allocation methodologies in the recent quarter and $13 million of merger-related expenses in the second quarter of 2016 (there were no such expenses in 2017), partially offset by higher legal-related and professional services costs and FDIC assessments in 2017’s second quarter. As compared with the net loss in the first quarter of 2017, the recent quarter’s net income reflected lower personnel-related costs, including seasonally higher stock-based compensation and employee benefits expenses in the initial 2017 period, partially offset by a tax benefit of $18 million recognized in the first quarter of 2017 resulting from the adoption of new accounting guidance requiring that excess tax benefits associated with share-based compensation be recognized in income tax expense in the income statement, and higher legal-related and professional services costs. The “All Other” category had net income of $12 million for the six months ended June 30, 2017, compared with a net loss of $51 million recorded in the prior year period. The improved performance in 2017 was predominantly due to: merger-related expenses of $36 million in 2016; tax benefits recognized in 2017 associated with the new accounting guidance mentioned above; and higher trust income of $15 million. Those favorable factors were partially offset by higher personnel, legal-related and professional services costs.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discussion of recent accounting developments is included in note 16 of Notes to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85"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3" w:name="page84"/>
    <w:bookmarkEnd w:id="83"/>
    <w:p>
      <w:pPr>
        <w:jc w:val="both"/>
        <w:spacing w:after="0" w:line="270" w:lineRule="auto"/>
        <w:rPr>
          <w:sz w:val="20"/>
          <w:szCs w:val="20"/>
          <w:color w:val="auto"/>
        </w:rPr>
      </w:pPr>
      <w:r>
        <w:rPr>
          <w:rFonts w:ascii="Times New Roman" w:cs="Times New Roman" w:eastAsia="Times New Roman" w:hAnsi="Times New Roman"/>
          <w:sz w:val="21"/>
          <w:szCs w:val="21"/>
          <w:color w:val="auto"/>
        </w:rPr>
        <w:t>actual financial results of merger, acquisition and investment activities compared with M&amp;T’s initial expectations, including the full realization of anticipated cost savings and revenue enhancements.</w:t>
      </w:r>
    </w:p>
    <w:p>
      <w:pPr>
        <w:spacing w:after="0" w:line="159"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Table 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QUARTERLY TRENDS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w w:val="94"/>
              </w:rPr>
              <w:t>2017 Quarters</w:t>
            </w:r>
          </w:p>
        </w:tc>
        <w:tc>
          <w:tcPr>
            <w:tcW w:w="5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color w:val="auto"/>
                <w:w w:val="94"/>
              </w:rPr>
              <w:t>2016 Quarters</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Second</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First</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Fourth</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Third</w:t>
            </w:r>
          </w:p>
        </w:tc>
        <w:tc>
          <w:tcPr>
            <w:tcW w:w="3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Second</w:t>
            </w:r>
          </w:p>
        </w:tc>
        <w:tc>
          <w:tcPr>
            <w:tcW w:w="3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First</w:t>
            </w:r>
          </w:p>
        </w:tc>
        <w:tc>
          <w:tcPr>
            <w:tcW w:w="3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Earnings and dividends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 except per share</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income (taxable-equivalent basis)</w:t>
            </w:r>
          </w:p>
        </w:tc>
        <w:tc>
          <w:tcPr>
            <w:tcW w:w="10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1,039,149</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1,014,032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990,284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976,240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977,143</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979,166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92,213</w:t>
            </w:r>
          </w:p>
        </w:tc>
        <w:tc>
          <w:tcPr>
            <w:tcW w:w="3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91,773</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107,137</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111,175</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106,802</w:t>
            </w:r>
          </w:p>
        </w:tc>
        <w:tc>
          <w:tcPr>
            <w:tcW w:w="3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100,870</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Net interest income</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946,936</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922,259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883,147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865,065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870,341</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878,296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Less: provision for credit losses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52,000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47,000</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32,000</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460,816</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446,845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465,459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491,350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448,254</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420,933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Less: other expense</w:t>
            </w:r>
          </w:p>
        </w:tc>
        <w:tc>
          <w:tcPr>
            <w:tcW w:w="9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750,635</w:t>
            </w:r>
          </w:p>
        </w:tc>
        <w:tc>
          <w:tcPr>
            <w:tcW w:w="3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787,852</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769,103</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752,392</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749,895</w:t>
            </w:r>
          </w:p>
        </w:tc>
        <w:tc>
          <w:tcPr>
            <w:tcW w:w="3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776,095</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Income before income taxes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605,117</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526,252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517,503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557,023</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536,700</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474,134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Applicable income taxes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215,328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169,326</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179,549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200,314</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194,147</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169,274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Taxable-equivalent adjustment</w:t>
            </w:r>
          </w:p>
        </w:tc>
        <w:tc>
          <w:tcPr>
            <w:tcW w:w="9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8,736</w:t>
            </w:r>
          </w:p>
        </w:tc>
        <w:tc>
          <w:tcPr>
            <w:tcW w:w="3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7,999</w:t>
            </w:r>
          </w:p>
        </w:tc>
        <w:tc>
          <w:tcPr>
            <w:tcW w:w="3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7,383</w:t>
            </w:r>
          </w:p>
        </w:tc>
        <w:tc>
          <w:tcPr>
            <w:tcW w:w="3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6,725</w:t>
            </w:r>
          </w:p>
        </w:tc>
        <w:tc>
          <w:tcPr>
            <w:tcW w:w="32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6,522</w:t>
            </w:r>
          </w:p>
        </w:tc>
        <w:tc>
          <w:tcPr>
            <w:tcW w:w="30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tcBorders>
              <w:bottom w:val="single" w:sz="8" w:color="CFF0FC"/>
            </w:tcBorders>
          </w:tcPr>
          <w:p>
            <w:pPr>
              <w:spacing w:after="0" w:line="143" w:lineRule="exact"/>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381,053</w:t>
            </w:r>
          </w:p>
        </w:tc>
        <w:tc>
          <w:tcPr>
            <w:tcW w:w="3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348,927</w:t>
            </w: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330,571</w:t>
            </w: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349,984</w:t>
            </w:r>
          </w:p>
        </w:tc>
        <w:tc>
          <w:tcPr>
            <w:tcW w:w="3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336,031</w:t>
            </w:r>
          </w:p>
        </w:tc>
        <w:tc>
          <w:tcPr>
            <w:tcW w:w="3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298,528</w:t>
            </w:r>
          </w:p>
        </w:tc>
        <w:tc>
          <w:tcPr>
            <w:tcW w:w="3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360,662</w:t>
            </w: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328,567</w:t>
            </w: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307,797</w:t>
            </w: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326,998</w:t>
            </w: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312,974</w:t>
            </w: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275,748</w:t>
            </w: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Per common share data</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Basic earnings</w:t>
            </w:r>
          </w:p>
        </w:tc>
        <w:tc>
          <w:tcPr>
            <w:tcW w:w="10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 earnings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dividends</w:t>
            </w:r>
          </w:p>
        </w:tc>
        <w:tc>
          <w:tcPr>
            <w:tcW w:w="10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152,857</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154,427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155,123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155,493</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157,802</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158,734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9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153,276</w:t>
            </w:r>
          </w:p>
        </w:tc>
        <w:tc>
          <w:tcPr>
            <w:tcW w:w="3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154,949</w:t>
            </w:r>
          </w:p>
        </w:tc>
        <w:tc>
          <w:tcPr>
            <w:tcW w:w="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155,700</w:t>
            </w:r>
          </w:p>
        </w:tc>
        <w:tc>
          <w:tcPr>
            <w:tcW w:w="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156,026</w:t>
            </w:r>
          </w:p>
        </w:tc>
        <w:tc>
          <w:tcPr>
            <w:tcW w:w="3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158,341</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159,181</w:t>
            </w:r>
          </w:p>
        </w:tc>
        <w:tc>
          <w:tcPr>
            <w:tcW w:w="3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Performance ratios, annualized</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Return 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Average assets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42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Net interest margin on average earning assets (taxable-equivalent</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basis)</w:t>
            </w: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42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Nonaccrual loans to total loans and leases, net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2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unearned discount</w:t>
            </w:r>
          </w:p>
        </w:tc>
        <w:tc>
          <w:tcPr>
            <w:tcW w:w="9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20" w:type="dxa"/>
            <w:vAlign w:val="bottom"/>
            <w:tcBorders>
              <w:bottom w:val="single" w:sz="8" w:color="CFF0FC"/>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320" w:type="dxa"/>
            <w:vAlign w:val="bottom"/>
            <w:tcBorders>
              <w:bottom w:val="single" w:sz="8" w:color="CFF0FC"/>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300" w:type="dxa"/>
            <w:vAlign w:val="bottom"/>
            <w:tcBorders>
              <w:bottom w:val="single" w:sz="8" w:color="CFF0FC"/>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40" w:type="dxa"/>
            <w:vAlign w:val="bottom"/>
            <w:tcBorders>
              <w:bottom w:val="single" w:sz="8" w:color="CFF0FC"/>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42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Net operating income (in thousands)</w:t>
            </w:r>
          </w:p>
        </w:tc>
        <w:tc>
          <w:tcPr>
            <w:tcW w:w="104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385,974</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354,035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336,095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355,929</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350,604</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320,064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Annualized return 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Average tangible assets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Efficiency ratio (b)</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52.74</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56.93</w:t>
            </w:r>
          </w:p>
        </w:tc>
        <w:tc>
          <w:tcPr>
            <w:tcW w:w="3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56.42</w:t>
            </w:r>
          </w:p>
        </w:tc>
        <w:tc>
          <w:tcPr>
            <w:tcW w:w="3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55.92</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55.06</w:t>
            </w:r>
          </w:p>
        </w:tc>
        <w:tc>
          <w:tcPr>
            <w:tcW w:w="30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Average balances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assets (c)</w:t>
            </w:r>
          </w:p>
        </w:tc>
        <w:tc>
          <w:tcPr>
            <w:tcW w:w="10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120,765</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122,978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125,734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124,725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123,706</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123,252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tangible assets (c)</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116,117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118,326</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121,079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120,064</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119,039</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118,577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Earning assets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109,987</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112,008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114,254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112,864</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111,872</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111,211</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 securities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14,361</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14,914</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89,268</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89,797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89,977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88,732</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88,155</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87,584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Deposits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94,201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96,914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94,033</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92,391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15,053</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15,181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15,115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15,145</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10,526</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10,454</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10,478</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At end of quarter</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assets (c)</w:t>
            </w:r>
          </w:p>
        </w:tc>
        <w:tc>
          <w:tcPr>
            <w:tcW w:w="104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120,897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123,223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123,449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126,841</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123,821</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124,626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tangible assets (c)</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116,251</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118,573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118,797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122,183</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119,157</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119,955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Earning assets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109,976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112,287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112,192</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115,293</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112,057</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113,005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Investment securities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15,816</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15,968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16,250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14,734</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14,963</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15,467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89,081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89,313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90,853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89,646</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88,522</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87,872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Deposits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93,541</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97,043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95,494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98,137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94,650</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94,215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Common shareholders’ equity, net of undeclared cumulative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preferred dividends (c)</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15,049</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14,978</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15,252</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15,106</w:t>
            </w:r>
          </w:p>
        </w:tc>
        <w:tc>
          <w:tcPr>
            <w:tcW w:w="3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15,237</w:t>
            </w: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10,403</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10,328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10,600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10,448</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10,573</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 per common share</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96.49</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Tangible equity per common share</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68.20</w:t>
            </w:r>
          </w:p>
        </w:tc>
        <w:tc>
          <w:tcPr>
            <w:tcW w:w="3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67.16</w:t>
            </w:r>
          </w:p>
        </w:tc>
        <w:tc>
          <w:tcPr>
            <w:tcW w:w="3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3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67.42</w:t>
            </w:r>
          </w:p>
        </w:tc>
        <w:tc>
          <w:tcPr>
            <w:tcW w:w="3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66.95</w:t>
            </w:r>
          </w:p>
        </w:tc>
        <w:tc>
          <w:tcPr>
            <w:tcW w:w="3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65.65</w:t>
            </w:r>
          </w:p>
        </w:tc>
        <w:tc>
          <w:tcPr>
            <w:tcW w:w="3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Market price per common share</w:t>
            </w: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High</w:t>
            </w:r>
          </w:p>
        </w:tc>
        <w:tc>
          <w:tcPr>
            <w:tcW w:w="10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164.03</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173.72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120.40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121.11</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119.24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Low</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149.51</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111.13</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107.01</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Closing</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161.95</w:t>
            </w:r>
          </w:p>
        </w:tc>
        <w:tc>
          <w:tcPr>
            <w:tcW w:w="3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154.73</w:t>
            </w:r>
          </w:p>
        </w:tc>
        <w:tc>
          <w:tcPr>
            <w:tcW w:w="3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156.43</w:t>
            </w:r>
          </w:p>
        </w:tc>
        <w:tc>
          <w:tcPr>
            <w:tcW w:w="3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116.10</w:t>
            </w:r>
          </w:p>
        </w:tc>
        <w:tc>
          <w:tcPr>
            <w:tcW w:w="3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118.23</w:t>
            </w:r>
          </w:p>
        </w:tc>
        <w:tc>
          <w:tcPr>
            <w:tcW w:w="3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111.00</w:t>
            </w:r>
          </w:p>
        </w:tc>
        <w:tc>
          <w:tcPr>
            <w:tcW w:w="3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520" w:right="20" w:hanging="512"/>
        <w:spacing w:after="0"/>
        <w:tabs>
          <w:tab w:leader="none" w:pos="52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impact of merger-related expenses and net securities transactions.</w:t>
      </w:r>
    </w:p>
    <w:p>
      <w:pPr>
        <w:ind w:left="520" w:hanging="512"/>
        <w:spacing w:after="0" w:line="229" w:lineRule="auto"/>
        <w:tabs>
          <w:tab w:leader="none" w:pos="52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86" w:lineRule="exact"/>
        <w:rPr>
          <w:rFonts w:ascii="Times New Roman" w:cs="Times New Roman" w:eastAsia="Times New Roman" w:hAnsi="Times New Roman"/>
          <w:sz w:val="13"/>
          <w:szCs w:val="13"/>
          <w:i w:val="1"/>
          <w:iCs w:val="1"/>
          <w:color w:val="auto"/>
        </w:rPr>
      </w:pPr>
    </w:p>
    <w:p>
      <w:pPr>
        <w:ind w:left="5620" w:hanging="101"/>
        <w:spacing w:after="0"/>
        <w:tabs>
          <w:tab w:leader="none" w:pos="5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2</w:t>
            </w:r>
          </w:p>
        </w:tc>
        <w:tc>
          <w:tcPr>
            <w:tcW w:w="0" w:type="dxa"/>
            <w:vAlign w:val="bottom"/>
          </w:tcPr>
          <w:p>
            <w:pPr>
              <w:spacing w:after="0"/>
              <w:rPr>
                <w:sz w:val="1"/>
                <w:szCs w:val="1"/>
                <w:color w:val="auto"/>
              </w:rPr>
            </w:pPr>
          </w:p>
        </w:tc>
      </w:tr>
      <w:tr>
        <w:trPr>
          <w:trHeight w:val="338"/>
        </w:trPr>
        <w:tc>
          <w:tcPr>
            <w:tcW w:w="66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RECONCILIATION OF QUARTERLY GAAP TO NON-GAAP MEASURES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3"/>
                <w:szCs w:val="13"/>
                <w:color w:val="auto"/>
              </w:rPr>
              <w:t>2017 Quarters</w:t>
            </w: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2016 Quarters</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20"/>
              <w:spacing w:after="0" w:line="143" w:lineRule="exact"/>
              <w:rPr>
                <w:sz w:val="20"/>
                <w:szCs w:val="20"/>
                <w:color w:val="auto"/>
              </w:rPr>
            </w:pPr>
            <w:r>
              <w:rPr>
                <w:rFonts w:ascii="Times New Roman" w:cs="Times New Roman" w:eastAsia="Times New Roman" w:hAnsi="Times New Roman"/>
                <w:sz w:val="13"/>
                <w:szCs w:val="13"/>
                <w:color w:val="auto"/>
              </w:rPr>
              <w:t>Second</w:t>
            </w:r>
          </w:p>
        </w:tc>
        <w:tc>
          <w:tcPr>
            <w:tcW w:w="220" w:type="dxa"/>
            <w:vAlign w:val="bottom"/>
          </w:tcPr>
          <w:p>
            <w:pPr>
              <w:spacing w:after="0"/>
              <w:rPr>
                <w:sz w:val="12"/>
                <w:szCs w:val="12"/>
                <w:color w:val="auto"/>
              </w:rPr>
            </w:pPr>
          </w:p>
        </w:tc>
        <w:tc>
          <w:tcPr>
            <w:tcW w:w="620" w:type="dxa"/>
            <w:vAlign w:val="bottom"/>
          </w:tcPr>
          <w:p>
            <w:pPr>
              <w:jc w:val="right"/>
              <w:ind w:right="257"/>
              <w:spacing w:after="0" w:line="143" w:lineRule="exact"/>
              <w:rPr>
                <w:sz w:val="20"/>
                <w:szCs w:val="20"/>
                <w:color w:val="auto"/>
              </w:rPr>
            </w:pPr>
            <w:r>
              <w:rPr>
                <w:rFonts w:ascii="Times New Roman" w:cs="Times New Roman" w:eastAsia="Times New Roman" w:hAnsi="Times New Roman"/>
                <w:sz w:val="13"/>
                <w:szCs w:val="13"/>
                <w:color w:val="auto"/>
              </w:rPr>
              <w:t>First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80"/>
              <w:spacing w:after="0" w:line="143" w:lineRule="exact"/>
              <w:rPr>
                <w:sz w:val="20"/>
                <w:szCs w:val="20"/>
                <w:color w:val="auto"/>
              </w:rPr>
            </w:pPr>
            <w:r>
              <w:rPr>
                <w:rFonts w:ascii="Times New Roman" w:cs="Times New Roman" w:eastAsia="Times New Roman" w:hAnsi="Times New Roman"/>
                <w:sz w:val="13"/>
                <w:szCs w:val="13"/>
                <w:color w:val="auto"/>
              </w:rPr>
              <w:t>Fourth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20"/>
              <w:spacing w:after="0" w:line="143" w:lineRule="exact"/>
              <w:rPr>
                <w:sz w:val="20"/>
                <w:szCs w:val="20"/>
                <w:color w:val="auto"/>
              </w:rPr>
            </w:pPr>
            <w:r>
              <w:rPr>
                <w:rFonts w:ascii="Times New Roman" w:cs="Times New Roman" w:eastAsia="Times New Roman" w:hAnsi="Times New Roman"/>
                <w:sz w:val="13"/>
                <w:szCs w:val="13"/>
                <w:color w:val="auto"/>
              </w:rPr>
              <w:t>Third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480"/>
              <w:spacing w:after="0" w:line="143" w:lineRule="exact"/>
              <w:rPr>
                <w:sz w:val="20"/>
                <w:szCs w:val="20"/>
                <w:color w:val="auto"/>
              </w:rPr>
            </w:pPr>
            <w:r>
              <w:rPr>
                <w:rFonts w:ascii="Times New Roman" w:cs="Times New Roman" w:eastAsia="Times New Roman" w:hAnsi="Times New Roman"/>
                <w:sz w:val="13"/>
                <w:szCs w:val="13"/>
                <w:color w:val="auto"/>
                <w:w w:val="93"/>
              </w:rPr>
              <w:t>Second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56"/>
              <w:spacing w:after="0" w:line="143" w:lineRule="exact"/>
              <w:rPr>
                <w:sz w:val="20"/>
                <w:szCs w:val="20"/>
                <w:color w:val="auto"/>
              </w:rPr>
            </w:pPr>
            <w:r>
              <w:rPr>
                <w:rFonts w:ascii="Times New Roman" w:cs="Times New Roman" w:eastAsia="Times New Roman" w:hAnsi="Times New Roman"/>
                <w:sz w:val="13"/>
                <w:szCs w:val="13"/>
                <w:color w:val="auto"/>
              </w:rPr>
              <w:t>First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Income statement data (in thousands, except per share)</w:t>
            </w: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381,053</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348,927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330,571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349,984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336,031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298,528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Merger-related expenses (a)</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20" w:type="dxa"/>
            <w:vAlign w:val="bottom"/>
            <w:tcBorders>
              <w:bottom w:val="single" w:sz="8" w:color="CFF0FC"/>
            </w:tcBorders>
          </w:tcPr>
          <w:p>
            <w:pPr>
              <w:ind w:left="260"/>
              <w:spacing w:after="0" w:line="143" w:lineRule="exact"/>
              <w:rPr>
                <w:sz w:val="20"/>
                <w:szCs w:val="20"/>
                <w:color w:val="auto"/>
              </w:rPr>
            </w:pPr>
            <w:r>
              <w:rPr>
                <w:rFonts w:ascii="Times New Roman" w:cs="Times New Roman" w:eastAsia="Times New Roman" w:hAnsi="Times New Roman"/>
                <w:sz w:val="13"/>
                <w:szCs w:val="13"/>
                <w:color w:val="auto"/>
              </w:rPr>
              <w:t>Net operating income</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385,974</w:t>
            </w:r>
          </w:p>
        </w:tc>
        <w:tc>
          <w:tcPr>
            <w:tcW w:w="3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354,035</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336,095</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355,929</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350,604</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320,064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Merger-related expenses (a)</w:t>
            </w:r>
          </w:p>
        </w:tc>
        <w:tc>
          <w:tcPr>
            <w:tcW w:w="14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top w:val="single" w:sz="8" w:color="CFF0FC"/>
              <w:bottom w:val="single" w:sz="8" w:color="CFF0FC"/>
            </w:tcBorders>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Diluted net operating earnings per common share</w:t>
            </w:r>
          </w:p>
        </w:tc>
        <w:tc>
          <w:tcPr>
            <w:tcW w:w="14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2.38</w:t>
            </w:r>
          </w:p>
        </w:tc>
        <w:tc>
          <w:tcPr>
            <w:tcW w:w="3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2.15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2.01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2.13</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2.07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1.87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expense</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750,635</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787,852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769,103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752,392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749,895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776,095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(8,113)</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(8,420)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(9,787)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(11,418)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(12,319)</w:t>
            </w: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Merger-related expenses</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(12,593)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(23,162)</w:t>
            </w:r>
          </w:p>
        </w:tc>
        <w:tc>
          <w:tcPr>
            <w:tcW w:w="0" w:type="dxa"/>
            <w:vAlign w:val="bottom"/>
          </w:tcPr>
          <w:p>
            <w:pPr>
              <w:spacing w:after="0"/>
              <w:rPr>
                <w:sz w:val="1"/>
                <w:szCs w:val="1"/>
                <w:color w:val="auto"/>
              </w:rPr>
            </w:pPr>
          </w:p>
        </w:tc>
      </w:tr>
      <w:tr>
        <w:trPr>
          <w:trHeight w:val="182"/>
        </w:trPr>
        <w:tc>
          <w:tcPr>
            <w:tcW w:w="4420" w:type="dxa"/>
            <w:vAlign w:val="bottom"/>
            <w:tcBorders>
              <w:bottom w:val="single" w:sz="8" w:color="CFF0FC"/>
            </w:tcBorders>
          </w:tcPr>
          <w:p>
            <w:pPr>
              <w:ind w:left="260"/>
              <w:spacing w:after="0" w:line="143" w:lineRule="exact"/>
              <w:rPr>
                <w:sz w:val="20"/>
                <w:szCs w:val="20"/>
                <w:color w:val="auto"/>
              </w:rPr>
            </w:pPr>
            <w:r>
              <w:rPr>
                <w:rFonts w:ascii="Times New Roman" w:cs="Times New Roman" w:eastAsia="Times New Roman" w:hAnsi="Times New Roman"/>
                <w:sz w:val="13"/>
                <w:szCs w:val="13"/>
                <w:color w:val="auto"/>
              </w:rPr>
              <w:t>Noninterest operating expense</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742,522</w:t>
            </w:r>
          </w:p>
        </w:tc>
        <w:tc>
          <w:tcPr>
            <w:tcW w:w="3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779,432</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760,014</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742,605</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725,884</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740,614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Merger-related expenses</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Equipment and net occupancy</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Outside data processing and software</w:t>
            </w:r>
          </w:p>
        </w:tc>
        <w:tc>
          <w:tcPr>
            <w:tcW w:w="14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Advertising and marketing</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Printing, postage and supplies</w:t>
            </w:r>
          </w:p>
        </w:tc>
        <w:tc>
          <w:tcPr>
            <w:tcW w:w="14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costs of operations</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20" w:type="dxa"/>
            <w:vAlign w:val="bottom"/>
            <w:tcBorders>
              <w:bottom w:val="single" w:sz="8" w:color="CFF0FC"/>
            </w:tcBorders>
          </w:tcPr>
          <w:p>
            <w:pPr>
              <w:ind w:left="260"/>
              <w:spacing w:after="0" w:line="143"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12,593</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23,162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Efficiency ratio</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Noninterest operating expense (numerator)</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742,522</w:t>
            </w:r>
          </w:p>
        </w:tc>
        <w:tc>
          <w:tcPr>
            <w:tcW w:w="3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779,432</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760,014</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742,605</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725,884</w:t>
            </w: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740,614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4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Taxable-equivalent net interest income</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946,936</w:t>
            </w: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922,259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883,147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865,065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870,341</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878,296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460,816</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446,845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465,459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491,350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Gain on bank investment securities</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28,480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20" w:type="dxa"/>
            <w:vAlign w:val="bottom"/>
            <w:tcBorders>
              <w:bottom w:val="single" w:sz="8" w:color="CFF0FC"/>
            </w:tcBorders>
          </w:tcPr>
          <w:p>
            <w:pPr>
              <w:spacing w:after="0" w:line="143" w:lineRule="exact"/>
              <w:rPr>
                <w:sz w:val="20"/>
                <w:szCs w:val="20"/>
                <w:color w:val="auto"/>
              </w:rPr>
            </w:pPr>
            <w:r>
              <w:rPr>
                <w:rFonts w:ascii="Times New Roman" w:cs="Times New Roman" w:eastAsia="Times New Roman" w:hAnsi="Times New Roman"/>
                <w:sz w:val="13"/>
                <w:szCs w:val="13"/>
                <w:color w:val="auto"/>
              </w:rPr>
              <w:t>Denominator</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1,407,769</w:t>
            </w:r>
          </w:p>
        </w:tc>
        <w:tc>
          <w:tcPr>
            <w:tcW w:w="3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1,369,104</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1,347,040</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1,327,935</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1,318,331</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1,299,225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Efficiency ratio</w:t>
            </w: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rPr>
              <w:t>52.74%</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56.93%</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56.42%</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55.92%</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55.06%</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57.00%</w:t>
            </w: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sheet data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Average assets</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Average assets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120,765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122,978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125,734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123,706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(4,593)</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(90)</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3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FF0FC"/>
            </w:tcBorders>
          </w:tcPr>
          <w:p>
            <w:pPr>
              <w:ind w:left="260"/>
              <w:spacing w:after="0" w:line="143" w:lineRule="exact"/>
              <w:rPr>
                <w:sz w:val="20"/>
                <w:szCs w:val="20"/>
                <w:color w:val="auto"/>
              </w:rPr>
            </w:pPr>
            <w:r>
              <w:rPr>
                <w:rFonts w:ascii="Times New Roman" w:cs="Times New Roman" w:eastAsia="Times New Roman" w:hAnsi="Times New Roman"/>
                <w:sz w:val="13"/>
                <w:szCs w:val="13"/>
                <w:color w:val="auto"/>
              </w:rPr>
              <w:t>Average tangible assets</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116,117</w:t>
            </w:r>
          </w:p>
        </w:tc>
        <w:tc>
          <w:tcPr>
            <w:tcW w:w="3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118,326</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121,079</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120,064</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119,039</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118,577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Average common equity</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Average total equity</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(1,232)</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(1,232)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(1,492)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(1,232)</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(1,232)</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2"/>
        </w:trPr>
        <w:tc>
          <w:tcPr>
            <w:tcW w:w="442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auto"/>
              </w:rPr>
              <w:t>Average common equity</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15,053</w:t>
            </w: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15,091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15,181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15,115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15,145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15,047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(4,593)</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(90)</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3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20" w:type="dxa"/>
            <w:vAlign w:val="bottom"/>
            <w:tcBorders>
              <w:bottom w:val="single" w:sz="8" w:color="CFF0FC"/>
            </w:tcBorders>
          </w:tcPr>
          <w:p>
            <w:pPr>
              <w:ind w:left="260"/>
              <w:spacing w:after="0" w:line="143" w:lineRule="exact"/>
              <w:rPr>
                <w:sz w:val="20"/>
                <w:szCs w:val="20"/>
                <w:color w:val="auto"/>
              </w:rPr>
            </w:pPr>
            <w:r>
              <w:rPr>
                <w:rFonts w:ascii="Times New Roman" w:cs="Times New Roman" w:eastAsia="Times New Roman" w:hAnsi="Times New Roman"/>
                <w:sz w:val="13"/>
                <w:szCs w:val="13"/>
                <w:color w:val="auto"/>
              </w:rPr>
              <w:t>Average tangible common equity</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10,405</w:t>
            </w:r>
          </w:p>
        </w:tc>
        <w:tc>
          <w:tcPr>
            <w:tcW w:w="3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10,439</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10,526</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10,454</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10,478</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10,372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At end of quarter</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120,897</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123,223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123,449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126,841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123,821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(4,593)</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(86)</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(117)</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49"/>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3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FF0FC"/>
            </w:tcBorders>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Total tangible assets</w:t>
            </w:r>
          </w:p>
        </w:tc>
        <w:tc>
          <w:tcPr>
            <w:tcW w:w="14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116,251</w:t>
            </w:r>
          </w:p>
        </w:tc>
        <w:tc>
          <w:tcPr>
            <w:tcW w:w="3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118,573</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118,797</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122,183</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119,157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119,955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common equity</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16,284</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16,213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16,487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16,341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16,472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(1,232)</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(1,232)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(1,232)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(1,232)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Undeclared dividends - cumulative preferred stock</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CFF0FC"/>
            </w:tcBorders>
          </w:tcPr>
          <w:p>
            <w:pPr>
              <w:ind w:left="260"/>
              <w:spacing w:after="0" w:line="143" w:lineRule="exact"/>
              <w:rPr>
                <w:sz w:val="20"/>
                <w:szCs w:val="20"/>
                <w:color w:val="auto"/>
              </w:rPr>
            </w:pPr>
            <w:r>
              <w:rPr>
                <w:rFonts w:ascii="Times New Roman" w:cs="Times New Roman" w:eastAsia="Times New Roman" w:hAnsi="Times New Roman"/>
                <w:sz w:val="13"/>
                <w:szCs w:val="13"/>
                <w:color w:val="auto"/>
              </w:rPr>
              <w:t>Common equity, net of undeclared cumulative preferred dividends</w:t>
            </w: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15,049</w:t>
            </w:r>
          </w:p>
        </w:tc>
        <w:tc>
          <w:tcPr>
            <w:tcW w:w="38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14,978</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15,252</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15,106</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15,237</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15,120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(4,593)</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(4,593)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(4,593)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(4,593)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(4,593)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(4,593)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(86)</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3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auto"/>
              </w:rPr>
              <w:t>Total tangible common equity</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10,403</w:t>
            </w:r>
          </w:p>
        </w:tc>
        <w:tc>
          <w:tcPr>
            <w:tcW w:w="3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10,328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10,600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10,448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10,573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10,449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4"/>
          <w:szCs w:val="14"/>
          <w:i w:val="1"/>
          <w:iCs w:val="1"/>
          <w:color w:val="auto"/>
        </w:rPr>
        <w:t>a)</w:t>
      </w:r>
      <w:r>
        <w:rPr>
          <w:sz w:val="20"/>
          <w:szCs w:val="20"/>
          <w:color w:val="auto"/>
        </w:rPr>
        <w:tab/>
      </w:r>
      <w:r>
        <w:rPr>
          <w:rFonts w:ascii="Times New Roman" w:cs="Times New Roman" w:eastAsia="Times New Roman" w:hAnsi="Times New Roman"/>
          <w:sz w:val="14"/>
          <w:szCs w:val="14"/>
          <w:i w:val="1"/>
          <w:iCs w:val="1"/>
          <w:color w:val="auto"/>
        </w:rPr>
        <w:t>After any related tax effect.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3</w:t>
            </w:r>
          </w:p>
        </w:tc>
        <w:tc>
          <w:tcPr>
            <w:tcW w:w="0" w:type="dxa"/>
            <w:vAlign w:val="bottom"/>
          </w:tcPr>
          <w:p>
            <w:pPr>
              <w:spacing w:after="0"/>
              <w:rPr>
                <w:sz w:val="1"/>
                <w:szCs w:val="1"/>
                <w:color w:val="auto"/>
              </w:rPr>
            </w:pPr>
          </w:p>
        </w:tc>
      </w:tr>
      <w:tr>
        <w:trPr>
          <w:trHeight w:val="338"/>
        </w:trPr>
        <w:tc>
          <w:tcPr>
            <w:tcW w:w="7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5"/>
          </w:tcPr>
          <w:p>
            <w:pPr>
              <w:jc w:val="center"/>
              <w:ind w:left="460"/>
              <w:spacing w:after="0"/>
              <w:rPr>
                <w:sz w:val="20"/>
                <w:szCs w:val="20"/>
                <w:color w:val="auto"/>
              </w:rPr>
            </w:pPr>
            <w:r>
              <w:rPr>
                <w:rFonts w:ascii="Times New Roman" w:cs="Times New Roman" w:eastAsia="Times New Roman" w:hAnsi="Times New Roman"/>
                <w:sz w:val="14"/>
                <w:szCs w:val="14"/>
                <w:color w:val="auto"/>
              </w:rPr>
              <w:t>2017 Second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2017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5"/>
          </w:tcPr>
          <w:p>
            <w:pPr>
              <w:jc w:val="center"/>
              <w:ind w:left="480"/>
              <w:spacing w:after="0"/>
              <w:rPr>
                <w:sz w:val="20"/>
                <w:szCs w:val="20"/>
                <w:color w:val="auto"/>
              </w:rPr>
            </w:pPr>
            <w:r>
              <w:rPr>
                <w:rFonts w:ascii="Times New Roman" w:cs="Times New Roman" w:eastAsia="Times New Roman" w:hAnsi="Times New Roman"/>
                <w:sz w:val="14"/>
                <w:szCs w:val="14"/>
                <w:color w:val="auto"/>
              </w:rPr>
              <w:t>2016 Fourth Quarter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300" w:type="dxa"/>
            <w:vAlign w:val="bottom"/>
          </w:tcPr>
          <w:p>
            <w:pPr>
              <w:spacing w:after="0"/>
              <w:rPr>
                <w:sz w:val="12"/>
                <w:szCs w:val="12"/>
                <w:color w:val="auto"/>
              </w:rPr>
            </w:pPr>
          </w:p>
        </w:tc>
        <w:tc>
          <w:tcPr>
            <w:tcW w:w="660" w:type="dxa"/>
            <w:vAlign w:val="bottom"/>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30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Interest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color w:val="auto"/>
              </w:rPr>
              <w:t>Rate</w:t>
            </w:r>
          </w:p>
        </w:tc>
        <w:tc>
          <w:tcPr>
            <w:tcW w:w="30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4"/>
                <w:szCs w:val="14"/>
                <w:color w:val="auto"/>
              </w:rPr>
              <w:t>Balance</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color w:val="auto"/>
              </w:rPr>
              <w:t>Rate</w:t>
            </w:r>
          </w:p>
        </w:tc>
        <w:tc>
          <w:tcPr>
            <w:tcW w:w="3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Balance</w:t>
            </w:r>
          </w:p>
        </w:tc>
        <w:tc>
          <w:tcPr>
            <w:tcW w:w="900" w:type="dxa"/>
            <w:vAlign w:val="bottom"/>
            <w:gridSpan w:val="3"/>
            <w:vMerge w:val="continue"/>
          </w:tcPr>
          <w:p>
            <w:pPr>
              <w:spacing w:after="0"/>
              <w:rPr>
                <w:sz w:val="14"/>
                <w:szCs w:val="14"/>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4"/>
                <w:szCs w:val="14"/>
                <w:color w:val="auto"/>
              </w:rPr>
              <w:t>Rate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Average balance in millions; interest in thousands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discount*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Commercial, financial, etc.</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213,840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201,126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191,228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 estate - commercial</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361,313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347,010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336,597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Real estate - consumer</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210,152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22,179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217,263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23,096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223,758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Consumer</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140,170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89,268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932,902</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89,797</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905,569</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89,977</w:t>
            </w: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889,727</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87,171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88,573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Obligations of states and political</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subdivisions</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15,913</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93,791</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15,999</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95,973</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88,366</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2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109,987</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1,039,149</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112,008</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1,014,032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114,254</w:t>
            </w:r>
          </w:p>
        </w:tc>
        <w:tc>
          <w:tcPr>
            <w:tcW w:w="22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990,284</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2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120,765</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122,978</w:t>
            </w:r>
          </w:p>
        </w:tc>
        <w:tc>
          <w:tcPr>
            <w:tcW w:w="2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125,734</w:t>
            </w:r>
          </w:p>
        </w:tc>
        <w:tc>
          <w:tcPr>
            <w:tcW w:w="220" w:type="dxa"/>
            <w:vAlign w:val="bottom"/>
            <w:tcBorders>
              <w:bottom w:val="single" w:sz="8" w:color="CFF0FC"/>
            </w:tcBorders>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Savings and interest-checking</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deposits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16,303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23,766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62,333</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47,127</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63,013</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44,897</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65,197</w:t>
            </w: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50,783</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44,708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56,203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2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70,837</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92,213</w:t>
            </w:r>
          </w:p>
        </w:tc>
        <w:tc>
          <w:tcPr>
            <w:tcW w:w="22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0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71,620</w:t>
            </w:r>
          </w:p>
        </w:tc>
        <w:tc>
          <w:tcPr>
            <w:tcW w:w="200" w:type="dxa"/>
            <w:vAlign w:val="bottom"/>
            <w:tcBorders>
              <w:bottom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91,773</w:t>
            </w:r>
          </w:p>
        </w:tc>
        <w:tc>
          <w:tcPr>
            <w:tcW w:w="22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00" w:type="dxa"/>
            <w:vAlign w:val="bottom"/>
            <w:tcBorders>
              <w:bottom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75,298</w:t>
            </w:r>
          </w:p>
        </w:tc>
        <w:tc>
          <w:tcPr>
            <w:tcW w:w="220" w:type="dxa"/>
            <w:vAlign w:val="bottom"/>
            <w:tcBorders>
              <w:bottom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107,137</w:t>
            </w:r>
          </w:p>
        </w:tc>
        <w:tc>
          <w:tcPr>
            <w:tcW w:w="220" w:type="dxa"/>
            <w:vAlign w:val="bottom"/>
            <w:tcBorders>
              <w:bottom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33,287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31,717</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104,480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106,655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109,061</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16,323</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16,673</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2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 and</w:t>
            </w: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shareholders’ equity</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120,765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122,978</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125,734</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interest income/margin on</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earning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946,936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922,259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883,147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Table 3 (continued)</w:t>
            </w:r>
          </w:p>
        </w:tc>
        <w:tc>
          <w:tcPr>
            <w:tcW w:w="0" w:type="dxa"/>
            <w:vAlign w:val="bottom"/>
          </w:tcPr>
          <w:p>
            <w:pPr>
              <w:spacing w:after="0"/>
              <w:rPr>
                <w:sz w:val="1"/>
                <w:szCs w:val="1"/>
                <w:color w:val="auto"/>
              </w:rPr>
            </w:pPr>
          </w:p>
        </w:tc>
      </w:tr>
      <w:tr>
        <w:trPr>
          <w:trHeight w:val="338"/>
        </w:trPr>
        <w:tc>
          <w:tcPr>
            <w:tcW w:w="902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 (continued)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Average</w:t>
            </w: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2016 Third Quarter</w:t>
            </w:r>
          </w:p>
        </w:tc>
        <w:tc>
          <w:tcPr>
            <w:tcW w:w="7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Average</w:t>
            </w:r>
          </w:p>
        </w:tc>
        <w:tc>
          <w:tcPr>
            <w:tcW w:w="32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Average</w:t>
            </w:r>
          </w:p>
        </w:tc>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2016 Second Quarter</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9"/>
              </w:rPr>
              <w:t>Interest</w:t>
            </w: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Interest</w:t>
            </w:r>
          </w:p>
        </w:tc>
        <w:tc>
          <w:tcPr>
            <w:tcW w:w="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color w:val="auto"/>
              </w:rPr>
              <w:t>Rate</w:t>
            </w:r>
          </w:p>
        </w:tc>
        <w:tc>
          <w:tcPr>
            <w:tcW w:w="32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Balance</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4"/>
                <w:szCs w:val="14"/>
                <w:color w:val="auto"/>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0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Commercial, financial, etc.</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185,552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21,450</w:t>
            </w:r>
          </w:p>
        </w:tc>
        <w:tc>
          <w:tcPr>
            <w:tcW w:w="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184,803</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 estate - commercial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319,694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30,134</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311,490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Real estate - consumer</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24,058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235,813</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24,858</w:t>
            </w:r>
          </w:p>
        </w:tc>
        <w:tc>
          <w:tcPr>
            <w:tcW w:w="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244,806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136,592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132,437</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88,732</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877,651</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88,155</w:t>
            </w: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873,536</w:t>
            </w: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84,019</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14,361</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85,892</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14,914</w:t>
            </w: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92,250</w:t>
            </w: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112,864</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976,240</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111,872</w:t>
            </w: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977,143</w:t>
            </w:r>
          </w:p>
        </w:tc>
        <w:tc>
          <w:tcPr>
            <w:tcW w:w="3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124,725</w:t>
            </w: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123,706</w:t>
            </w: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51,847</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20,534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27,886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65,070</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52,157</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64,784</w:t>
            </w: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47,582</w:t>
            </w: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58,849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58,077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75,588</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111,175</w:t>
            </w:r>
          </w:p>
        </w:tc>
        <w:tc>
          <w:tcPr>
            <w:tcW w:w="32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2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76,159</w:t>
            </w: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106,802</w:t>
            </w:r>
          </w:p>
        </w:tc>
        <w:tc>
          <w:tcPr>
            <w:tcW w:w="30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29,249</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108,378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107,329</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124,725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123,706</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interest income/margin on earning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865,065</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870,341</w:t>
            </w:r>
          </w:p>
        </w:tc>
        <w:tc>
          <w:tcPr>
            <w:tcW w:w="3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8" w:name="page89"/>
    <w:bookmarkEnd w:id="88"/>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p>
    <w:p>
      <w:pPr>
        <w:spacing w:after="0" w:line="110"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4.Controls and Procedures.</w:t>
      </w:r>
    </w:p>
    <w:p>
      <w:pPr>
        <w:spacing w:after="0" w:line="110" w:lineRule="exact"/>
        <w:rPr>
          <w:sz w:val="20"/>
          <w:szCs w:val="20"/>
          <w:color w:val="auto"/>
        </w:rPr>
      </w:pPr>
    </w:p>
    <w:p>
      <w:pPr>
        <w:jc w:val="both"/>
        <w:ind w:firstLine="526"/>
        <w:spacing w:after="0" w:line="251" w:lineRule="auto"/>
        <w:tabs>
          <w:tab w:leader="none" w:pos="8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Darren J. King, Executive Vice President and Chief Financial Officer, concluded that M&amp;T’s disclosure controls and procedures were effective as of June 30, 2017.</w:t>
      </w:r>
    </w:p>
    <w:p>
      <w:pPr>
        <w:spacing w:after="0" w:line="70" w:lineRule="exact"/>
        <w:rPr>
          <w:rFonts w:ascii="Times New Roman" w:cs="Times New Roman" w:eastAsia="Times New Roman" w:hAnsi="Times New Roman"/>
          <w:sz w:val="21"/>
          <w:szCs w:val="21"/>
          <w:color w:val="auto"/>
        </w:rPr>
      </w:pPr>
    </w:p>
    <w:p>
      <w:pPr>
        <w:jc w:val="both"/>
        <w:ind w:firstLine="526"/>
        <w:spacing w:after="0" w:line="248" w:lineRule="auto"/>
        <w:tabs>
          <w:tab w:leader="none" w:pos="81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2017 that have materially affected, or are reasonably likely to materially affect, M&amp;T’s internal control over financial reporting.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1.</w:t>
      </w:r>
      <w:r>
        <w:rPr>
          <w:sz w:val="20"/>
          <w:szCs w:val="20"/>
          <w:color w:val="auto"/>
        </w:rPr>
        <w:tab/>
      </w:r>
      <w:r>
        <w:rPr>
          <w:rFonts w:ascii="Times New Roman" w:cs="Times New Roman" w:eastAsia="Times New Roman" w:hAnsi="Times New Roman"/>
          <w:sz w:val="20"/>
          <w:szCs w:val="20"/>
          <w:color w:val="auto"/>
        </w:rPr>
        <w:t>Legal Proceedings.</w:t>
      </w:r>
    </w:p>
    <w:p>
      <w:pPr>
        <w:spacing w:after="0" w:line="110" w:lineRule="exact"/>
        <w:rPr>
          <w:sz w:val="20"/>
          <w:szCs w:val="20"/>
          <w:color w:val="auto"/>
        </w:rPr>
      </w:pPr>
    </w:p>
    <w:p>
      <w:pPr>
        <w:jc w:val="both"/>
        <w:ind w:firstLine="761"/>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Wilmington Trust Corporation Investigative and Litigation Matters</w:t>
      </w:r>
    </w:p>
    <w:p>
      <w:pPr>
        <w:spacing w:after="0" w:line="11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1"/>
          <w:szCs w:val="21"/>
          <w:color w:val="auto"/>
        </w:rPr>
        <w:t>M&amp;T’s Wilmington Trust Corporation subsidiary is the subject of certain governmental investigations arising from actions undertaken by Wilmington Trust Corporation prior to M&amp;T’s acquisition of Wilmington Trust Corporation and its subsidiaries, as set forth below.</w:t>
      </w:r>
    </w:p>
    <w:p>
      <w:pPr>
        <w:spacing w:after="0" w:line="306"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DOJ Investigation (United States v. Wilmington Trust Corp., et al, District of Delaware, Crim. No. 15-23-RGA): </w:t>
      </w:r>
      <w:r>
        <w:rPr>
          <w:rFonts w:ascii="Times New Roman" w:cs="Times New Roman" w:eastAsia="Times New Roman" w:hAnsi="Times New Roman"/>
          <w:sz w:val="21"/>
          <w:szCs w:val="21"/>
          <w:color w:val="auto"/>
        </w:rPr>
        <w:t>Prior to M&amp;T’s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acquisition of 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 May 2011. M&amp;T strongly believes that this unprecedented action is unjustified and Wilmington Trust Corporation will vigorously defend itself. On August 26, 2016, the Court granted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9" w:name="page90"/>
    <w:bookmarkEnd w:id="89"/>
    <w:p>
      <w:pPr>
        <w:jc w:val="both"/>
        <w:spacing w:after="0" w:line="270" w:lineRule="auto"/>
        <w:rPr>
          <w:sz w:val="20"/>
          <w:szCs w:val="20"/>
          <w:color w:val="auto"/>
        </w:rPr>
      </w:pPr>
      <w:r>
        <w:rPr>
          <w:rFonts w:ascii="Times New Roman" w:cs="Times New Roman" w:eastAsia="Times New Roman" w:hAnsi="Times New Roman"/>
          <w:sz w:val="21"/>
          <w:szCs w:val="21"/>
          <w:color w:val="auto"/>
        </w:rPr>
        <w:t>defendants joint motion for a continuance of the trial date. Trial in this matter is now scheduled to begin on October 2, 2017. Wilmington Trust Corporation and its counsel are currently involved in pretrial discovery, motion practice and trial preparation.</w:t>
      </w:r>
    </w:p>
    <w:p>
      <w:pPr>
        <w:spacing w:after="0" w:line="186"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The indictment of Wilmington Trust Corporation could result in potential criminal remedies, or criminal or non-criminal resolutions or settlements, including, among other things, enforcement actions, potential statutory or regulatory restrictions on the ability to conduct certain businesses (for which waivers may or may not be available), fines, penalties, restitution, reputational damage or additional costs and expenses.</w:t>
      </w:r>
    </w:p>
    <w:p>
      <w:pPr>
        <w:spacing w:after="0" w:line="203" w:lineRule="exact"/>
        <w:rPr>
          <w:sz w:val="20"/>
          <w:szCs w:val="20"/>
          <w:color w:val="auto"/>
        </w:rPr>
      </w:pPr>
    </w:p>
    <w:p>
      <w:pPr>
        <w:jc w:val="both"/>
        <w:ind w:firstLine="51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In Re Wilmington Trust Securities Litigation (U.S. District Court, District of Delaware, Case No. 10-CV-0990-SLR): </w:t>
      </w:r>
      <w:r>
        <w:rPr>
          <w:rFonts w:ascii="Times New Roman" w:cs="Times New Roman" w:eastAsia="Times New Roman" w:hAnsi="Times New Roman"/>
          <w:sz w:val="20"/>
          <w:szCs w:val="20"/>
          <w:color w:val="auto"/>
        </w:rPr>
        <w:t>Beginning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November 18, 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and Wilmington Trust Corporation moved to dismiss. The Court issued an order denying Wilmington Trust Corporation’s motion to dismiss on March 20, 2014. Fact discovery commenced. On April 13, 2016, the Court issued an order staying fact discovery in the case pending completion of the trial in </w:t>
      </w:r>
      <w:r>
        <w:rPr>
          <w:rFonts w:ascii="Times New Roman" w:cs="Times New Roman" w:eastAsia="Times New Roman" w:hAnsi="Times New Roman"/>
          <w:sz w:val="20"/>
          <w:szCs w:val="20"/>
          <w:i w:val="1"/>
          <w:iCs w:val="1"/>
          <w:color w:val="auto"/>
        </w:rPr>
        <w:t>U.S. v. Wilmington Trust Corp., et al.</w:t>
      </w:r>
      <w:r>
        <w:rPr>
          <w:rFonts w:ascii="Times New Roman" w:cs="Times New Roman" w:eastAsia="Times New Roman" w:hAnsi="Times New Roman"/>
          <w:sz w:val="20"/>
          <w:szCs w:val="20"/>
          <w:color w:val="auto"/>
        </w:rPr>
        <w:t xml:space="preserve"> On September 19, 2016, the plaintiffs filed a motion to modify the stay of discovery in this matter to allow for additional, limited discovery. On December 19, 2016, the Court issued an order lifting the existing stay in its entirety. Trial is scheduled to begin on June 18, 2018.</w:t>
      </w:r>
    </w:p>
    <w:p>
      <w:pPr>
        <w:spacing w:after="0" w:line="197"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1"/>
          <w:szCs w:val="21"/>
          <w:color w:val="auto"/>
        </w:rPr>
        <w:t>Due to their complex nature, it is difficult to estimate when litigation and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0" w:name="page91"/>
    <w:bookmarkEnd w:id="90"/>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1A.</w:t>
      </w:r>
      <w:r>
        <w:rPr>
          <w:sz w:val="20"/>
          <w:szCs w:val="20"/>
          <w:color w:val="auto"/>
        </w:rPr>
        <w:tab/>
      </w:r>
      <w:r>
        <w:rPr>
          <w:rFonts w:ascii="Times New Roman" w:cs="Times New Roman" w:eastAsia="Times New Roman" w:hAnsi="Times New Roman"/>
          <w:sz w:val="20"/>
          <w:szCs w:val="20"/>
          <w:color w:val="auto"/>
        </w:rPr>
        <w:t>Risk Factors.</w:t>
      </w:r>
    </w:p>
    <w:p>
      <w:pPr>
        <w:spacing w:after="0" w:line="110"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M&amp;T to those disclosed in response to Item 1A. to Part I of Form 10-K for the year ended December 31, 2016.</w:t>
      </w:r>
    </w:p>
    <w:p>
      <w:pPr>
        <w:spacing w:after="0" w:line="18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Unregistered Sales of Equity Securities and Use of Proceeds.</w:t>
      </w:r>
    </w:p>
    <w:p>
      <w:pPr>
        <w:spacing w:after="0" w:line="110" w:lineRule="exact"/>
        <w:rPr>
          <w:sz w:val="20"/>
          <w:szCs w:val="20"/>
          <w:color w:val="auto"/>
        </w:rPr>
      </w:pPr>
    </w:p>
    <w:p>
      <w:pPr>
        <w:ind w:left="800" w:hanging="274"/>
        <w:spacing w:after="0"/>
        <w:tabs>
          <w:tab w:leader="none" w:pos="8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(b) Not applicable.</w:t>
      </w:r>
    </w:p>
    <w:p>
      <w:pPr>
        <w:spacing w:after="0" w:line="109" w:lineRule="exact"/>
        <w:rPr>
          <w:rFonts w:ascii="Times New Roman" w:cs="Times New Roman" w:eastAsia="Times New Roman" w:hAnsi="Times New Roman"/>
          <w:sz w:val="21"/>
          <w:szCs w:val="21"/>
          <w:color w:val="auto"/>
        </w:rPr>
      </w:pPr>
    </w:p>
    <w:p>
      <w:pPr>
        <w:spacing w:after="0"/>
        <w:tabs>
          <w:tab w:leader="none" w:pos="0" w:val="left"/>
        </w:tabs>
        <w:numPr>
          <w:ilvl w:val="0"/>
          <w:numId w:val="33"/>
        </w:numPr>
        <w:rPr>
          <w:rFonts w:ascii="Times New Roman" w:cs="Times New Roman" w:eastAsia="Times New Roman" w:hAnsi="Times New Roman"/>
          <w:sz w:val="21"/>
          <w:szCs w:val="21"/>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7"/>
              </w:rPr>
              <w:t>(c)Total</w:t>
            </w: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(or Units)</w:t>
            </w: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(a)Total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(b)Average</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2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Publicly</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2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Under the</w:t>
            </w:r>
          </w:p>
        </w:tc>
        <w:tc>
          <w:tcPr>
            <w:tcW w:w="0" w:type="dxa"/>
            <w:vAlign w:val="bottom"/>
          </w:tcPr>
          <w:p>
            <w:pPr>
              <w:spacing w:after="0"/>
              <w:rPr>
                <w:sz w:val="1"/>
                <w:szCs w:val="1"/>
                <w:color w:val="auto"/>
              </w:rPr>
            </w:pPr>
          </w:p>
        </w:tc>
      </w:tr>
      <w:tr>
        <w:trPr>
          <w:trHeight w:val="149"/>
        </w:trPr>
        <w:tc>
          <w:tcPr>
            <w:tcW w:w="4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Units)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per Share</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Plans or</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Plans or</w:t>
            </w:r>
          </w:p>
        </w:tc>
        <w:tc>
          <w:tcPr>
            <w:tcW w:w="0" w:type="dxa"/>
            <w:vAlign w:val="bottom"/>
          </w:tcPr>
          <w:p>
            <w:pPr>
              <w:spacing w:after="0"/>
              <w:rPr>
                <w:sz w:val="1"/>
                <w:szCs w:val="1"/>
                <w:color w:val="auto"/>
              </w:rPr>
            </w:pPr>
          </w:p>
        </w:tc>
      </w:tr>
      <w:tr>
        <w:trPr>
          <w:trHeight w:val="165"/>
        </w:trPr>
        <w:tc>
          <w:tcPr>
            <w:tcW w:w="4820" w:type="dxa"/>
            <w:vAlign w:val="bottom"/>
            <w:gridSpan w:val="4"/>
            <w:vMerge w:val="continue"/>
          </w:tcPr>
          <w:p>
            <w:pPr>
              <w:spacing w:after="0"/>
              <w:rPr>
                <w:sz w:val="14"/>
                <w:szCs w:val="14"/>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Purchased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color w:val="auto"/>
              </w:rPr>
              <w:t>(or Unit)</w:t>
            </w:r>
          </w:p>
        </w:tc>
        <w:tc>
          <w:tcPr>
            <w:tcW w:w="11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color w:val="auto"/>
              </w:rPr>
              <w:t>Programs</w:t>
            </w:r>
          </w:p>
        </w:tc>
        <w:tc>
          <w:tcPr>
            <w:tcW w:w="11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rPr>
              <w:t>Programs (2)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1 - April 30, 2017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2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$ 230,593,000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1 - May 31, 2017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1,405,168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1,404,834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June 1 - June 30, 2017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1,412,272</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1,409,807</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520" w:hanging="512"/>
        <w:spacing w:after="0" w:line="256" w:lineRule="auto"/>
        <w:tabs>
          <w:tab w:leader="none" w:pos="52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July 19, 2016, M&amp;T announced a program to purchase up to $1.15 billion of its common stock through June 30, 2017.</w:t>
      </w:r>
    </w:p>
    <w:p>
      <w:pPr>
        <w:spacing w:after="0" w:line="395" w:lineRule="exact"/>
        <w:rPr>
          <w:sz w:val="20"/>
          <w:szCs w:val="20"/>
          <w:color w:val="auto"/>
        </w:rPr>
      </w:pPr>
    </w:p>
    <w:p>
      <w:pPr>
        <w:jc w:val="both"/>
        <w:ind w:firstLine="571"/>
        <w:spacing w:after="0" w:line="248" w:lineRule="auto"/>
        <w:rPr>
          <w:sz w:val="20"/>
          <w:szCs w:val="20"/>
          <w:color w:val="auto"/>
        </w:rPr>
      </w:pPr>
      <w:r>
        <w:rPr>
          <w:rFonts w:ascii="Times New Roman" w:cs="Times New Roman" w:eastAsia="Times New Roman" w:hAnsi="Times New Roman"/>
          <w:sz w:val="21"/>
          <w:szCs w:val="21"/>
          <w:color w:val="auto"/>
        </w:rPr>
        <w:t>On June 28, 2017, M&amp;T announced that it had received a non-objection from the Federal Reserve to M&amp;T’s 2017 Capital Plan and its proposed capital actions for the four-quarter period starting on July 1, 2017, which includes the repurchase of up to $900 million of common shares. On July 18, 2017, M&amp;T’s Board of Directors authorized a new stock repurchase program to repurchase up to $900 million of shares of its common stock following all applicable regulatory limitations including those set forth in M&amp;T’s 2017 Capital Plan.</w:t>
      </w:r>
    </w:p>
    <w:p>
      <w:pPr>
        <w:spacing w:after="0" w:line="200" w:lineRule="exact"/>
        <w:rPr>
          <w:sz w:val="20"/>
          <w:szCs w:val="20"/>
          <w:color w:val="auto"/>
        </w:rPr>
      </w:pPr>
    </w:p>
    <w:p>
      <w:pPr>
        <w:spacing w:after="0" w:line="2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5.</w:t>
      </w:r>
      <w:r>
        <w:rPr>
          <w:sz w:val="20"/>
          <w:szCs w:val="20"/>
          <w:color w:val="auto"/>
        </w:rPr>
        <w:tab/>
      </w:r>
      <w:r>
        <w:rPr>
          <w:rFonts w:ascii="Times New Roman" w:cs="Times New Roman" w:eastAsia="Times New Roman" w:hAnsi="Times New Roman"/>
          <w:sz w:val="20"/>
          <w:szCs w:val="20"/>
          <w:color w:val="auto"/>
        </w:rPr>
        <w:t>Other Information.</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Item 6.</w:t>
            </w:r>
          </w:p>
        </w:tc>
        <w:tc>
          <w:tcPr>
            <w:tcW w:w="10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Exhibits.</w:t>
            </w:r>
          </w:p>
        </w:tc>
      </w:tr>
      <w:tr>
        <w:trPr>
          <w:trHeight w:val="351"/>
        </w:trPr>
        <w:tc>
          <w:tcPr>
            <w:tcW w:w="1142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tc>
      </w:tr>
      <w:tr>
        <w:trPr>
          <w:trHeight w:val="432"/>
        </w:trPr>
        <w:tc>
          <w:tcPr>
            <w:tcW w:w="9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Exhibit</w:t>
            </w:r>
          </w:p>
        </w:tc>
        <w:tc>
          <w:tcPr>
            <w:tcW w:w="10460" w:type="dxa"/>
            <w:vAlign w:val="bottom"/>
          </w:tcPr>
          <w:p>
            <w:pPr>
              <w:spacing w:after="0"/>
              <w:rPr>
                <w:sz w:val="24"/>
                <w:szCs w:val="24"/>
                <w:color w:val="auto"/>
              </w:rPr>
            </w:pPr>
          </w:p>
        </w:tc>
      </w:tr>
      <w:tr>
        <w:trPr>
          <w:trHeight w:val="262"/>
        </w:trPr>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1"/>
                <w:szCs w:val="21"/>
                <w:color w:val="auto"/>
              </w:rPr>
              <w:t>No.</w:t>
            </w:r>
          </w:p>
        </w:tc>
        <w:tc>
          <w:tcPr>
            <w:tcW w:w="10460" w:type="dxa"/>
            <w:vAlign w:val="bottom"/>
          </w:tcPr>
          <w:p>
            <w:pPr>
              <w:spacing w:after="0"/>
              <w:rPr>
                <w:sz w:val="22"/>
                <w:szCs w:val="22"/>
                <w:color w:val="auto"/>
              </w:rPr>
            </w:pPr>
          </w:p>
        </w:tc>
      </w:tr>
      <w:tr>
        <w:trPr>
          <w:trHeight w:val="731"/>
        </w:trPr>
        <w:tc>
          <w:tcPr>
            <w:tcW w:w="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31.1</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Certification of Chief Executive Officer under Section 302 of the Sarbanes-Oxley Act of 2002. Filed herewith.</w:t>
            </w:r>
          </w:p>
        </w:tc>
      </w:tr>
      <w:tr>
        <w:trPr>
          <w:trHeight w:val="486"/>
        </w:trPr>
        <w:tc>
          <w:tcPr>
            <w:tcW w:w="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31.2</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Certification of Chief Financial Officer under Section 302 of the Sarbanes-Oxley Act of 2002. Filed herewith.</w:t>
            </w:r>
          </w:p>
        </w:tc>
      </w:tr>
      <w:tr>
        <w:trPr>
          <w:trHeight w:val="459"/>
        </w:trPr>
        <w:tc>
          <w:tcPr>
            <w:tcW w:w="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32.1</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 pursuant to Section 906 of the Sarbanes-Oxley Act of</w:t>
            </w:r>
          </w:p>
        </w:tc>
      </w:tr>
      <w:tr>
        <w:trPr>
          <w:trHeight w:val="270"/>
        </w:trPr>
        <w:tc>
          <w:tcPr>
            <w:tcW w:w="96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2002. Filed herewith.</w:t>
            </w:r>
          </w:p>
        </w:tc>
      </w:tr>
      <w:tr>
        <w:trPr>
          <w:trHeight w:val="459"/>
        </w:trPr>
        <w:tc>
          <w:tcPr>
            <w:tcW w:w="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32.2</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8"/>
              </w:rPr>
              <w:t>Certification of Chief Financial Officer under 18 U.S.C. §1350 pursuant to Section 906 of the Sarbanes-Oxley Act of 2002.</w:t>
            </w:r>
          </w:p>
        </w:tc>
      </w:tr>
      <w:tr>
        <w:trPr>
          <w:trHeight w:val="270"/>
        </w:trPr>
        <w:tc>
          <w:tcPr>
            <w:tcW w:w="96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Instance Document.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101.SCH</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Schema.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101.CAL</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Calculation Linkbase.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101.LAB</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Label Linkbase.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101.PRE</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Presentation Linkbase.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101.DEF</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Definition Linkbase.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241" w:lineRule="exact"/>
        <w:rPr>
          <w:sz w:val="20"/>
          <w:szCs w:val="20"/>
          <w:color w:val="auto"/>
        </w:rPr>
      </w:pPr>
    </w:p>
    <w:p>
      <w:pPr>
        <w:spacing w:after="0"/>
        <w:tabs>
          <w:tab w:leader="none" w:pos="6680" w:val="left"/>
          <w:tab w:leader="none" w:pos="7140" w:val="left"/>
        </w:tabs>
        <w:rPr>
          <w:sz w:val="20"/>
          <w:szCs w:val="20"/>
          <w:color w:val="auto"/>
        </w:rPr>
      </w:pPr>
      <w:r>
        <w:rPr>
          <w:rFonts w:ascii="Times New Roman" w:cs="Times New Roman" w:eastAsia="Times New Roman" w:hAnsi="Times New Roman"/>
          <w:sz w:val="20"/>
          <w:szCs w:val="20"/>
          <w:color w:val="auto"/>
        </w:rPr>
        <w:t>Date: August 7, 2017</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Michael R.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13970</wp:posOffset>
            </wp:positionV>
            <wp:extent cx="27012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20"/>
          <w:szCs w:val="20"/>
          <w:color w:val="auto"/>
        </w:rPr>
        <w:t>Michael R. Spychala</w:t>
      </w:r>
    </w:p>
    <w:p>
      <w:pPr>
        <w:spacing w:after="0" w:line="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20"/>
          <w:szCs w:val="20"/>
          <w:color w:val="auto"/>
        </w:rPr>
        <w:t>Senior Vice President</w:t>
      </w:r>
    </w:p>
    <w:p>
      <w:pPr>
        <w:ind w:left="7160"/>
        <w:spacing w:after="0"/>
        <w:rPr>
          <w:sz w:val="20"/>
          <w:szCs w:val="20"/>
          <w:color w:val="auto"/>
        </w:rPr>
      </w:pPr>
      <w:r>
        <w:rPr>
          <w:rFonts w:ascii="Times New Roman" w:cs="Times New Roman" w:eastAsia="Times New Roman" w:hAnsi="Times New Roman"/>
          <w:sz w:val="20"/>
          <w:szCs w:val="20"/>
          <w:color w:val="auto"/>
        </w:rPr>
        <w:t>and Controller</w:t>
      </w:r>
    </w:p>
    <w:p>
      <w:pPr>
        <w:ind w:left="716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70"/>
        </w:trPr>
        <w:tc>
          <w:tcPr>
            <w:tcW w:w="940" w:type="dxa"/>
            <w:vAlign w:val="bottom"/>
          </w:tcPr>
          <w:p>
            <w:pPr>
              <w:spacing w:after="0"/>
              <w:rPr>
                <w:sz w:val="23"/>
                <w:szCs w:val="23"/>
                <w:color w:val="auto"/>
              </w:rPr>
            </w:pPr>
          </w:p>
        </w:tc>
        <w:tc>
          <w:tcPr>
            <w:tcW w:w="10480" w:type="dxa"/>
            <w:vAlign w:val="bottom"/>
          </w:tcPr>
          <w:p>
            <w:pPr>
              <w:ind w:left="4020"/>
              <w:spacing w:after="0"/>
              <w:rPr>
                <w:sz w:val="20"/>
                <w:szCs w:val="20"/>
                <w:color w:val="auto"/>
              </w:rPr>
            </w:pPr>
            <w:r>
              <w:rPr>
                <w:rFonts w:ascii="Times New Roman" w:cs="Times New Roman" w:eastAsia="Times New Roman" w:hAnsi="Times New Roman"/>
                <w:sz w:val="21"/>
                <w:szCs w:val="21"/>
                <w:color w:val="auto"/>
              </w:rPr>
              <w:t>EXHIBIT INDEX</w:t>
            </w:r>
          </w:p>
        </w:tc>
      </w:tr>
      <w:tr>
        <w:trPr>
          <w:trHeight w:val="459"/>
        </w:trPr>
        <w:tc>
          <w:tcPr>
            <w:tcW w:w="94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Exhibit</w:t>
            </w:r>
          </w:p>
        </w:tc>
        <w:tc>
          <w:tcPr>
            <w:tcW w:w="10480" w:type="dxa"/>
            <w:vAlign w:val="bottom"/>
          </w:tcPr>
          <w:p>
            <w:pPr>
              <w:spacing w:after="0"/>
              <w:rPr>
                <w:sz w:val="24"/>
                <w:szCs w:val="24"/>
                <w:color w:val="auto"/>
              </w:rPr>
            </w:pPr>
          </w:p>
        </w:tc>
      </w:tr>
      <w:tr>
        <w:trPr>
          <w:trHeight w:val="262"/>
        </w:trPr>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1"/>
                <w:szCs w:val="21"/>
                <w:color w:val="auto"/>
              </w:rPr>
              <w:t>No.</w:t>
            </w:r>
          </w:p>
        </w:tc>
        <w:tc>
          <w:tcPr>
            <w:tcW w:w="10480" w:type="dxa"/>
            <w:vAlign w:val="bottom"/>
          </w:tcPr>
          <w:p>
            <w:pPr>
              <w:spacing w:after="0"/>
              <w:rPr>
                <w:sz w:val="22"/>
                <w:szCs w:val="22"/>
                <w:color w:val="auto"/>
              </w:rPr>
            </w:pPr>
          </w:p>
        </w:tc>
      </w:tr>
      <w:tr>
        <w:trPr>
          <w:trHeight w:val="731"/>
        </w:trPr>
        <w:tc>
          <w:tcPr>
            <w:tcW w:w="9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31.1</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Certification of Chief Executive Officer under Section 302 of the Sarbanes-Oxley Act of 2002. Filed herewith.</w:t>
            </w:r>
          </w:p>
        </w:tc>
      </w:tr>
      <w:tr>
        <w:trPr>
          <w:trHeight w:val="486"/>
        </w:trPr>
        <w:tc>
          <w:tcPr>
            <w:tcW w:w="9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31.2</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Certification of Chief Financial Officer under Section 302 of the Sarbanes-Oxley Act of 2002. Filed herewith.</w:t>
            </w:r>
          </w:p>
        </w:tc>
      </w:tr>
      <w:tr>
        <w:trPr>
          <w:trHeight w:val="459"/>
        </w:trPr>
        <w:tc>
          <w:tcPr>
            <w:tcW w:w="9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32.1</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 pursuant to Section 906 of the Sarbanes-Oxley Act of</w:t>
            </w:r>
          </w:p>
        </w:tc>
      </w:tr>
      <w:tr>
        <w:trPr>
          <w:trHeight w:val="270"/>
        </w:trPr>
        <w:tc>
          <w:tcPr>
            <w:tcW w:w="940" w:type="dxa"/>
            <w:vAlign w:val="bottom"/>
          </w:tcPr>
          <w:p>
            <w:pPr>
              <w:spacing w:after="0"/>
              <w:rPr>
                <w:sz w:val="23"/>
                <w:szCs w:val="23"/>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2002. Filed herewith.</w:t>
            </w:r>
          </w:p>
        </w:tc>
      </w:tr>
      <w:tr>
        <w:trPr>
          <w:trHeight w:val="459"/>
        </w:trPr>
        <w:tc>
          <w:tcPr>
            <w:tcW w:w="9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32.2</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8"/>
              </w:rPr>
              <w:t>Certification of Chief Financial Officer under 18 U.S.C. §1350 pursuant to Section 906 of the Sarbanes-Oxley Act of 2002.</w:t>
            </w:r>
          </w:p>
        </w:tc>
      </w:tr>
      <w:tr>
        <w:trPr>
          <w:trHeight w:val="270"/>
        </w:trPr>
        <w:tc>
          <w:tcPr>
            <w:tcW w:w="940" w:type="dxa"/>
            <w:vAlign w:val="bottom"/>
          </w:tcPr>
          <w:p>
            <w:pPr>
              <w:spacing w:after="0"/>
              <w:rPr>
                <w:sz w:val="23"/>
                <w:szCs w:val="23"/>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Filed herewith.</w:t>
            </w:r>
          </w:p>
        </w:tc>
      </w:tr>
      <w:tr>
        <w:trPr>
          <w:trHeight w:val="486"/>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XBRL Instance Document. Filed herewith.</w:t>
            </w:r>
          </w:p>
        </w:tc>
      </w:tr>
      <w:tr>
        <w:trPr>
          <w:trHeight w:val="486"/>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101.SCH</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XBRL Taxonomy Extension Schema. Filed herewith.</w:t>
            </w:r>
          </w:p>
        </w:tc>
      </w:tr>
      <w:tr>
        <w:trPr>
          <w:trHeight w:val="486"/>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101.CAL</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XBRL Taxonomy Extension Calculation Linkbase. Filed herewith.</w:t>
            </w:r>
          </w:p>
        </w:tc>
      </w:tr>
      <w:tr>
        <w:trPr>
          <w:trHeight w:val="486"/>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101.LAB</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XBRL Taxonomy Extension Label Linkbase. Filed herewith.</w:t>
            </w:r>
          </w:p>
        </w:tc>
      </w:tr>
      <w:tr>
        <w:trPr>
          <w:trHeight w:val="486"/>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101.PRE</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XBRL Taxonomy Extension Presentation Linkbase. Filed herewith.</w:t>
            </w:r>
          </w:p>
        </w:tc>
      </w:tr>
      <w:tr>
        <w:trPr>
          <w:trHeight w:val="486"/>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101.DEF</w:t>
            </w:r>
          </w:p>
        </w:tc>
        <w:tc>
          <w:tcPr>
            <w:tcW w:w="104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XBRL Taxonomy Definition Linkbase. Filed herewith.</w:t>
            </w:r>
          </w:p>
        </w:tc>
      </w:tr>
      <w:tr>
        <w:trPr>
          <w:trHeight w:val="870"/>
        </w:trPr>
        <w:tc>
          <w:tcPr>
            <w:tcW w:w="940" w:type="dxa"/>
            <w:vAlign w:val="bottom"/>
          </w:tcPr>
          <w:p>
            <w:pPr>
              <w:spacing w:after="0"/>
              <w:rPr>
                <w:sz w:val="24"/>
                <w:szCs w:val="24"/>
                <w:color w:val="auto"/>
              </w:rPr>
            </w:pPr>
          </w:p>
        </w:tc>
        <w:tc>
          <w:tcPr>
            <w:tcW w:w="104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- 93 -</w:t>
            </w:r>
          </w:p>
        </w:tc>
      </w:tr>
    </w:tbl>
    <w:p>
      <w:pPr>
        <w:sectPr>
          <w:pgSz w:w="11900" w:h="16838" w:orient="portrait"/>
          <w:cols w:equalWidth="0" w:num="1">
            <w:col w:w="11420"/>
          </w:cols>
          <w:pgMar w:left="240" w:top="336"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1"/>
          <w:szCs w:val="21"/>
          <w:color w:val="auto"/>
        </w:rPr>
        <w:t>EXHIBIT 31.1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Robert G. Wilmers, certify that:</w:t>
      </w:r>
    </w:p>
    <w:p>
      <w:pPr>
        <w:spacing w:after="0" w:line="83"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sz w:val="20"/>
          <w:szCs w:val="20"/>
          <w:color w:val="auto"/>
        </w:rPr>
      </w:pPr>
    </w:p>
    <w:p>
      <w:pPr>
        <w:jc w:val="both"/>
        <w:ind w:left="440" w:hanging="432"/>
        <w:spacing w:after="0" w:line="196" w:lineRule="auto"/>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40" w:hanging="432"/>
        <w:spacing w:after="0" w:line="196" w:lineRule="auto"/>
        <w:tabs>
          <w:tab w:leader="none" w:pos="4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sz w:val="20"/>
          <w:szCs w:val="20"/>
          <w:color w:val="auto"/>
        </w:rPr>
      </w:pPr>
    </w:p>
    <w:p>
      <w:pPr>
        <w:ind w:left="440" w:hanging="432"/>
        <w:spacing w:after="0" w:line="214" w:lineRule="auto"/>
        <w:tabs>
          <w:tab w:leader="none" w:pos="4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1"/>
          <w:szCs w:val="21"/>
          <w:color w:val="auto"/>
        </w:rPr>
      </w:pPr>
    </w:p>
    <w:p>
      <w:pPr>
        <w:ind w:left="440" w:hanging="432"/>
        <w:spacing w:after="0" w:line="214" w:lineRule="auto"/>
        <w:tabs>
          <w:tab w:leader="none" w:pos="4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August 7, 2017</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wp:posOffset>
            </wp:positionV>
            <wp:extent cx="25641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Robert G. Wilmers</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420"/>
          </w:cols>
          <w:pgMar w:left="240" w:top="81"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Darren J. King, certify that:</w:t>
      </w:r>
    </w:p>
    <w:p>
      <w:pPr>
        <w:spacing w:after="0" w:line="83" w:lineRule="exact"/>
        <w:rPr>
          <w:sz w:val="20"/>
          <w:szCs w:val="20"/>
          <w:color w:val="auto"/>
        </w:rPr>
      </w:pPr>
    </w:p>
    <w:p>
      <w:pPr>
        <w:ind w:left="440" w:hanging="432"/>
        <w:spacing w:after="0"/>
        <w:tabs>
          <w:tab w:leader="none" w:pos="4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sz w:val="20"/>
          <w:szCs w:val="20"/>
          <w:color w:val="auto"/>
        </w:rPr>
      </w:pPr>
    </w:p>
    <w:p>
      <w:pPr>
        <w:jc w:val="both"/>
        <w:ind w:left="440" w:hanging="432"/>
        <w:spacing w:after="0" w:line="196" w:lineRule="auto"/>
        <w:tabs>
          <w:tab w:leader="none" w:pos="4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40" w:hanging="432"/>
        <w:spacing w:after="0" w:line="196" w:lineRule="auto"/>
        <w:tabs>
          <w:tab w:leader="none" w:pos="4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sz w:val="20"/>
          <w:szCs w:val="20"/>
          <w:color w:val="auto"/>
        </w:rPr>
      </w:pPr>
    </w:p>
    <w:p>
      <w:pPr>
        <w:ind w:left="440" w:hanging="432"/>
        <w:spacing w:after="0" w:line="214" w:lineRule="auto"/>
        <w:tabs>
          <w:tab w:leader="none" w:pos="4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1"/>
          <w:szCs w:val="21"/>
          <w:color w:val="auto"/>
        </w:rPr>
      </w:pPr>
    </w:p>
    <w:p>
      <w:pPr>
        <w:ind w:left="440" w:hanging="432"/>
        <w:spacing w:after="0" w:line="214" w:lineRule="auto"/>
        <w:tabs>
          <w:tab w:leader="none" w:pos="4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August 7, 2017</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13335</wp:posOffset>
            </wp:positionV>
            <wp:extent cx="25984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Darren J. King</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420"/>
          </w:cols>
          <w:pgMar w:left="240" w:top="82" w:right="239" w:bottom="1440" w:gutter="0" w:footer="0" w:header="0"/>
        </w:sectPr>
      </w:pPr>
    </w:p>
    <w:bookmarkStart w:id="95" w:name="page96"/>
    <w:bookmarkEnd w:id="95"/>
    <w:p>
      <w:pPr>
        <w:ind w:left="10180"/>
        <w:spacing w:after="0"/>
        <w:rPr>
          <w:sz w:val="20"/>
          <w:szCs w:val="20"/>
          <w:color w:val="auto"/>
        </w:rPr>
      </w:pPr>
      <w:r>
        <w:rPr>
          <w:rFonts w:ascii="Times New Roman" w:cs="Times New Roman" w:eastAsia="Times New Roman" w:hAnsi="Times New Roman"/>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I, Robert G. Wilmers, Chairman of the Board and Chief Executive Officer of M&amp;T Bank Corporation, certify, pursuant to Section 906 of the Sarbanes-Oxley Act of 2002, 18 U.S.C. Section 1350, that:</w:t>
      </w:r>
    </w:p>
    <w:p>
      <w:pPr>
        <w:spacing w:after="0" w:line="159" w:lineRule="exact"/>
        <w:rPr>
          <w:sz w:val="20"/>
          <w:szCs w:val="20"/>
          <w:color w:val="auto"/>
        </w:rPr>
      </w:pPr>
    </w:p>
    <w:p>
      <w:pPr>
        <w:jc w:val="both"/>
        <w:ind w:left="1900" w:right="1900" w:hanging="947"/>
        <w:spacing w:after="0" w:line="232" w:lineRule="auto"/>
        <w:tabs>
          <w:tab w:leader="none" w:pos="190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June 30, 2017 (the "Report") fully complies with the requirements of Section 13(a) or 15(d) of the Securities Exchange Act of 1934 (15 U.S.C. 78m or 78o(d)); and</w:t>
      </w:r>
    </w:p>
    <w:p>
      <w:pPr>
        <w:spacing w:after="0" w:line="164" w:lineRule="exact"/>
        <w:rPr>
          <w:rFonts w:ascii="Times New Roman" w:cs="Times New Roman" w:eastAsia="Times New Roman" w:hAnsi="Times New Roman"/>
          <w:sz w:val="21"/>
          <w:szCs w:val="21"/>
          <w:color w:val="auto"/>
        </w:rPr>
      </w:pPr>
    </w:p>
    <w:p>
      <w:pPr>
        <w:ind w:left="1900" w:right="1900" w:hanging="947"/>
        <w:spacing w:after="0" w:line="243" w:lineRule="auto"/>
        <w:tabs>
          <w:tab w:leader="none" w:pos="190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522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21"/>
          <w:szCs w:val="21"/>
          <w:color w:val="auto"/>
        </w:rPr>
        <w:t>Robert G. Wilmers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2017</w:t>
      </w:r>
    </w:p>
    <w:p>
      <w:pPr>
        <w:spacing w:after="0" w:line="200" w:lineRule="exact"/>
        <w:rPr>
          <w:sz w:val="20"/>
          <w:szCs w:val="20"/>
          <w:color w:val="auto"/>
        </w:rPr>
      </w:pPr>
    </w:p>
    <w:p>
      <w:pPr>
        <w:spacing w:after="0" w:line="39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08" w:right="239" w:bottom="1440" w:gutter="0" w:footer="0" w:header="0"/>
        </w:sectPr>
      </w:pPr>
    </w:p>
    <w:bookmarkStart w:id="96" w:name="page97"/>
    <w:bookmarkEnd w:id="96"/>
    <w:p>
      <w:pPr>
        <w:ind w:left="10180"/>
        <w:spacing w:after="0"/>
        <w:rPr>
          <w:sz w:val="20"/>
          <w:szCs w:val="20"/>
          <w:color w:val="auto"/>
        </w:rPr>
      </w:pPr>
      <w:r>
        <w:rPr>
          <w:rFonts w:ascii="Times New Roman" w:cs="Times New Roman" w:eastAsia="Times New Roman" w:hAnsi="Times New Roman"/>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I, Darren J. King, Executive Vice President and Chief Financial Officer of M&amp;T Bank Corporation, certify, pursuant to Section 906 of the Sarbanes-Oxley Act of 2002, 18 U.S.C. Section 1350, that:</w:t>
      </w:r>
    </w:p>
    <w:p>
      <w:pPr>
        <w:spacing w:after="0" w:line="159" w:lineRule="exact"/>
        <w:rPr>
          <w:sz w:val="20"/>
          <w:szCs w:val="20"/>
          <w:color w:val="auto"/>
        </w:rPr>
      </w:pPr>
    </w:p>
    <w:p>
      <w:pPr>
        <w:jc w:val="both"/>
        <w:ind w:left="1900" w:right="1900" w:hanging="947"/>
        <w:spacing w:after="0" w:line="232" w:lineRule="auto"/>
        <w:tabs>
          <w:tab w:leader="none" w:pos="190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June 30, 2017 (the "Report") fully complies with the requirements of Section 13(a) or 15(d) of the Securities Exchange Act of 1934 (15 U.S.C. 78m or 78o(d)); and</w:t>
      </w:r>
    </w:p>
    <w:p>
      <w:pPr>
        <w:spacing w:after="0" w:line="164" w:lineRule="exact"/>
        <w:rPr>
          <w:rFonts w:ascii="Times New Roman" w:cs="Times New Roman" w:eastAsia="Times New Roman" w:hAnsi="Times New Roman"/>
          <w:sz w:val="21"/>
          <w:szCs w:val="21"/>
          <w:color w:val="auto"/>
        </w:rPr>
      </w:pPr>
    </w:p>
    <w:p>
      <w:pPr>
        <w:ind w:left="1900" w:right="1900" w:hanging="947"/>
        <w:spacing w:after="0" w:line="243" w:lineRule="auto"/>
        <w:tabs>
          <w:tab w:leader="none" w:pos="190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522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21"/>
          <w:szCs w:val="21"/>
          <w:color w:val="auto"/>
        </w:rPr>
        <w:t>Darren J. 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2017</w:t>
      </w:r>
    </w:p>
    <w:p>
      <w:pPr>
        <w:spacing w:after="0" w:line="200" w:lineRule="exact"/>
        <w:rPr>
          <w:sz w:val="20"/>
          <w:szCs w:val="20"/>
          <w:color w:val="auto"/>
        </w:rPr>
      </w:pPr>
    </w:p>
    <w:p>
      <w:pPr>
        <w:spacing w:after="0" w:line="39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lvl w:ilvl="1">
      <w:lvlJc w:val="left"/>
      <w:lvlText w:val="-"/>
      <w:numFmt w:val="bullet"/>
      <w:start w:val="1"/>
    </w:lvl>
  </w:abstractNum>
  <w:abstractNum w:abstractNumId="3">
    <w:nsid w:val="75A2A8D4"/>
    <w:multiLevelType w:val="hybridMultilevel"/>
    <w:lvl w:ilvl="0">
      <w:lvlJc w:val="left"/>
      <w:lvlText w:val="(%1)"/>
      <w:numFmt w:val="lowerLetter"/>
      <w:start w:val="1"/>
    </w:lvl>
    <w:lvl w:ilvl="1">
      <w:lvlJc w:val="left"/>
      <w:lvlText w:val="-"/>
      <w:numFmt w:val="bullet"/>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lvl w:ilvl="1">
      <w:lvlJc w:val="left"/>
      <w:lvlText w:val="-"/>
      <w:numFmt w:val="bullet"/>
      <w:start w:val="1"/>
    </w:lvl>
  </w:abstractNum>
  <w:abstractNum w:abstractNumId="9">
    <w:nsid w:val="54E49EB4"/>
    <w:multiLevelType w:val="hybridMultilevel"/>
    <w:lvl w:ilvl="0">
      <w:lvlJc w:val="left"/>
      <w:lvlText w:val="(%1)"/>
      <w:numFmt w:val="lowerLetter"/>
      <w:start w:val="1"/>
    </w:lvl>
    <w:lvl w:ilvl="1">
      <w:lvlJc w:val="left"/>
      <w:lvlText w:val="-"/>
      <w:numFmt w:val="bullet"/>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lowerLetter"/>
      <w:start w:val="1"/>
    </w:lvl>
    <w:lvl w:ilvl="1">
      <w:lvlJc w:val="left"/>
      <w:lvlText w:val="-"/>
      <w:numFmt w:val="bullet"/>
      <w:start w:val="1"/>
    </w:lvl>
  </w:abstractNum>
  <w:abstractNum w:abstractNumId="13">
    <w:nsid w:val="2901D82"/>
    <w:multiLevelType w:val="hybridMultilevel"/>
    <w:lvl w:ilvl="0">
      <w:lvlJc w:val="left"/>
      <w:lvlText w:val="(%1)"/>
      <w:numFmt w:val="lowerLetter"/>
      <w:start w:val="1"/>
    </w:lvl>
    <w:lvl w:ilvl="1">
      <w:lvlJc w:val="left"/>
      <w:lvlText w:val="-"/>
      <w:numFmt w:val="bullet"/>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decimal"/>
      <w:start w:val="12"/>
    </w:lvl>
  </w:abstractNum>
  <w:abstractNum w:abstractNumId="16">
    <w:nsid w:val="1E7FF521"/>
    <w:multiLevelType w:val="hybridMultilevel"/>
    <w:lvl w:ilvl="0">
      <w:lvlJc w:val="left"/>
      <w:lvlText w:val="%1."/>
      <w:numFmt w:val="decimal"/>
      <w:start w:val="12"/>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lvl w:ilvl="1">
      <w:lvlJc w:val="left"/>
      <w:lvlText w:val="-"/>
      <w:numFmt w:val="bullet"/>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lvl w:ilvl="1">
      <w:lvlJc w:val="left"/>
      <w:lvlText w:val="(%2)"/>
      <w:numFmt w:val="lowerLetter"/>
      <w:start w:val="2"/>
    </w:lvl>
  </w:abstractNum>
  <w:abstractNum w:abstractNumId="23">
    <w:nsid w:val="614FD4A1"/>
    <w:multiLevelType w:val="hybridMultilevel"/>
    <w:lvl w:ilvl="0">
      <w:lvlJc w:val="left"/>
      <w:lvlText w:val="•"/>
      <w:numFmt w:val="bullet"/>
      <w:start w:val="1"/>
    </w:lvl>
    <w:lvl w:ilvl="1">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lowerLetter"/>
      <w:start w:val="1"/>
    </w:lvl>
    <w:lvl w:ilvl="1">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3"/>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2019-12-29T05:34:37Z</dcterms:created>
  <dcterms:modified xsi:type="dcterms:W3CDTF">2019-12-29T05:34:37Z</dcterms:modified>
</cp:coreProperties>
</file>