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63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Kay Christopher E.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M&amp;T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M&amp;T BANK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Executive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221.57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221.57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pursuant to vesting of performance-based restricted stock units, which were granted to the reporting person on January 31, 2023, January 31, 2024 and January 31, 2025, under the M&amp;T Bank Corporation 2019 Equity Incentive Compensation Plan (the " Equity Plan") and vested upon achievement of performance goals for the applicable performance periods.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performance-based restricted stock units were granted under the Equity Plan, and therefore the reporting person paid no price for the performance-based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taxes upon the settlement in shares of performance-based restricted stock units previously granted to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ratably on the first, second and third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was granted under the Equity Plan, and therefore the reporting person paid no price for the option.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Stephen T. Wilson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(Attorney-In-Fact)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570" TargetMode="External"/><Relationship Id="rId14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2026-02-03T17:37:58Z</dcterms:created>
  <dcterms:modified xsi:type="dcterms:W3CDTF">2026-02-03T17:37:58Z</dcterms:modified>
</cp:coreProperties>
</file>